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250825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3,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245110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28"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38"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8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223"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230505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187"/>
        </w:trPr>
        <w:tc>
          <w:tcPr>
            <w:tcW w:w="3740" w:type="dxa"/>
            <w:vAlign w:val="bottom"/>
            <w:tcBorders>
              <w:top w:val="single" w:sz="8" w:color="auto"/>
            </w:tcBorders>
          </w:tcPr>
          <w:p>
            <w:pPr>
              <w:jc w:val="center"/>
              <w:spacing w:after="0" w:line="188" w:lineRule="exact"/>
              <w:rPr>
                <w:sz w:val="20"/>
                <w:szCs w:val="20"/>
                <w:color w:val="auto"/>
              </w:rPr>
            </w:pPr>
            <w:r>
              <w:rPr>
                <w:rFonts w:ascii="Times New Roman" w:cs="Times New Roman" w:eastAsia="Times New Roman" w:hAnsi="Times New Roman"/>
                <w:sz w:val="18"/>
                <w:szCs w:val="18"/>
                <w:b w:val="1"/>
                <w:bCs w:val="1"/>
                <w:color w:val="auto"/>
                <w:w w:val="99"/>
              </w:rPr>
              <w:t>Class A common stock, par value $0.001 per</w:t>
            </w:r>
          </w:p>
        </w:tc>
        <w:tc>
          <w:tcPr>
            <w:tcW w:w="120" w:type="dxa"/>
            <w:vAlign w:val="bottom"/>
          </w:tcPr>
          <w:p>
            <w:pPr>
              <w:spacing w:after="0"/>
              <w:rPr>
                <w:sz w:val="16"/>
                <w:szCs w:val="16"/>
                <w:color w:val="auto"/>
              </w:rPr>
            </w:pPr>
          </w:p>
        </w:tc>
        <w:tc>
          <w:tcPr>
            <w:tcW w:w="3520" w:type="dxa"/>
            <w:vAlign w:val="bottom"/>
            <w:tcBorders>
              <w:top w:val="single" w:sz="8" w:color="auto"/>
            </w:tcBorders>
          </w:tcPr>
          <w:p>
            <w:pPr>
              <w:ind w:left="1500"/>
              <w:spacing w:after="0" w:line="188" w:lineRule="exact"/>
              <w:rPr>
                <w:sz w:val="20"/>
                <w:szCs w:val="20"/>
                <w:color w:val="auto"/>
              </w:rPr>
            </w:pPr>
            <w:r>
              <w:rPr>
                <w:rFonts w:ascii="Times New Roman" w:cs="Times New Roman" w:eastAsia="Times New Roman" w:hAnsi="Times New Roman"/>
                <w:sz w:val="18"/>
                <w:szCs w:val="18"/>
                <w:b w:val="1"/>
                <w:bCs w:val="1"/>
                <w:color w:val="auto"/>
              </w:rPr>
              <w:t>MSTR</w:t>
            </w:r>
          </w:p>
        </w:tc>
        <w:tc>
          <w:tcPr>
            <w:tcW w:w="100" w:type="dxa"/>
            <w:vAlign w:val="bottom"/>
          </w:tcPr>
          <w:p>
            <w:pPr>
              <w:spacing w:after="0"/>
              <w:rPr>
                <w:sz w:val="16"/>
                <w:szCs w:val="16"/>
                <w:color w:val="auto"/>
              </w:rPr>
            </w:pPr>
          </w:p>
        </w:tc>
        <w:tc>
          <w:tcPr>
            <w:tcW w:w="3540" w:type="dxa"/>
            <w:vAlign w:val="bottom"/>
            <w:tcBorders>
              <w:top w:val="single" w:sz="8" w:color="auto"/>
            </w:tcBorders>
          </w:tcPr>
          <w:p>
            <w:pPr>
              <w:jc w:val="center"/>
              <w:spacing w:after="0" w:line="188" w:lineRule="exact"/>
              <w:rPr>
                <w:sz w:val="20"/>
                <w:szCs w:val="20"/>
                <w:color w:val="auto"/>
              </w:rPr>
            </w:pPr>
            <w:r>
              <w:rPr>
                <w:rFonts w:ascii="Times New Roman" w:cs="Times New Roman" w:eastAsia="Times New Roman" w:hAnsi="Times New Roman"/>
                <w:sz w:val="18"/>
                <w:szCs w:val="18"/>
                <w:b w:val="1"/>
                <w:bCs w:val="1"/>
                <w:color w:val="auto"/>
              </w:rPr>
              <w:t>The Nasdaq Global Select Market</w:t>
            </w:r>
          </w:p>
        </w:tc>
        <w:tc>
          <w:tcPr>
            <w:tcW w:w="0" w:type="dxa"/>
            <w:vAlign w:val="bottom"/>
          </w:tcPr>
          <w:p>
            <w:pPr>
              <w:spacing w:after="0"/>
              <w:rPr>
                <w:sz w:val="1"/>
                <w:szCs w:val="1"/>
                <w:color w:val="auto"/>
              </w:rPr>
            </w:pPr>
          </w:p>
        </w:tc>
      </w:tr>
      <w:tr>
        <w:trPr>
          <w:trHeight w:val="238"/>
        </w:trPr>
        <w:tc>
          <w:tcPr>
            <w:tcW w:w="3860" w:type="dxa"/>
            <w:vAlign w:val="bottom"/>
            <w:gridSpan w:val="2"/>
          </w:tcPr>
          <w:p>
            <w:pPr>
              <w:jc w:val="center"/>
              <w:ind w:right="120"/>
              <w:spacing w:after="0"/>
              <w:rPr>
                <w:sz w:val="20"/>
                <w:szCs w:val="20"/>
                <w:color w:val="auto"/>
              </w:rPr>
            </w:pPr>
            <w:r>
              <w:rPr>
                <w:rFonts w:ascii="Times New Roman" w:cs="Times New Roman" w:eastAsia="Times New Roman" w:hAnsi="Times New Roman"/>
                <w:sz w:val="18"/>
                <w:szCs w:val="18"/>
                <w:b w:val="1"/>
                <w:bCs w:val="1"/>
                <w:color w:val="auto"/>
                <w:w w:val="99"/>
              </w:rPr>
              <w:t>share</w:t>
            </w:r>
          </w:p>
        </w:tc>
        <w:tc>
          <w:tcPr>
            <w:tcW w:w="35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540" w:type="dxa"/>
            <w:vAlign w:val="bottom"/>
          </w:tcPr>
          <w:p>
            <w:pPr>
              <w:spacing w:after="0"/>
              <w:rPr>
                <w:sz w:val="20"/>
                <w:szCs w:val="20"/>
                <w:color w:val="auto"/>
              </w:rPr>
            </w:pPr>
          </w:p>
        </w:tc>
        <w:tc>
          <w:tcPr>
            <w:tcW w:w="0" w:type="dxa"/>
            <w:vAlign w:val="bottom"/>
          </w:tcPr>
          <w:p>
            <w:pPr>
              <w:spacing w:after="0"/>
              <w:rPr>
                <w:sz w:val="1"/>
                <w:szCs w:val="1"/>
                <w:color w:val="auto"/>
              </w:rPr>
            </w:pPr>
          </w:p>
        </w:tc>
      </w:tr>
    </w:tbl>
    <w:p>
      <w:pPr>
        <w:spacing w:after="0" w:line="198"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21"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66"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ind w:left="4"/>
        <w:spacing w:after="0"/>
        <w:tabs>
          <w:tab w:leader="none" w:pos="1184"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21"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On January 3, 2025, MicroStrategy Incorporated (“MicroStrategy”), in furtherance of its previously announced 21/21 Plan, a capital plan to raise</w:t>
      </w:r>
    </w:p>
    <w:p>
      <w:pPr>
        <w:spacing w:after="0" w:line="27" w:lineRule="exact"/>
        <w:rPr>
          <w:sz w:val="20"/>
          <w:szCs w:val="20"/>
          <w:color w:val="auto"/>
        </w:rPr>
      </w:pPr>
    </w:p>
    <w:p>
      <w:pPr>
        <w:ind w:left="4"/>
        <w:spacing w:after="0" w:line="251" w:lineRule="auto"/>
        <w:rPr>
          <w:sz w:val="20"/>
          <w:szCs w:val="20"/>
          <w:color w:val="auto"/>
        </w:rPr>
      </w:pPr>
      <w:r>
        <w:rPr>
          <w:rFonts w:ascii="Times New Roman" w:cs="Times New Roman" w:eastAsia="Times New Roman" w:hAnsi="Times New Roman"/>
          <w:sz w:val="18"/>
          <w:szCs w:val="18"/>
          <w:color w:val="auto"/>
        </w:rPr>
        <w:t>$21 billion of equity and $21 billion of fixed income instruments, including debt, convertible notes and preferred stock, over the next three years, issued a press release announcing it is targeting a capital raise of up to $2 billion through one or more public underwritten offerings (the “Offering”) of perpetual preferred stock which will be senior to our class A common stock. The perpetual preferred stock may include features such as (i) convertibility to our class A common stock, (ii) payment of cash dividends, and (iii) provisions allowing for redemptions of shares, among other features. The Offering is expected to be registered via a registration statement on Form S-3 to be filed with the U.S. Securities and Exchange Commission. The number of depositary shares representing an interest in the perpetual preferred stock to be offered, the final terms of the perpetual preferred stock, and the price for the Offering have not yet been determined. The purpose of the Offering is to allow MicroStrategy to continue to strengthen its balance sheet and acquire more bitcoin. The Offering is expected to occur, if at all, in the first quarter of 2025. However, the decision whether to proceed with and consummate the Offering is in MicroStrategy’s sole discretion and is subject to market and other conditions. MicroStrategy may choose not to proceed with or consummate the Offering at all.</w:t>
      </w:r>
    </w:p>
    <w:p>
      <w:pPr>
        <w:spacing w:after="0" w:line="193" w:lineRule="exact"/>
        <w:rPr>
          <w:sz w:val="20"/>
          <w:szCs w:val="20"/>
          <w:color w:val="auto"/>
        </w:rPr>
      </w:pPr>
    </w:p>
    <w:p>
      <w:pPr>
        <w:jc w:val="both"/>
        <w:ind w:left="4" w:right="80"/>
        <w:spacing w:after="0" w:line="261" w:lineRule="auto"/>
        <w:rPr>
          <w:sz w:val="20"/>
          <w:szCs w:val="20"/>
          <w:color w:val="auto"/>
        </w:rPr>
      </w:pPr>
      <w:r>
        <w:rPr>
          <w:rFonts w:ascii="Times New Roman" w:cs="Times New Roman" w:eastAsia="Times New Roman" w:hAnsi="Times New Roman"/>
          <w:sz w:val="18"/>
          <w:szCs w:val="18"/>
          <w:color w:val="auto"/>
        </w:rPr>
        <w:t>This Current Report on Form 8-K and the exhibit attached hereto does not constitute an offer to sell or the solicitation of an offer to buy any securities. Any offers, solicitations or offers to buy, or any sales of securities will be made in accordance with the registration requirements of the Securities Act of 1933, as amended (the “Securities Act”). This Current Report on Form 8-K and the exhibit attached hereto is being issued in accordance with Rule 135 under the Securities Act.</w:t>
      </w:r>
    </w:p>
    <w:p>
      <w:pPr>
        <w:spacing w:after="0" w:line="180"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A copy of the press release is filed as Exhibit 99.1 to this Current Report on Form 8-K and is incorporated herein by reference.</w:t>
      </w:r>
    </w:p>
    <w:p>
      <w:pPr>
        <w:spacing w:after="0" w:line="32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21" w:lineRule="exact"/>
        <w:rPr>
          <w:sz w:val="20"/>
          <w:szCs w:val="20"/>
          <w:color w:val="auto"/>
        </w:rPr>
      </w:pPr>
    </w:p>
    <w:p>
      <w:pPr>
        <w:ind w:left="4" w:right="20"/>
        <w:spacing w:after="0" w:line="253" w:lineRule="auto"/>
        <w:rPr>
          <w:sz w:val="20"/>
          <w:szCs w:val="20"/>
          <w:color w:val="auto"/>
        </w:rPr>
      </w:pPr>
      <w:r>
        <w:rPr>
          <w:rFonts w:ascii="Times New Roman" w:cs="Times New Roman" w:eastAsia="Times New Roman" w:hAnsi="Times New Roman"/>
          <w:sz w:val="18"/>
          <w:szCs w:val="18"/>
          <w:color w:val="auto"/>
        </w:rPr>
        <w:t>Statements in this Current Report on Form 8-K and the exhibit attached hereto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MicroStrategy’s plan to consummate the Offering, size and timing of the Offering, the anticipated use of any proceeds from the Offering, and the terms of the Offering.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uncertainties related to market conditions and the completion of the Offering on the anticipated terms or at all, the other factors discussed in the “Risk Factors” section of MicroStrategy’s Quarterly Report on Form 10-Q filed with the Securities and Exchange Commission on October 31, 2024, and the risks described in other filings that MicroStrategy may make with the Securities and Exchange Commission. Any forward-looking statements contained in this Current Report on Form 8-K and the exhibit attached hereto speak only as of the date hereof, and MicroStrategy specifically disclaims any obligation to update any forward-looking statement, whether as a result of new information, future events, or otherwise.</w:t>
      </w:r>
    </w:p>
    <w:p>
      <w:pPr>
        <w:spacing w:after="0" w:line="334" w:lineRule="exact"/>
        <w:rPr>
          <w:sz w:val="20"/>
          <w:szCs w:val="20"/>
          <w:color w:val="auto"/>
        </w:rPr>
      </w:pPr>
    </w:p>
    <w:p>
      <w:pPr>
        <w:ind w:left="4"/>
        <w:spacing w:after="0"/>
        <w:tabs>
          <w:tab w:leader="none" w:pos="1184" w:val="left"/>
        </w:tabs>
        <w:rPr>
          <w:sz w:val="20"/>
          <w:szCs w:val="20"/>
          <w:color w:val="auto"/>
        </w:rPr>
      </w:pPr>
      <w:r>
        <w:rPr>
          <w:rFonts w:ascii="Times New Roman" w:cs="Times New Roman" w:eastAsia="Times New Roman" w:hAnsi="Times New Roman"/>
          <w:sz w:val="18"/>
          <w:szCs w:val="18"/>
          <w:b w:val="1"/>
          <w:bCs w:val="1"/>
          <w:color w:val="auto"/>
        </w:rPr>
        <w:t>Item 9.01.</w:t>
      </w:r>
      <w:r>
        <w:rPr>
          <w:sz w:val="20"/>
          <w:szCs w:val="20"/>
          <w:color w:val="auto"/>
        </w:rPr>
        <w:tab/>
      </w:r>
      <w:r>
        <w:rPr>
          <w:rFonts w:ascii="Times New Roman" w:cs="Times New Roman" w:eastAsia="Times New Roman" w:hAnsi="Times New Roman"/>
          <w:sz w:val="18"/>
          <w:szCs w:val="18"/>
          <w:b w:val="1"/>
          <w:bCs w:val="1"/>
          <w:color w:val="auto"/>
        </w:rPr>
        <w:t>Financial Statements and Exhibits.</w:t>
      </w:r>
    </w:p>
    <w:p>
      <w:pPr>
        <w:spacing w:after="0" w:line="135" w:lineRule="exact"/>
        <w:rPr>
          <w:sz w:val="20"/>
          <w:szCs w:val="20"/>
          <w:color w:val="auto"/>
        </w:rPr>
      </w:pPr>
    </w:p>
    <w:p>
      <w:pPr>
        <w:ind w:left="424" w:hanging="424"/>
        <w:spacing w:after="0"/>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Exhibits</w:t>
      </w:r>
    </w:p>
    <w:p>
      <w:pPr>
        <w:sectPr>
          <w:pgSz w:w="11900" w:h="16838" w:orient="portrait"/>
          <w:cols w:equalWidth="0" w:num="1">
            <w:col w:w="11024"/>
          </w:cols>
          <w:pgMar w:left="436" w:top="293" w:right="439" w:bottom="1440" w:gutter="0" w:footer="0" w:header="0"/>
        </w:sectPr>
      </w:pPr>
    </w:p>
    <w:p>
      <w:pPr>
        <w:spacing w:after="0" w:line="246" w:lineRule="exact"/>
        <w:rPr>
          <w:sz w:val="20"/>
          <w:szCs w:val="20"/>
          <w:color w:val="auto"/>
        </w:rPr>
      </w:pPr>
    </w:p>
    <w:p>
      <w:pPr>
        <w:jc w:val="center"/>
        <w:ind w:right="4396"/>
        <w:spacing w:after="0"/>
        <w:rPr>
          <w:sz w:val="20"/>
          <w:szCs w:val="20"/>
          <w:color w:val="auto"/>
        </w:rPr>
      </w:pPr>
      <w:r>
        <w:rPr>
          <w:rFonts w:ascii="Times New Roman" w:cs="Times New Roman" w:eastAsia="Times New Roman" w:hAnsi="Times New Roman"/>
          <w:sz w:val="14"/>
          <w:szCs w:val="14"/>
          <w:b w:val="1"/>
          <w:bCs w:val="1"/>
          <w:color w:val="auto"/>
        </w:rPr>
        <w:t>Exhibit</w:t>
      </w:r>
    </w:p>
    <w:p>
      <w:pPr>
        <w:spacing w:after="0" w:line="6" w:lineRule="exact"/>
        <w:rPr>
          <w:sz w:val="20"/>
          <w:szCs w:val="20"/>
          <w:color w:val="auto"/>
        </w:rPr>
      </w:pPr>
    </w:p>
    <w:p>
      <w:pPr>
        <w:jc w:val="center"/>
        <w:ind w:right="4396"/>
        <w:spacing w:after="0"/>
        <w:rPr>
          <w:sz w:val="20"/>
          <w:szCs w:val="20"/>
          <w:color w:val="auto"/>
        </w:rPr>
      </w:pPr>
      <w:r>
        <w:rPr>
          <w:rFonts w:ascii="Times New Roman" w:cs="Times New Roman" w:eastAsia="Times New Roman" w:hAnsi="Times New Roman"/>
          <w:sz w:val="14"/>
          <w:szCs w:val="14"/>
          <w:b w:val="1"/>
          <w:bCs w:val="1"/>
          <w:color w:val="auto"/>
        </w:rPr>
        <w:t>No.</w:t>
      </w:r>
    </w:p>
    <w:p>
      <w:pPr>
        <w:spacing w:after="0" w:line="20" w:lineRule="exact"/>
        <w:rPr>
          <w:sz w:val="20"/>
          <w:szCs w:val="20"/>
          <w:color w:val="auto"/>
        </w:rPr>
      </w:pPr>
      <w:r>
        <w:rPr>
          <w:sz w:val="20"/>
          <w:szCs w:val="20"/>
          <w:color w:val="auto"/>
        </w:rPr>
        <w:br w:type="column"/>
      </w:r>
    </w:p>
    <w:p>
      <w:pPr>
        <w:spacing w:after="0" w:line="388" w:lineRule="exact"/>
        <w:rPr>
          <w:sz w:val="20"/>
          <w:szCs w:val="20"/>
          <w:color w:val="auto"/>
        </w:rPr>
      </w:pPr>
    </w:p>
    <w:p>
      <w:pPr>
        <w:jc w:val="center"/>
        <w:ind w:right="4720"/>
        <w:spacing w:after="0"/>
        <w:rPr>
          <w:sz w:val="20"/>
          <w:szCs w:val="20"/>
          <w:color w:val="auto"/>
        </w:rPr>
      </w:pPr>
      <w:r>
        <w:rPr>
          <w:rFonts w:ascii="Times New Roman" w:cs="Times New Roman" w:eastAsia="Times New Roman" w:hAnsi="Times New Roman"/>
          <w:sz w:val="14"/>
          <w:szCs w:val="14"/>
          <w:b w:val="1"/>
          <w:bCs w:val="1"/>
          <w:color w:val="auto"/>
        </w:rPr>
        <w:t>Description</w:t>
      </w:r>
    </w:p>
    <w:p>
      <w:pPr>
        <w:spacing w:after="0" w:line="101" w:lineRule="exact"/>
        <w:rPr>
          <w:sz w:val="20"/>
          <w:szCs w:val="20"/>
          <w:color w:val="auto"/>
        </w:rPr>
      </w:pPr>
    </w:p>
    <w:p>
      <w:pPr>
        <w:sectPr>
          <w:pgSz w:w="11900" w:h="16838" w:orient="portrait"/>
          <w:cols w:equalWidth="0" w:num="2">
            <w:col w:w="4864" w:space="720"/>
            <w:col w:w="5440"/>
          </w:cols>
          <w:pgMar w:left="436" w:top="293" w:right="439" w:bottom="1440" w:gutter="0" w:footer="0" w:header="0"/>
          <w:type w:val="continuous"/>
        </w:sectPr>
      </w:pPr>
    </w:p>
    <w:p>
      <w:pPr>
        <w:ind w:left="4"/>
        <w:spacing w:after="0"/>
        <w:tabs>
          <w:tab w:leader="none" w:pos="864" w:val="left"/>
        </w:tabs>
        <w:rPr>
          <w:sz w:val="20"/>
          <w:szCs w:val="20"/>
          <w:color w:val="auto"/>
        </w:rPr>
      </w:pPr>
      <w:r>
        <w:rPr>
          <w:rFonts w:ascii="Times New Roman" w:cs="Times New Roman" w:eastAsia="Times New Roman" w:hAnsi="Times New Roman"/>
          <w:sz w:val="18"/>
          <w:szCs w:val="18"/>
          <w:color w:val="auto"/>
        </w:rPr>
        <w:t>99.1</w:t>
      </w:r>
      <w:r>
        <w:rPr>
          <w:sz w:val="20"/>
          <w:szCs w:val="20"/>
          <w:color w:val="auto"/>
        </w:rPr>
        <w:tab/>
      </w:r>
      <w:r>
        <w:rPr>
          <w:rFonts w:ascii="Times New Roman" w:cs="Times New Roman" w:eastAsia="Times New Roman" w:hAnsi="Times New Roman"/>
          <w:sz w:val="18"/>
          <w:szCs w:val="18"/>
          <w:u w:val="single" w:color="auto"/>
          <w:color w:val="0000EE"/>
        </w:rPr>
        <w:t>Press Release, dated January 3, 2025.</w:t>
      </w:r>
    </w:p>
    <w:p>
      <w:pPr>
        <w:spacing w:after="0" w:line="117" w:lineRule="exact"/>
        <w:rPr>
          <w:sz w:val="20"/>
          <w:szCs w:val="20"/>
          <w:color w:val="auto"/>
        </w:rPr>
      </w:pPr>
    </w:p>
    <w:p>
      <w:pPr>
        <w:ind w:left="4"/>
        <w:spacing w:after="0"/>
        <w:tabs>
          <w:tab w:leader="none" w:pos="864" w:val="left"/>
        </w:tabs>
        <w:rPr>
          <w:sz w:val="20"/>
          <w:szCs w:val="20"/>
          <w:color w:val="auto"/>
        </w:rPr>
      </w:pPr>
      <w:r>
        <w:rPr>
          <w:rFonts w:ascii="Times New Roman" w:cs="Times New Roman" w:eastAsia="Times New Roman" w:hAnsi="Times New Roman"/>
          <w:sz w:val="17"/>
          <w:szCs w:val="17"/>
          <w:color w:val="auto"/>
        </w:rPr>
        <w:t>104</w:t>
      </w:r>
      <w:r>
        <w:rPr>
          <w:sz w:val="20"/>
          <w:szCs w:val="20"/>
          <w:color w:val="auto"/>
        </w:rPr>
        <w:tab/>
      </w:r>
      <w:r>
        <w:rPr>
          <w:rFonts w:ascii="Times New Roman" w:cs="Times New Roman" w:eastAsia="Times New Roman" w:hAnsi="Times New Roman"/>
          <w:sz w:val="17"/>
          <w:szCs w:val="17"/>
          <w:color w:val="auto"/>
        </w:rPr>
        <w:t>Cover Page Interactive Data File (embedded within the Inline XBRL document).</w:t>
      </w:r>
    </w:p>
    <w:p>
      <w:pPr>
        <w:sectPr>
          <w:pgSz w:w="11900" w:h="16838" w:orient="portrait"/>
          <w:cols w:equalWidth="0" w:num="1">
            <w:col w:w="11024"/>
          </w:cols>
          <w:pgMar w:left="436" w:top="293" w:right="439" w:bottom="1440" w:gutter="0" w:footer="0" w:header="0"/>
          <w:type w:val="continuous"/>
        </w:sectPr>
      </w:pPr>
    </w:p>
    <w:bookmarkStart w:id="2" w:name="page3"/>
    <w:bookmarkEnd w:id="2"/>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54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3, 2025</w:t>
            </w:r>
          </w:p>
        </w:tc>
        <w:tc>
          <w:tcPr>
            <w:tcW w:w="7480" w:type="dxa"/>
            <w:vAlign w:val="bottom"/>
            <w:gridSpan w:val="2"/>
          </w:tcPr>
          <w:p>
            <w:pPr>
              <w:ind w:left="198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540" w:type="dxa"/>
            <w:vAlign w:val="bottom"/>
          </w:tcPr>
          <w:p>
            <w:pPr>
              <w:spacing w:after="0"/>
              <w:rPr>
                <w:sz w:val="20"/>
                <w:szCs w:val="20"/>
                <w:color w:val="auto"/>
              </w:rPr>
            </w:pPr>
          </w:p>
        </w:tc>
        <w:tc>
          <w:tcPr>
            <w:tcW w:w="7480" w:type="dxa"/>
            <w:vAlign w:val="bottom"/>
            <w:gridSpan w:val="2"/>
          </w:tcPr>
          <w:p>
            <w:pPr>
              <w:ind w:left="198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540" w:type="dxa"/>
            <w:vAlign w:val="bottom"/>
          </w:tcPr>
          <w:p>
            <w:pPr>
              <w:spacing w:after="0"/>
              <w:rPr>
                <w:sz w:val="24"/>
                <w:szCs w:val="24"/>
                <w:color w:val="auto"/>
              </w:rPr>
            </w:pPr>
          </w:p>
        </w:tc>
        <w:tc>
          <w:tcPr>
            <w:tcW w:w="2620" w:type="dxa"/>
            <w:vAlign w:val="bottom"/>
          </w:tcPr>
          <w:p>
            <w:pPr>
              <w:ind w:left="198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540" w:type="dxa"/>
            <w:vAlign w:val="bottom"/>
          </w:tcPr>
          <w:p>
            <w:pPr>
              <w:spacing w:after="0"/>
              <w:rPr>
                <w:sz w:val="17"/>
                <w:szCs w:val="17"/>
                <w:color w:val="auto"/>
              </w:rPr>
            </w:pPr>
          </w:p>
        </w:tc>
        <w:tc>
          <w:tcPr>
            <w:tcW w:w="2620" w:type="dxa"/>
            <w:vAlign w:val="bottom"/>
          </w:tcPr>
          <w:p>
            <w:pPr>
              <w:ind w:left="198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540" w:type="dxa"/>
            <w:vAlign w:val="bottom"/>
          </w:tcPr>
          <w:p>
            <w:pPr>
              <w:spacing w:after="0"/>
              <w:rPr>
                <w:sz w:val="20"/>
                <w:szCs w:val="20"/>
                <w:color w:val="auto"/>
              </w:rPr>
            </w:pPr>
          </w:p>
        </w:tc>
        <w:tc>
          <w:tcPr>
            <w:tcW w:w="2620" w:type="dxa"/>
            <w:vAlign w:val="bottom"/>
          </w:tcPr>
          <w:p>
            <w:pPr>
              <w:ind w:left="198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ectPr>
          <w:pgSz w:w="11900" w:h="16838" w:orient="portrait"/>
          <w:cols w:equalWidth="0" w:num="1">
            <w:col w:w="11020"/>
          </w:cols>
          <w:pgMar w:left="440" w:top="293" w:right="439" w:bottom="1440" w:gutter="0" w:footer="0" w:header="0"/>
        </w:sectPr>
      </w:pPr>
    </w:p>
    <w:bookmarkStart w:id="3" w:name="page4"/>
    <w:bookmarkEnd w:id="3"/>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25"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MicroStrategy to Target a Capital Raise of Up to $2 Billion of Preferred Stock</w:t>
      </w:r>
    </w:p>
    <w:p>
      <w:pPr>
        <w:spacing w:after="0" w:line="117" w:lineRule="exact"/>
        <w:rPr>
          <w:sz w:val="20"/>
          <w:szCs w:val="20"/>
          <w:color w:val="auto"/>
        </w:rPr>
      </w:pPr>
    </w:p>
    <w:p>
      <w:pPr>
        <w:ind w:left="4" w:right="120"/>
        <w:spacing w:after="0" w:line="272" w:lineRule="auto"/>
        <w:rPr>
          <w:sz w:val="20"/>
          <w:szCs w:val="20"/>
          <w:color w:val="auto"/>
        </w:rPr>
      </w:pPr>
      <w:r>
        <w:rPr>
          <w:rFonts w:ascii="Times New Roman" w:cs="Times New Roman" w:eastAsia="Times New Roman" w:hAnsi="Times New Roman"/>
          <w:sz w:val="17"/>
          <w:szCs w:val="17"/>
          <w:b w:val="1"/>
          <w:bCs w:val="1"/>
          <w:color w:val="auto"/>
        </w:rPr>
        <w:t xml:space="preserve">Tysons Corner, Va., January 3, 2025 </w:t>
      </w:r>
      <w:r>
        <w:rPr>
          <w:rFonts w:ascii="Times New Roman" w:cs="Times New Roman" w:eastAsia="Times New Roman" w:hAnsi="Times New Roman"/>
          <w:sz w:val="17"/>
          <w:szCs w:val="17"/>
          <w:color w:val="auto"/>
        </w:rPr>
        <w:t>— MicroStrategy Incorporated (Nasdaq: MSTR) (“MicroStrategy”), in furtherance of its previously announced</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21/21 Plan, a capital plan to raise $21 billion of equity and $21 billion of fixed income instruments, including debt, convertible notes and preferred stock, over the next three years, today announces it is targeting a capital raise of up to $2 billion through one or more public underwritten offerings (the “Offering”) of perpetual preferred stock which will be senior to our class A common stock. The perpetual preferred stock may include features such as</w:t>
      </w:r>
    </w:p>
    <w:p>
      <w:pPr>
        <w:ind w:left="4" w:right="60" w:hanging="4"/>
        <w:spacing w:after="0" w:line="252" w:lineRule="auto"/>
        <w:tabs>
          <w:tab w:leader="none" w:pos="219"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convertibility to our class A common stock, (ii) payment of cash dividends, and (iii) provisions allowing for redemptions of shares, among other features. The Offering is expected to be registered via a registration statement on Form S-3 to be filed with the U.S. Securities and Exchange Commission. The number of depositary shares representing an interest in the perpetual preferred stock to be offered, the final terms of the perpetual preferred stock, and the price for the Offering have not yet been determined. The purpose of the Offering is to allow MicroStrategy to continue to strengthen its balance sheet and acquire more bitcoin. The Offering is expected to occur, if at all, in the first quarter of 2025. However, the decision whether to proceed with and consummate the Offering is in MicroStrategy’s sole discretion and is subject to market and other conditions. MicroStrategy may choose not to proceed with or consummate the Offering at all.</w:t>
      </w:r>
    </w:p>
    <w:p>
      <w:pPr>
        <w:spacing w:after="0" w:line="188" w:lineRule="exact"/>
        <w:rPr>
          <w:sz w:val="20"/>
          <w:szCs w:val="20"/>
          <w:color w:val="auto"/>
        </w:rPr>
      </w:pPr>
    </w:p>
    <w:p>
      <w:pPr>
        <w:jc w:val="both"/>
        <w:ind w:left="4" w:right="120"/>
        <w:spacing w:after="0" w:line="266" w:lineRule="auto"/>
        <w:rPr>
          <w:sz w:val="20"/>
          <w:szCs w:val="20"/>
          <w:color w:val="auto"/>
        </w:rPr>
      </w:pPr>
      <w:r>
        <w:rPr>
          <w:rFonts w:ascii="Times New Roman" w:cs="Times New Roman" w:eastAsia="Times New Roman" w:hAnsi="Times New Roman"/>
          <w:sz w:val="18"/>
          <w:szCs w:val="18"/>
          <w:color w:val="auto"/>
        </w:rPr>
        <w:t>This press release does not constitute an offer to sell or the solicitation of an offer to buy any securities. Any offers, solicitations or offers to buy, or any sales of securities will be made in accordance with the registration requirements of the Securities Act of 1933, as amended (the “Securities Act”). This announcement is being issued in accordance with Rule 135 under the Securities Act.</w:t>
      </w:r>
    </w:p>
    <w:p>
      <w:pPr>
        <w:spacing w:after="0" w:line="280"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21" w:lineRule="exact"/>
        <w:rPr>
          <w:sz w:val="20"/>
          <w:szCs w:val="20"/>
          <w:color w:val="auto"/>
        </w:rPr>
      </w:pPr>
    </w:p>
    <w:p>
      <w:pPr>
        <w:ind w:left="4" w:right="140"/>
        <w:spacing w:after="0" w:line="253" w:lineRule="auto"/>
        <w:rPr>
          <w:sz w:val="20"/>
          <w:szCs w:val="20"/>
          <w:color w:val="auto"/>
        </w:rPr>
      </w:pPr>
      <w:r>
        <w:rPr>
          <w:rFonts w:ascii="Times New Roman" w:cs="Times New Roman" w:eastAsia="Times New Roman" w:hAnsi="Times New Roman"/>
          <w:sz w:val="18"/>
          <w:szCs w:val="18"/>
          <w:color w:val="auto"/>
        </w:rPr>
        <w:t>Statements in this press release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MicroStrategy’s plan to consummate the Offering, size and timing of the Offering, the anticipated use of any proceeds from the Offering, and the terms of the Offering.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uncertainties related to market conditions and the completion of the Offering on the anticipated terms or at all, the other factors discussed in the “Risk Factors” section of MicroStrategy’s Quarterly Report on Form 10-Q filed with the Securities and Exchange Commission on October 31, 2024, and the risks described in other filings that MicroStrategy may make with the Securities and Exchange Commission. Any forward-looking statements contained in this press release speak only as of the date hereof, and MicroStrategy specifically disclaims any obligation to update any forward-looking statement, whether as a result of new information, future events, or otherwise.</w:t>
      </w:r>
    </w:p>
    <w:p>
      <w:pPr>
        <w:sectPr>
          <w:pgSz w:w="11900" w:h="16838" w:orient="portrait"/>
          <w:cols w:equalWidth="0" w:num="1">
            <w:col w:w="11024"/>
          </w:cols>
          <w:pgMar w:left="436" w:top="117" w:right="43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7"/>
          <w:szCs w:val="17"/>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MicroStrategy Incorporated</w:t>
      </w:r>
    </w:p>
    <w:p>
      <w:pPr>
        <w:spacing w:after="0" w:line="1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Shirish Jajodia</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Corporate Treasurer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ir@microstrategy.com</w:t>
      </w:r>
    </w:p>
    <w:sectPr>
      <w:pgSz w:w="11900" w:h="16838" w:orient="portrait"/>
      <w:cols w:equalWidth="0" w:num="1">
        <w:col w:w="10019"/>
      </w:cols>
      <w:pgMar w:left="440" w:top="266"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1)"/>
      <w:numFmt w:val="lowerLetter"/>
      <w:start w:val="4"/>
    </w:lvl>
  </w:abstractNum>
  <w:abstractNum w:abstractNumId="2">
    <w:nsid w:val="19495CFF"/>
    <w:multiLevelType w:val="hybridMultilevel"/>
    <w:lvl w:ilvl="0">
      <w:lvlJc w:val="left"/>
      <w:lvlText w:val="(%1)"/>
      <w:numFmt w:val="lowerRoman"/>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2025-01-03T15:45:45Z</dcterms:created>
  <dcterms:modified xsi:type="dcterms:W3CDTF">2025-01-03T15:45:45Z</dcterms:modified>
</cp:coreProperties>
</file>