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167005</wp:posOffset>
            </wp:positionV>
            <wp:extent cx="1474470" cy="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22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199390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9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51"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2,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184785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175895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52"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179070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3"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52"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25"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93980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137160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On December 2, 2024, the Company announced that, during the period between November 25, 2024 and December 1, 2024, the Company had sold 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aggregate of 3,728,507 Shares under the Sales Agreement for aggregate net proceeds to the Company (less sales commissions) of approximately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$1.48 billion. As of December 1, 2024, approximately $11.3 billion of Shares remained available for issuance and sale pursuant to the Sales Agreement.</w:t>
      </w:r>
    </w:p>
    <w:p>
      <w:pPr>
        <w:spacing w:after="0" w:line="3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jc w:val="both"/>
        <w:ind w:right="300"/>
        <w:spacing w:after="0" w:line="266" w:lineRule="auto"/>
        <w:rPr>
          <w:sz w:val="20"/>
          <w:szCs w:val="20"/>
          <w:color w:val="auto"/>
        </w:rPr>
      </w:pPr>
      <w:r>
        <w:rPr>
          <w:rFonts w:ascii="Times New Roman" w:cs="Times New Roman" w:eastAsia="Times New Roman" w:hAnsi="Times New Roman"/>
          <w:sz w:val="18"/>
          <w:szCs w:val="18"/>
          <w:color w:val="auto"/>
        </w:rPr>
        <w:t>On December 2, 2024, the Company announced that, during the period between November 25, 2024 and December 1, 2024, the Company acquired approximately 15,400 bitcoins for approximately $1.5 billion in cash, at an average price of approximately $95,976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As of December 1, 2024, the Company, together with its subsidiaries, held an aggregate of approximately 402,100 bitcoins, which were acquired at an aggregate purchase price of approximately $23.4 billion and an average purchase price of approximately $58,263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1, 2024, the Company’s BTC Yield was 38.7%. From January 1, 2024 to December 1, 2024, the Company’s BTC Yield was 63.3%.</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248" w:lineRule="exact"/>
        <w:rPr>
          <w:sz w:val="20"/>
          <w:szCs w:val="20"/>
          <w:color w:val="auto"/>
        </w:rPr>
      </w:pPr>
    </w:p>
    <w:tbl>
      <w:tblPr>
        <w:tblLayout w:type="fixed"/>
        <w:tblInd w:w="880"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12/01/2024</w:t>
            </w:r>
          </w:p>
        </w:tc>
        <w:tc>
          <w:tcPr>
            <w:tcW w:w="60" w:type="dxa"/>
            <w:vAlign w:val="bottom"/>
          </w:tcPr>
          <w:p>
            <w:pPr>
              <w:spacing w:after="0"/>
              <w:rPr>
                <w:sz w:val="15"/>
                <w:szCs w:val="15"/>
                <w:color w:val="auto"/>
              </w:rPr>
            </w:pPr>
          </w:p>
        </w:tc>
      </w:tr>
      <w:tr>
        <w:trPr>
          <w:trHeight w:val="209"/>
        </w:trPr>
        <w:tc>
          <w:tcPr>
            <w:tcW w:w="50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402,100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5020" w:type="dxa"/>
            <w:vAlign w:val="bottom"/>
            <w:gridSpan w:val="2"/>
          </w:tcPr>
          <w:p>
            <w:pPr>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Shares Outstanding (in ‘000s) </w:t>
            </w:r>
            <w:r>
              <w:rPr>
                <w:rFonts w:ascii="Times New Roman" w:cs="Times New Roman" w:eastAsia="Times New Roman" w:hAnsi="Times New Roman"/>
                <w:sz w:val="25"/>
                <w:szCs w:val="25"/>
                <w:b w:val="1"/>
                <w:bCs w:val="1"/>
                <w:color w:val="auto"/>
                <w:vertAlign w:val="superscript"/>
              </w:rPr>
              <w:t>(1)</w:t>
            </w:r>
          </w:p>
        </w:tc>
        <w:tc>
          <w:tcPr>
            <w:tcW w:w="15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214,587</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234,227</w:t>
            </w:r>
          </w:p>
        </w:tc>
        <w:tc>
          <w:tcPr>
            <w:tcW w:w="6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tcPr>
          <w:p>
            <w:pPr>
              <w:spacing w:after="0"/>
              <w:rPr>
                <w:sz w:val="24"/>
                <w:szCs w:val="24"/>
                <w:color w:val="auto"/>
              </w:rPr>
            </w:pPr>
          </w:p>
        </w:tc>
        <w:tc>
          <w:tcPr>
            <w:tcW w:w="720" w:type="dxa"/>
            <w:vAlign w:val="bottom"/>
            <w:gridSpan w:val="2"/>
          </w:tcPr>
          <w:p>
            <w:pPr>
              <w:ind w:left="38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4,999</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1,861</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270,243</w:t>
            </w:r>
          </w:p>
        </w:tc>
        <w:tc>
          <w:tcPr>
            <w:tcW w:w="60" w:type="dxa"/>
            <w:vAlign w:val="bottom"/>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38.7%</w:t>
            </w: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63.3%</w:t>
            </w:r>
          </w:p>
        </w:tc>
        <w:tc>
          <w:tcPr>
            <w:tcW w:w="6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960" w:right="40" w:hanging="532"/>
        <w:spacing w:after="0" w:line="254"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960" w:right="40" w:hanging="532"/>
        <w:spacing w:after="0" w:line="250"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960" w:hanging="532"/>
        <w:spacing w:after="0" w:line="253"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ectPr>
          <w:pgSz w:w="11900" w:h="16838" w:orient="portrait"/>
          <w:cols w:equalWidth="0" w:num="1">
            <w:col w:w="11000"/>
          </w:cols>
          <w:pgMar w:left="440" w:top="295" w:right="459" w:bottom="1440" w:gutter="0" w:footer="0" w:header="0"/>
        </w:sectPr>
      </w:pPr>
    </w:p>
    <w:bookmarkStart w:id="3" w:name="page4"/>
    <w:bookmarkEnd w:id="3"/>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4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2, 2024</w:t>
            </w:r>
          </w:p>
        </w:tc>
        <w:tc>
          <w:tcPr>
            <w:tcW w:w="7380" w:type="dxa"/>
            <w:vAlign w:val="bottom"/>
            <w:gridSpan w:val="2"/>
          </w:tcPr>
          <w:p>
            <w:pPr>
              <w:ind w:left="188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40" w:type="dxa"/>
            <w:vAlign w:val="bottom"/>
          </w:tcPr>
          <w:p>
            <w:pPr>
              <w:spacing w:after="0"/>
              <w:rPr>
                <w:sz w:val="20"/>
                <w:szCs w:val="20"/>
                <w:color w:val="auto"/>
              </w:rPr>
            </w:pPr>
          </w:p>
        </w:tc>
        <w:tc>
          <w:tcPr>
            <w:tcW w:w="7380" w:type="dxa"/>
            <w:vAlign w:val="bottom"/>
            <w:gridSpan w:val="2"/>
          </w:tcPr>
          <w:p>
            <w:pPr>
              <w:ind w:left="188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40" w:type="dxa"/>
            <w:vAlign w:val="bottom"/>
          </w:tcPr>
          <w:p>
            <w:pPr>
              <w:spacing w:after="0"/>
              <w:rPr>
                <w:sz w:val="24"/>
                <w:szCs w:val="24"/>
                <w:color w:val="auto"/>
              </w:rPr>
            </w:pPr>
          </w:p>
        </w:tc>
        <w:tc>
          <w:tcPr>
            <w:tcW w:w="2520" w:type="dxa"/>
            <w:vAlign w:val="bottom"/>
          </w:tcPr>
          <w:p>
            <w:pPr>
              <w:ind w:left="188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40" w:type="dxa"/>
            <w:vAlign w:val="bottom"/>
          </w:tcPr>
          <w:p>
            <w:pPr>
              <w:spacing w:after="0"/>
              <w:rPr>
                <w:sz w:val="17"/>
                <w:szCs w:val="17"/>
                <w:color w:val="auto"/>
              </w:rPr>
            </w:pPr>
          </w:p>
        </w:tc>
        <w:tc>
          <w:tcPr>
            <w:tcW w:w="2520" w:type="dxa"/>
            <w:vAlign w:val="bottom"/>
          </w:tcPr>
          <w:p>
            <w:pPr>
              <w:ind w:left="188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40" w:type="dxa"/>
            <w:vAlign w:val="bottom"/>
          </w:tcPr>
          <w:p>
            <w:pPr>
              <w:spacing w:after="0"/>
              <w:rPr>
                <w:sz w:val="20"/>
                <w:szCs w:val="20"/>
                <w:color w:val="auto"/>
              </w:rPr>
            </w:pPr>
          </w:p>
        </w:tc>
        <w:tc>
          <w:tcPr>
            <w:tcW w:w="2520" w:type="dxa"/>
            <w:vAlign w:val="bottom"/>
          </w:tcPr>
          <w:p>
            <w:pPr>
              <w:ind w:left="188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2024-12-02T07:05:31Z</dcterms:created>
  <dcterms:modified xsi:type="dcterms:W3CDTF">2024-12-02T07:05:31Z</dcterms:modified>
</cp:coreProperties>
</file>