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4" w:lineRule="exact"/>
        <w:rPr>
          <w:sz w:val="24"/>
          <w:szCs w:val="24"/>
          <w:color w:val="auto"/>
        </w:rPr>
      </w:pPr>
    </w:p>
    <w:p>
      <w:pPr>
        <w:ind w:left="76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0" w:lineRule="exact"/>
        <w:rPr>
          <w:sz w:val="24"/>
          <w:szCs w:val="24"/>
          <w:color w:val="auto"/>
        </w:rPr>
      </w:pPr>
    </w:p>
    <w:p>
      <w:pPr>
        <w:ind w:left="360" w:right="4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-227965</wp:posOffset>
            </wp:positionV>
            <wp:extent cx="123825" cy="1238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20"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-663575</wp:posOffset>
            </wp:positionV>
            <wp:extent cx="123825" cy="1238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6300" w:type="dxa"/>
            <w:vAlign w:val="bottom"/>
          </w:tcPr>
          <w:p>
            <w:pPr>
              <w:jc w:val="center"/>
              <w:ind w:right="11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00" w:type="dxa"/>
            <w:vAlign w:val="bottom"/>
            <w:vMerge w:val="restart"/>
          </w:tcPr>
          <w:p>
            <w:pPr>
              <w:jc w:val="center"/>
              <w:ind w:right="116"/>
              <w:spacing w:after="0" w:line="14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3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2"/>
        </w:trPr>
        <w:tc>
          <w:tcPr>
            <w:tcW w:w="63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00" w:type="dxa"/>
            <w:vAlign w:val="bottom"/>
            <w:vMerge w:val="restart"/>
          </w:tcPr>
          <w:p>
            <w:pPr>
              <w:jc w:val="center"/>
              <w:ind w:right="11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5265420</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3994150</wp:posOffset>
            </wp:positionH>
            <wp:positionV relativeFrom="paragraph">
              <wp:posOffset>-631190</wp:posOffset>
            </wp:positionV>
            <wp:extent cx="58420" cy="644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-1635125</wp:posOffset>
            </wp:positionH>
            <wp:positionV relativeFrom="paragraph">
              <wp:posOffset>750570</wp:posOffset>
            </wp:positionV>
            <wp:extent cx="6992620" cy="53333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2620" cy="5333365"/>
                    </a:xfrm>
                    <a:prstGeom prst="rect">
                      <a:avLst/>
                    </a:prstGeom>
                    <a:noFill/>
                  </pic:spPr>
                </pic:pic>
              </a:graphicData>
            </a:graphic>
          </wp:anchor>
        </w:drawing>
      </w:r>
    </w:p>
    <w:p>
      <w:pPr>
        <w:spacing w:after="0" w:line="1256" w:lineRule="exact"/>
        <w:rPr>
          <w:sz w:val="24"/>
          <w:szCs w:val="24"/>
          <w:color w:val="auto"/>
        </w:rPr>
      </w:pPr>
    </w:p>
    <w:p>
      <w:pPr>
        <w:sectPr>
          <w:pgSz w:w="11900" w:h="16838" w:orient="portrait"/>
          <w:cols w:equalWidth="0" w:num="2">
            <w:col w:w="2300" w:space="260"/>
            <w:col w:w="8520"/>
          </w:cols>
          <w:pgMar w:left="460" w:top="216"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Le Phong</w:t>
        </w:r>
      </w:hyperlink>
    </w:p>
    <w:p>
      <w:pPr>
        <w:spacing w:after="0" w:line="295"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2" w:lineRule="exact"/>
        <w:rPr>
          <w:sz w:val="24"/>
          <w:szCs w:val="24"/>
          <w:color w:val="auto"/>
        </w:rPr>
      </w:pPr>
    </w:p>
    <w:p>
      <w:pPr>
        <w:ind w:left="120"/>
        <w:spacing w:after="0" w:line="381" w:lineRule="auto"/>
        <w:rPr>
          <w:sz w:val="20"/>
          <w:szCs w:val="20"/>
          <w:color w:val="auto"/>
        </w:rPr>
      </w:pPr>
      <w:r>
        <w:rPr>
          <w:rFonts w:ascii="Times New Roman" w:cs="Times New Roman" w:eastAsia="Times New Roman" w:hAnsi="Times New Roman"/>
          <w:sz w:val="16"/>
          <w:szCs w:val="16"/>
          <w:color w:val="0000FF"/>
        </w:rPr>
        <w:t>C/O MICROSTRATEGY INCORPORATED 1850 TOWERS CRESCENT PLAZA</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3" w:lineRule="exact"/>
        <w:rPr>
          <w:sz w:val="24"/>
          <w:szCs w:val="24"/>
          <w:color w:val="auto"/>
        </w:rPr>
      </w:pPr>
    </w:p>
    <w:p>
      <w:pPr>
        <w:spacing w:after="0"/>
        <w:rPr>
          <w:rFonts w:ascii="Times New Roman" w:cs="Times New Roman" w:eastAsia="Times New Roman" w:hAnsi="Times New Roman"/>
          <w:sz w:val="20"/>
          <w:szCs w:val="20"/>
          <w:color w:val="0000EE"/>
        </w:rPr>
      </w:pPr>
      <w:hyperlink r:id="rId14">
        <w:r>
          <w:rPr>
            <w:rFonts w:ascii="Times New Roman" w:cs="Times New Roman" w:eastAsia="Times New Roman" w:hAnsi="Times New Roman"/>
            <w:sz w:val="20"/>
            <w:szCs w:val="20"/>
            <w:u w:val="single" w:color="auto"/>
            <w:color w:val="0000EE"/>
          </w:rPr>
          <w:t>MICROSTRATEGY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5"/>
          <w:szCs w:val="15"/>
          <w:color w:val="0000FF"/>
        </w:rPr>
        <w:t>MSTR</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200" w:lineRule="exact"/>
        <w:rPr>
          <w:sz w:val="24"/>
          <w:szCs w:val="24"/>
          <w:color w:val="auto"/>
        </w:rPr>
      </w:pPr>
    </w:p>
    <w:p>
      <w:pPr>
        <w:spacing w:after="0" w:line="237"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2"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11/14/2024</w:t>
      </w:r>
    </w:p>
    <w:p>
      <w:pPr>
        <w:spacing w:after="0" w:line="20" w:lineRule="exact"/>
        <w:rPr>
          <w:sz w:val="24"/>
          <w:szCs w:val="24"/>
          <w:color w:val="auto"/>
        </w:rPr>
      </w:pPr>
      <w:r>
        <w:rPr>
          <w:sz w:val="24"/>
          <w:szCs w:val="24"/>
          <w:color w:val="auto"/>
        </w:rPr>
        <w:br w:type="column"/>
      </w:r>
    </w:p>
    <w:p>
      <w:pPr>
        <w:ind w:left="-6" w:right="620" w:firstLine="6"/>
        <w:spacing w:after="0" w:line="265" w:lineRule="auto"/>
        <w:tabs>
          <w:tab w:leader="none" w:pos="139"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1" w:lineRule="exact"/>
        <w:rPr>
          <w:sz w:val="24"/>
          <w:szCs w:val="24"/>
          <w:color w:val="auto"/>
        </w:rPr>
      </w:pPr>
    </w:p>
    <w:p>
      <w:pPr>
        <w:ind w:left="534"/>
        <w:spacing w:after="0"/>
        <w:tabs>
          <w:tab w:leader="none" w:pos="2094" w:val="left"/>
        </w:tabs>
        <w:rPr>
          <w:sz w:val="20"/>
          <w:szCs w:val="20"/>
          <w:color w:val="auto"/>
        </w:rPr>
      </w:pPr>
      <w:r>
        <w:rPr>
          <w:rFonts w:ascii="Arial" w:cs="Arial" w:eastAsia="Arial" w:hAnsi="Arial"/>
          <w:sz w:val="13"/>
          <w:szCs w:val="13"/>
          <w:color w:val="auto"/>
        </w:rPr>
        <w:t>Director</w:t>
      </w:r>
      <w:r>
        <w:rPr>
          <w:sz w:val="20"/>
          <w:szCs w:val="20"/>
          <w:color w:val="auto"/>
        </w:rPr>
        <w:tab/>
      </w:r>
      <w:r>
        <w:rPr>
          <w:rFonts w:ascii="Arial" w:cs="Arial" w:eastAsia="Arial" w:hAnsi="Arial"/>
          <w:sz w:val="13"/>
          <w:szCs w:val="13"/>
          <w:color w:val="auto"/>
        </w:rPr>
        <w:t>10% Owner</w:t>
      </w:r>
    </w:p>
    <w:p>
      <w:pPr>
        <w:spacing w:after="0" w:line="72" w:lineRule="exact"/>
        <w:rPr>
          <w:sz w:val="24"/>
          <w:szCs w:val="24"/>
          <w:color w:val="auto"/>
        </w:rPr>
      </w:pPr>
    </w:p>
    <w:p>
      <w:pPr>
        <w:jc w:val="right"/>
        <w:ind w:right="440"/>
        <w:spacing w:after="0"/>
        <w:tabs>
          <w:tab w:leader="none" w:pos="780" w:val="left"/>
        </w:tabs>
        <w:rPr>
          <w:sz w:val="20"/>
          <w:szCs w:val="20"/>
          <w:color w:val="auto"/>
        </w:rPr>
      </w:pPr>
      <w:r>
        <w:rPr>
          <w:rFonts w:ascii="Arial" w:cs="Arial" w:eastAsia="Arial" w:hAnsi="Arial"/>
          <w:sz w:val="13"/>
          <w:szCs w:val="13"/>
          <w:color w:val="auto"/>
        </w:rPr>
        <w:t>Officer (give title</w:t>
      </w:r>
      <w:r>
        <w:rPr>
          <w:sz w:val="20"/>
          <w:szCs w:val="20"/>
          <w:color w:val="auto"/>
        </w:rPr>
        <w:tab/>
      </w:r>
      <w:r>
        <w:rPr>
          <w:rFonts w:ascii="Arial" w:cs="Arial" w:eastAsia="Arial" w:hAnsi="Arial"/>
          <w:sz w:val="12"/>
          <w:szCs w:val="12"/>
          <w:color w:val="auto"/>
        </w:rPr>
        <w:t>Other (specify</w:t>
      </w:r>
    </w:p>
    <w:p>
      <w:pPr>
        <w:spacing w:after="0" w:line="6" w:lineRule="exact"/>
        <w:rPr>
          <w:sz w:val="24"/>
          <w:szCs w:val="24"/>
          <w:color w:val="auto"/>
        </w:rPr>
      </w:pPr>
    </w:p>
    <w:p>
      <w:pPr>
        <w:ind w:left="534"/>
        <w:spacing w:after="0"/>
        <w:tabs>
          <w:tab w:leader="none" w:pos="2094" w:val="left"/>
        </w:tabs>
        <w:rPr>
          <w:sz w:val="20"/>
          <w:szCs w:val="20"/>
          <w:color w:val="auto"/>
        </w:rPr>
      </w:pPr>
      <w:r>
        <w:rPr>
          <w:rFonts w:ascii="Arial" w:cs="Arial" w:eastAsia="Arial" w:hAnsi="Arial"/>
          <w:sz w:val="13"/>
          <w:szCs w:val="13"/>
          <w:color w:val="auto"/>
        </w:rPr>
        <w:t>below)</w:t>
      </w:r>
      <w:r>
        <w:rPr>
          <w:sz w:val="20"/>
          <w:szCs w:val="20"/>
          <w:color w:val="auto"/>
        </w:rPr>
        <w:tab/>
      </w:r>
      <w:r>
        <w:rPr>
          <w:rFonts w:ascii="Arial" w:cs="Arial" w:eastAsia="Arial" w:hAnsi="Arial"/>
          <w:sz w:val="13"/>
          <w:szCs w:val="13"/>
          <w:color w:val="auto"/>
        </w:rPr>
        <w:t>below)</w:t>
      </w:r>
    </w:p>
    <w:p>
      <w:pPr>
        <w:spacing w:after="0" w:line="34" w:lineRule="exact"/>
        <w:rPr>
          <w:sz w:val="24"/>
          <w:szCs w:val="24"/>
          <w:color w:val="auto"/>
        </w:rPr>
      </w:pPr>
    </w:p>
    <w:p>
      <w:pPr>
        <w:ind w:left="994"/>
        <w:spacing w:after="0"/>
        <w:rPr>
          <w:sz w:val="20"/>
          <w:szCs w:val="20"/>
          <w:color w:val="auto"/>
        </w:rPr>
      </w:pPr>
      <w:r>
        <w:rPr>
          <w:rFonts w:ascii="Times New Roman" w:cs="Times New Roman" w:eastAsia="Times New Roman" w:hAnsi="Times New Roman"/>
          <w:sz w:val="17"/>
          <w:szCs w:val="17"/>
          <w:color w:val="0000FF"/>
        </w:rPr>
        <w:t>President &amp; CEO</w:t>
      </w:r>
    </w:p>
    <w:p>
      <w:pPr>
        <w:spacing w:after="0" w:line="467" w:lineRule="exact"/>
        <w:rPr>
          <w:sz w:val="24"/>
          <w:szCs w:val="24"/>
          <w:color w:val="auto"/>
        </w:rPr>
      </w:pPr>
    </w:p>
    <w:p>
      <w:pPr>
        <w:sectPr>
          <w:pgSz w:w="11900" w:h="16838" w:orient="portrait"/>
          <w:cols w:equalWidth="0" w:num="3">
            <w:col w:w="3200" w:space="700"/>
            <w:col w:w="3106" w:space="720"/>
            <w:col w:w="3354"/>
          </w:cols>
          <w:pgMar w:left="460" w:top="216" w:right="359" w:bottom="1440" w:gutter="0" w:footer="0" w:header="0"/>
          <w:type w:val="continuous"/>
        </w:sectPr>
      </w:pPr>
    </w:p>
    <w:tbl>
      <w:tblPr>
        <w:tblLayout w:type="fixed"/>
        <w:tblInd w:w="80" w:type="dxa"/>
        <w:tblCellMar>
          <w:top w:w="0" w:type="dxa"/>
          <w:left w:w="0" w:type="dxa"/>
          <w:bottom w:w="0" w:type="dxa"/>
          <w:right w:w="0" w:type="dxa"/>
        </w:tblCellMar>
      </w:tblPr>
      <w:tr>
        <w:trPr>
          <w:trHeight w:val="26"/>
        </w:trPr>
        <w:tc>
          <w:tcPr>
            <w:tcW w:w="20" w:type="dxa"/>
            <w:vAlign w:val="bottom"/>
          </w:tcPr>
          <w:p>
            <w:pPr>
              <w:spacing w:after="0"/>
              <w:rPr>
                <w:sz w:val="2"/>
                <w:szCs w:val="2"/>
                <w:color w:val="auto"/>
              </w:rPr>
            </w:pPr>
          </w:p>
        </w:tc>
        <w:tc>
          <w:tcPr>
            <w:tcW w:w="3640" w:type="dxa"/>
            <w:vAlign w:val="bottom"/>
            <w:tcBorders>
              <w:bottom w:val="single" w:sz="8" w:color="9A9A9A"/>
            </w:tcBorders>
          </w:tcPr>
          <w:p>
            <w:pPr>
              <w:spacing w:after="0"/>
              <w:rPr>
                <w:sz w:val="2"/>
                <w:szCs w:val="2"/>
                <w:color w:val="auto"/>
              </w:rPr>
            </w:pPr>
          </w:p>
        </w:tc>
        <w:tc>
          <w:tcPr>
            <w:tcW w:w="100" w:type="dxa"/>
            <w:vAlign w:val="bottom"/>
          </w:tcPr>
          <w:p>
            <w:pPr>
              <w:spacing w:after="0"/>
              <w:rPr>
                <w:sz w:val="2"/>
                <w:szCs w:val="2"/>
                <w:color w:val="auto"/>
              </w:rPr>
            </w:pPr>
          </w:p>
        </w:tc>
        <w:tc>
          <w:tcPr>
            <w:tcW w:w="3620" w:type="dxa"/>
            <w:vAlign w:val="bottom"/>
            <w:tcBorders>
              <w:top w:val="single" w:sz="8" w:color="2C2C2C"/>
              <w:bottom w:val="single" w:sz="8" w:color="2C2C2C"/>
            </w:tcBorders>
            <w:vMerge w:val="restart"/>
          </w:tcPr>
          <w:p>
            <w:pPr>
              <w:ind w:left="60"/>
              <w:spacing w:after="0"/>
              <w:rPr>
                <w:sz w:val="20"/>
                <w:szCs w:val="20"/>
                <w:color w:val="auto"/>
              </w:rPr>
            </w:pPr>
            <w:r>
              <w:rPr>
                <w:rFonts w:ascii="Arial" w:cs="Arial" w:eastAsia="Arial" w:hAnsi="Arial"/>
                <w:sz w:val="13"/>
                <w:szCs w:val="13"/>
                <w:color w:val="auto"/>
              </w:rPr>
              <w:t>4. If Amendment, Date of Original Filed (Month/Day/Year)</w:t>
            </w:r>
          </w:p>
        </w:tc>
        <w:tc>
          <w:tcPr>
            <w:tcW w:w="3500" w:type="dxa"/>
            <w:vAlign w:val="bottom"/>
            <w:tcBorders>
              <w:top w:val="single" w:sz="8" w:color="2C2C2C"/>
              <w:bottom w:val="single" w:sz="8" w:color="2C2C2C"/>
            </w:tcBorders>
            <w:vMerge w:val="restart"/>
          </w:tcPr>
          <w:p>
            <w:pPr>
              <w:ind w:left="2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20"/>
        </w:trPr>
        <w:tc>
          <w:tcPr>
            <w:tcW w:w="20" w:type="dxa"/>
            <w:vAlign w:val="bottom"/>
          </w:tcPr>
          <w:p>
            <w:pPr>
              <w:spacing w:after="0" w:line="20" w:lineRule="exact"/>
              <w:rPr>
                <w:sz w:val="1"/>
                <w:szCs w:val="1"/>
                <w:color w:val="auto"/>
              </w:rPr>
            </w:pPr>
          </w:p>
        </w:tc>
        <w:tc>
          <w:tcPr>
            <w:tcW w:w="3640" w:type="dxa"/>
            <w:vAlign w:val="bottom"/>
            <w:shd w:val="clear" w:color="auto" w:fill="EEEEEE"/>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620" w:type="dxa"/>
            <w:vAlign w:val="bottom"/>
            <w:vMerge w:val="continue"/>
          </w:tcPr>
          <w:p>
            <w:pPr>
              <w:spacing w:after="0" w:line="20" w:lineRule="exact"/>
              <w:rPr>
                <w:sz w:val="1"/>
                <w:szCs w:val="1"/>
                <w:color w:val="auto"/>
              </w:rPr>
            </w:pPr>
          </w:p>
        </w:tc>
        <w:tc>
          <w:tcPr>
            <w:tcW w:w="3500" w:type="dxa"/>
            <w:vAlign w:val="bottom"/>
            <w:vMerge w:val="continue"/>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2"/>
        </w:trPr>
        <w:tc>
          <w:tcPr>
            <w:tcW w:w="3660" w:type="dxa"/>
            <w:vAlign w:val="bottom"/>
            <w:gridSpan w:val="2"/>
            <w:vMerge w:val="restart"/>
          </w:tcPr>
          <w:p>
            <w:pPr>
              <w:spacing w:after="0"/>
              <w:rPr>
                <w:sz w:val="20"/>
                <w:szCs w:val="20"/>
                <w:color w:val="auto"/>
              </w:rPr>
            </w:pPr>
            <w:r>
              <w:rPr>
                <w:rFonts w:ascii="Arial" w:cs="Arial" w:eastAsia="Arial" w:hAnsi="Arial"/>
                <w:sz w:val="13"/>
                <w:szCs w:val="13"/>
                <w:color w:val="auto"/>
              </w:rPr>
              <w:t>(Street)</w:t>
            </w:r>
          </w:p>
        </w:tc>
        <w:tc>
          <w:tcPr>
            <w:tcW w:w="100" w:type="dxa"/>
            <w:vAlign w:val="bottom"/>
          </w:tcPr>
          <w:p>
            <w:pPr>
              <w:spacing w:after="0"/>
              <w:rPr>
                <w:sz w:val="10"/>
                <w:szCs w:val="10"/>
                <w:color w:val="auto"/>
              </w:rPr>
            </w:pPr>
          </w:p>
        </w:tc>
        <w:tc>
          <w:tcPr>
            <w:tcW w:w="3620" w:type="dxa"/>
            <w:vAlign w:val="bottom"/>
            <w:vMerge w:val="continue"/>
          </w:tcPr>
          <w:p>
            <w:pPr>
              <w:spacing w:after="0"/>
              <w:rPr>
                <w:sz w:val="10"/>
                <w:szCs w:val="10"/>
                <w:color w:val="auto"/>
              </w:rPr>
            </w:pPr>
          </w:p>
        </w:tc>
        <w:tc>
          <w:tcPr>
            <w:tcW w:w="350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0"/>
        </w:trPr>
        <w:tc>
          <w:tcPr>
            <w:tcW w:w="3660" w:type="dxa"/>
            <w:vAlign w:val="bottom"/>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3620" w:type="dxa"/>
            <w:vAlign w:val="bottom"/>
          </w:tcPr>
          <w:p>
            <w:pPr>
              <w:spacing w:after="0"/>
              <w:rPr>
                <w:sz w:val="10"/>
                <w:szCs w:val="10"/>
                <w:color w:val="auto"/>
              </w:rPr>
            </w:pPr>
          </w:p>
        </w:tc>
        <w:tc>
          <w:tcPr>
            <w:tcW w:w="3500" w:type="dxa"/>
            <w:vAlign w:val="bottom"/>
            <w:vMerge w:val="restart"/>
          </w:tcPr>
          <w:p>
            <w:pPr>
              <w:ind w:left="260"/>
              <w:spacing w:after="0" w:line="148" w:lineRule="exact"/>
              <w:rPr>
                <w:sz w:val="20"/>
                <w:szCs w:val="20"/>
                <w:color w:val="auto"/>
              </w:rPr>
            </w:pPr>
            <w:r>
              <w:rPr>
                <w:rFonts w:ascii="Arial" w:cs="Arial" w:eastAsia="Arial" w:hAnsi="Arial"/>
                <w:sz w:val="13"/>
                <w:szCs w:val="13"/>
                <w:color w:val="auto"/>
              </w:rPr>
              <w:t>Line)</w:t>
            </w:r>
          </w:p>
        </w:tc>
        <w:tc>
          <w:tcPr>
            <w:tcW w:w="0" w:type="dxa"/>
            <w:vAlign w:val="bottom"/>
          </w:tcPr>
          <w:p>
            <w:pPr>
              <w:spacing w:after="0"/>
              <w:rPr>
                <w:sz w:val="1"/>
                <w:szCs w:val="1"/>
                <w:color w:val="auto"/>
              </w:rPr>
            </w:pPr>
          </w:p>
        </w:tc>
      </w:tr>
      <w:tr>
        <w:trPr>
          <w:trHeight w:val="28"/>
        </w:trPr>
        <w:tc>
          <w:tcPr>
            <w:tcW w:w="20" w:type="dxa"/>
            <w:vAlign w:val="bottom"/>
          </w:tcPr>
          <w:p>
            <w:pPr>
              <w:spacing w:after="0"/>
              <w:rPr>
                <w:sz w:val="2"/>
                <w:szCs w:val="2"/>
                <w:color w:val="auto"/>
              </w:rPr>
            </w:pPr>
          </w:p>
        </w:tc>
        <w:tc>
          <w:tcPr>
            <w:tcW w:w="3640" w:type="dxa"/>
            <w:vAlign w:val="bottom"/>
          </w:tcPr>
          <w:p>
            <w:pPr>
              <w:spacing w:after="0"/>
              <w:rPr>
                <w:sz w:val="2"/>
                <w:szCs w:val="2"/>
                <w:color w:val="auto"/>
              </w:rPr>
            </w:pPr>
          </w:p>
        </w:tc>
        <w:tc>
          <w:tcPr>
            <w:tcW w:w="100" w:type="dxa"/>
            <w:vAlign w:val="bottom"/>
          </w:tcPr>
          <w:p>
            <w:pPr>
              <w:spacing w:after="0"/>
              <w:rPr>
                <w:sz w:val="2"/>
                <w:szCs w:val="2"/>
                <w:color w:val="auto"/>
              </w:rPr>
            </w:pPr>
          </w:p>
        </w:tc>
        <w:tc>
          <w:tcPr>
            <w:tcW w:w="3620" w:type="dxa"/>
            <w:vAlign w:val="bottom"/>
          </w:tcPr>
          <w:p>
            <w:pPr>
              <w:spacing w:after="0"/>
              <w:rPr>
                <w:sz w:val="2"/>
                <w:szCs w:val="2"/>
                <w:color w:val="auto"/>
              </w:rPr>
            </w:pPr>
          </w:p>
        </w:tc>
        <w:tc>
          <w:tcPr>
            <w:tcW w:w="350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1" w:lineRule="exact"/>
        <w:rPr>
          <w:sz w:val="24"/>
          <w:szCs w:val="24"/>
          <w:color w:val="auto"/>
        </w:rPr>
      </w:pPr>
    </w:p>
    <w:tbl>
      <w:tblPr>
        <w:tblLayout w:type="fixed"/>
        <w:tblInd w:w="100" w:type="dxa"/>
        <w:tblCellMar>
          <w:top w:w="0" w:type="dxa"/>
          <w:left w:w="0" w:type="dxa"/>
          <w:bottom w:w="0" w:type="dxa"/>
          <w:right w:w="0" w:type="dxa"/>
        </w:tblCellMar>
      </w:tblPr>
      <w:tr>
        <w:trPr>
          <w:trHeight w:val="190"/>
        </w:trPr>
        <w:tc>
          <w:tcPr>
            <w:tcW w:w="980" w:type="dxa"/>
            <w:vAlign w:val="bottom"/>
          </w:tcPr>
          <w:p>
            <w:pPr>
              <w:ind w:left="20"/>
              <w:spacing w:after="0" w:line="190" w:lineRule="exact"/>
              <w:rPr>
                <w:sz w:val="20"/>
                <w:szCs w:val="20"/>
                <w:color w:val="auto"/>
              </w:rPr>
            </w:pPr>
            <w:r>
              <w:rPr>
                <w:rFonts w:ascii="Times New Roman" w:cs="Times New Roman" w:eastAsia="Times New Roman" w:hAnsi="Times New Roman"/>
                <w:sz w:val="17"/>
                <w:szCs w:val="17"/>
                <w:color w:val="0000FF"/>
              </w:rPr>
              <w:t>TYSONS</w:t>
            </w:r>
          </w:p>
        </w:tc>
        <w:tc>
          <w:tcPr>
            <w:tcW w:w="1060" w:type="dxa"/>
            <w:vAlign w:val="bottom"/>
            <w:vMerge w:val="restart"/>
          </w:tcPr>
          <w:p>
            <w:pPr>
              <w:ind w:left="260"/>
              <w:spacing w:after="0"/>
              <w:rPr>
                <w:sz w:val="20"/>
                <w:szCs w:val="20"/>
                <w:color w:val="auto"/>
              </w:rPr>
            </w:pPr>
            <w:r>
              <w:rPr>
                <w:rFonts w:ascii="Times New Roman" w:cs="Times New Roman" w:eastAsia="Times New Roman" w:hAnsi="Times New Roman"/>
                <w:sz w:val="17"/>
                <w:szCs w:val="17"/>
                <w:color w:val="0000FF"/>
              </w:rPr>
              <w:t>VA</w:t>
            </w:r>
          </w:p>
        </w:tc>
        <w:tc>
          <w:tcPr>
            <w:tcW w:w="1600" w:type="dxa"/>
            <w:vAlign w:val="bottom"/>
            <w:vMerge w:val="restart"/>
          </w:tcPr>
          <w:p>
            <w:pPr>
              <w:ind w:left="420"/>
              <w:spacing w:after="0"/>
              <w:rPr>
                <w:sz w:val="20"/>
                <w:szCs w:val="20"/>
                <w:color w:val="auto"/>
              </w:rPr>
            </w:pPr>
            <w:r>
              <w:rPr>
                <w:rFonts w:ascii="Times New Roman" w:cs="Times New Roman" w:eastAsia="Times New Roman" w:hAnsi="Times New Roman"/>
                <w:sz w:val="17"/>
                <w:szCs w:val="17"/>
                <w:color w:val="0000FF"/>
              </w:rPr>
              <w:t>22182</w:t>
            </w:r>
          </w:p>
        </w:tc>
        <w:tc>
          <w:tcPr>
            <w:tcW w:w="6780" w:type="dxa"/>
            <w:vAlign w:val="bottom"/>
            <w:vMerge w:val="restart"/>
          </w:tcPr>
          <w:p>
            <w:pPr>
              <w:ind w:left="45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91"/>
        </w:trPr>
        <w:tc>
          <w:tcPr>
            <w:tcW w:w="98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CORNER</w:t>
            </w:r>
          </w:p>
        </w:tc>
        <w:tc>
          <w:tcPr>
            <w:tcW w:w="1060" w:type="dxa"/>
            <w:vAlign w:val="bottom"/>
            <w:vMerge w:val="continue"/>
          </w:tcPr>
          <w:p>
            <w:pPr>
              <w:spacing w:after="0"/>
              <w:rPr>
                <w:sz w:val="7"/>
                <w:szCs w:val="7"/>
                <w:color w:val="auto"/>
              </w:rPr>
            </w:pPr>
          </w:p>
        </w:tc>
        <w:tc>
          <w:tcPr>
            <w:tcW w:w="1600" w:type="dxa"/>
            <w:vAlign w:val="bottom"/>
            <w:vMerge w:val="continue"/>
          </w:tcPr>
          <w:p>
            <w:pPr>
              <w:spacing w:after="0"/>
              <w:rPr>
                <w:sz w:val="7"/>
                <w:szCs w:val="7"/>
                <w:color w:val="auto"/>
              </w:rPr>
            </w:pPr>
          </w:p>
        </w:tc>
        <w:tc>
          <w:tcPr>
            <w:tcW w:w="67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143"/>
        </w:trPr>
        <w:tc>
          <w:tcPr>
            <w:tcW w:w="980" w:type="dxa"/>
            <w:vAlign w:val="bottom"/>
            <w:vMerge w:val="continue"/>
          </w:tcPr>
          <w:p>
            <w:pPr>
              <w:spacing w:after="0"/>
              <w:rPr>
                <w:sz w:val="12"/>
                <w:szCs w:val="12"/>
                <w:color w:val="auto"/>
              </w:rPr>
            </w:pPr>
          </w:p>
        </w:tc>
        <w:tc>
          <w:tcPr>
            <w:tcW w:w="1060" w:type="dxa"/>
            <w:vAlign w:val="bottom"/>
          </w:tcPr>
          <w:p>
            <w:pPr>
              <w:spacing w:after="0"/>
              <w:rPr>
                <w:sz w:val="12"/>
                <w:szCs w:val="12"/>
                <w:color w:val="auto"/>
              </w:rPr>
            </w:pPr>
          </w:p>
        </w:tc>
        <w:tc>
          <w:tcPr>
            <w:tcW w:w="1600" w:type="dxa"/>
            <w:vAlign w:val="bottom"/>
          </w:tcPr>
          <w:p>
            <w:pPr>
              <w:spacing w:after="0"/>
              <w:rPr>
                <w:sz w:val="12"/>
                <w:szCs w:val="12"/>
                <w:color w:val="auto"/>
              </w:rPr>
            </w:pPr>
          </w:p>
        </w:tc>
        <w:tc>
          <w:tcPr>
            <w:tcW w:w="6780" w:type="dxa"/>
            <w:vAlign w:val="bottom"/>
          </w:tcPr>
          <w:p>
            <w:pPr>
              <w:ind w:left="4520"/>
              <w:spacing w:after="0" w:line="143" w:lineRule="exact"/>
              <w:rPr>
                <w:sz w:val="20"/>
                <w:szCs w:val="20"/>
                <w:color w:val="auto"/>
              </w:rPr>
            </w:pPr>
            <w:r>
              <w:rPr>
                <w:rFonts w:ascii="Arial" w:cs="Arial" w:eastAsia="Arial" w:hAnsi="Arial"/>
                <w:sz w:val="13"/>
                <w:szCs w:val="13"/>
                <w:color w:val="auto"/>
                <w:w w:val="99"/>
              </w:rPr>
              <w:t>Form filed by More than One Reporting</w:t>
            </w:r>
          </w:p>
        </w:tc>
        <w:tc>
          <w:tcPr>
            <w:tcW w:w="0" w:type="dxa"/>
            <w:vAlign w:val="bottom"/>
          </w:tcPr>
          <w:p>
            <w:pPr>
              <w:spacing w:after="0"/>
              <w:rPr>
                <w:sz w:val="1"/>
                <w:szCs w:val="1"/>
                <w:color w:val="auto"/>
              </w:rPr>
            </w:pPr>
          </w:p>
        </w:tc>
      </w:tr>
      <w:tr>
        <w:trPr>
          <w:trHeight w:val="136"/>
        </w:trPr>
        <w:tc>
          <w:tcPr>
            <w:tcW w:w="980" w:type="dxa"/>
            <w:vAlign w:val="bottom"/>
            <w:tcBorders>
              <w:bottom w:val="single" w:sz="8" w:color="9A9A9A"/>
            </w:tcBorders>
          </w:tcPr>
          <w:p>
            <w:pPr>
              <w:spacing w:after="0"/>
              <w:rPr>
                <w:sz w:val="11"/>
                <w:szCs w:val="11"/>
                <w:color w:val="auto"/>
              </w:rPr>
            </w:pPr>
          </w:p>
        </w:tc>
        <w:tc>
          <w:tcPr>
            <w:tcW w:w="1060" w:type="dxa"/>
            <w:vAlign w:val="bottom"/>
            <w:tcBorders>
              <w:bottom w:val="single" w:sz="8" w:color="9A9A9A"/>
            </w:tcBorders>
          </w:tcPr>
          <w:p>
            <w:pPr>
              <w:spacing w:after="0"/>
              <w:rPr>
                <w:sz w:val="11"/>
                <w:szCs w:val="11"/>
                <w:color w:val="auto"/>
              </w:rPr>
            </w:pPr>
          </w:p>
        </w:tc>
        <w:tc>
          <w:tcPr>
            <w:tcW w:w="1600" w:type="dxa"/>
            <w:vAlign w:val="bottom"/>
            <w:tcBorders>
              <w:bottom w:val="single" w:sz="8" w:color="9A9A9A"/>
            </w:tcBorders>
          </w:tcPr>
          <w:p>
            <w:pPr>
              <w:spacing w:after="0"/>
              <w:rPr>
                <w:sz w:val="11"/>
                <w:szCs w:val="11"/>
                <w:color w:val="auto"/>
              </w:rPr>
            </w:pPr>
          </w:p>
        </w:tc>
        <w:tc>
          <w:tcPr>
            <w:tcW w:w="6780" w:type="dxa"/>
            <w:vAlign w:val="bottom"/>
          </w:tcPr>
          <w:p>
            <w:pPr>
              <w:ind w:left="4520"/>
              <w:spacing w:after="0" w:line="110" w:lineRule="exact"/>
              <w:rPr>
                <w:sz w:val="20"/>
                <w:szCs w:val="20"/>
                <w:color w:val="auto"/>
              </w:rPr>
            </w:pPr>
            <w:r>
              <w:rPr>
                <w:rFonts w:ascii="Arial" w:cs="Arial" w:eastAsia="Arial" w:hAnsi="Arial"/>
                <w:sz w:val="12"/>
                <w:szCs w:val="12"/>
                <w:color w:val="auto"/>
              </w:rPr>
              <w:t>Person</w:t>
            </w:r>
          </w:p>
        </w:tc>
        <w:tc>
          <w:tcPr>
            <w:tcW w:w="0" w:type="dxa"/>
            <w:vAlign w:val="bottom"/>
          </w:tcPr>
          <w:p>
            <w:pPr>
              <w:spacing w:after="0"/>
              <w:rPr>
                <w:sz w:val="1"/>
                <w:szCs w:val="1"/>
                <w:color w:val="auto"/>
              </w:rPr>
            </w:pPr>
          </w:p>
        </w:tc>
      </w:tr>
      <w:tr>
        <w:trPr>
          <w:trHeight w:val="302"/>
        </w:trPr>
        <w:tc>
          <w:tcPr>
            <w:tcW w:w="980" w:type="dxa"/>
            <w:vAlign w:val="bottom"/>
          </w:tcPr>
          <w:p>
            <w:pPr>
              <w:ind w:left="20"/>
              <w:spacing w:after="0"/>
              <w:rPr>
                <w:sz w:val="20"/>
                <w:szCs w:val="20"/>
                <w:color w:val="auto"/>
              </w:rPr>
            </w:pPr>
            <w:r>
              <w:rPr>
                <w:rFonts w:ascii="Arial" w:cs="Arial" w:eastAsia="Arial" w:hAnsi="Arial"/>
                <w:sz w:val="13"/>
                <w:szCs w:val="13"/>
                <w:color w:val="auto"/>
              </w:rPr>
              <w:t>(City)</w:t>
            </w:r>
          </w:p>
        </w:tc>
        <w:tc>
          <w:tcPr>
            <w:tcW w:w="1060" w:type="dxa"/>
            <w:vAlign w:val="bottom"/>
          </w:tcPr>
          <w:p>
            <w:pPr>
              <w:ind w:left="260"/>
              <w:spacing w:after="0"/>
              <w:rPr>
                <w:sz w:val="20"/>
                <w:szCs w:val="20"/>
                <w:color w:val="auto"/>
              </w:rPr>
            </w:pPr>
            <w:r>
              <w:rPr>
                <w:rFonts w:ascii="Arial" w:cs="Arial" w:eastAsia="Arial" w:hAnsi="Arial"/>
                <w:sz w:val="13"/>
                <w:szCs w:val="13"/>
                <w:color w:val="auto"/>
              </w:rPr>
              <w:t>(State)</w:t>
            </w:r>
          </w:p>
        </w:tc>
        <w:tc>
          <w:tcPr>
            <w:tcW w:w="1600" w:type="dxa"/>
            <w:vAlign w:val="bottom"/>
          </w:tcPr>
          <w:p>
            <w:pPr>
              <w:ind w:left="420"/>
              <w:spacing w:after="0"/>
              <w:rPr>
                <w:sz w:val="20"/>
                <w:szCs w:val="20"/>
                <w:color w:val="auto"/>
              </w:rPr>
            </w:pPr>
            <w:r>
              <w:rPr>
                <w:rFonts w:ascii="Arial" w:cs="Arial" w:eastAsia="Arial" w:hAnsi="Arial"/>
                <w:sz w:val="13"/>
                <w:szCs w:val="13"/>
                <w:color w:val="auto"/>
              </w:rPr>
              <w:t>(Zip)</w:t>
            </w:r>
          </w:p>
        </w:tc>
        <w:tc>
          <w:tcPr>
            <w:tcW w:w="67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166" w:lineRule="exact"/>
        <w:rPr>
          <w:sz w:val="24"/>
          <w:szCs w:val="24"/>
          <w:color w:val="auto"/>
        </w:rPr>
      </w:pPr>
    </w:p>
    <w:p>
      <w:pPr>
        <w:jc w:val="center"/>
        <w:ind w:right="100"/>
        <w:spacing w:after="0"/>
        <w:rPr>
          <w:sz w:val="20"/>
          <w:szCs w:val="20"/>
          <w:color w:val="auto"/>
        </w:rPr>
      </w:pPr>
      <w:r>
        <w:rPr>
          <w:rFonts w:ascii="Arial" w:cs="Arial" w:eastAsia="Arial" w:hAnsi="Arial"/>
          <w:sz w:val="17"/>
          <w:szCs w:val="17"/>
          <w:b w:val="1"/>
          <w:bCs w:val="1"/>
          <w:color w:val="auto"/>
        </w:rPr>
        <w:t>Table I - Non-Derivative Securities Acquired, Disposed of, or Beneficially Owned</w:t>
      </w:r>
    </w:p>
    <w:p>
      <w:pPr>
        <w:spacing w:after="0" w:line="110" w:lineRule="exact"/>
        <w:rPr>
          <w:sz w:val="24"/>
          <w:szCs w:val="24"/>
          <w:color w:val="auto"/>
        </w:rPr>
      </w:pPr>
    </w:p>
    <w:tbl>
      <w:tblPr>
        <w:tblLayout w:type="fixed"/>
        <w:tblInd w:w="0" w:type="dxa"/>
        <w:tblCellMar>
          <w:top w:w="0" w:type="dxa"/>
          <w:left w:w="0" w:type="dxa"/>
          <w:bottom w:w="0" w:type="dxa"/>
          <w:right w:w="0" w:type="dxa"/>
        </w:tblCellMar>
      </w:tblPr>
      <w:tr>
        <w:trPr>
          <w:trHeight w:val="149"/>
        </w:trPr>
        <w:tc>
          <w:tcPr>
            <w:tcW w:w="20" w:type="dxa"/>
            <w:vAlign w:val="bottom"/>
          </w:tcPr>
          <w:p>
            <w:pPr>
              <w:spacing w:after="0"/>
              <w:rPr>
                <w:sz w:val="13"/>
                <w:szCs w:val="13"/>
                <w:color w:val="auto"/>
              </w:rPr>
            </w:pPr>
          </w:p>
        </w:tc>
        <w:tc>
          <w:tcPr>
            <w:tcW w:w="2560" w:type="dxa"/>
            <w:vAlign w:val="bottom"/>
            <w:gridSpan w:val="3"/>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560" w:type="dxa"/>
            <w:vAlign w:val="bottom"/>
            <w:gridSpan w:val="2"/>
          </w:tcPr>
          <w:p>
            <w:pPr>
              <w:ind w:left="56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8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1900" w:type="dxa"/>
            <w:vAlign w:val="bottom"/>
            <w:gridSpan w:val="3"/>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200" w:type="dxa"/>
            <w:vAlign w:val="bottom"/>
          </w:tcPr>
          <w:p>
            <w:pPr>
              <w:spacing w:after="0"/>
              <w:rPr>
                <w:sz w:val="13"/>
                <w:szCs w:val="13"/>
                <w:color w:val="auto"/>
              </w:rPr>
            </w:pPr>
          </w:p>
        </w:tc>
        <w:tc>
          <w:tcPr>
            <w:tcW w:w="11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ind w:left="560"/>
              <w:spacing w:after="0" w:line="129" w:lineRule="exact"/>
              <w:rPr>
                <w:sz w:val="20"/>
                <w:szCs w:val="20"/>
                <w:color w:val="auto"/>
              </w:rPr>
            </w:pPr>
            <w:r>
              <w:rPr>
                <w:rFonts w:ascii="Arial" w:cs="Arial" w:eastAsia="Arial" w:hAnsi="Arial"/>
                <w:sz w:val="12"/>
                <w:szCs w:val="12"/>
                <w:b w:val="1"/>
                <w:bCs w:val="1"/>
                <w:color w:val="auto"/>
              </w:rPr>
              <w:t>Date</w:t>
            </w:r>
          </w:p>
        </w:tc>
        <w:tc>
          <w:tcPr>
            <w:tcW w:w="460" w:type="dxa"/>
            <w:vAlign w:val="bottom"/>
          </w:tcPr>
          <w:p>
            <w:pPr>
              <w:spacing w:after="0"/>
              <w:rPr>
                <w:sz w:val="11"/>
                <w:szCs w:val="11"/>
                <w:color w:val="auto"/>
              </w:rPr>
            </w:pPr>
          </w:p>
        </w:tc>
        <w:tc>
          <w:tcPr>
            <w:tcW w:w="112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190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w w:val="96"/>
              </w:rPr>
              <w:t>Disposed Of (D) (Instr. 3, 4 and 5)</w:t>
            </w:r>
          </w:p>
        </w:tc>
        <w:tc>
          <w:tcPr>
            <w:tcW w:w="200" w:type="dxa"/>
            <w:vAlign w:val="bottom"/>
          </w:tcPr>
          <w:p>
            <w:pPr>
              <w:spacing w:after="0"/>
              <w:rPr>
                <w:sz w:val="11"/>
                <w:szCs w:val="11"/>
                <w:color w:val="auto"/>
              </w:rPr>
            </w:pPr>
          </w:p>
        </w:tc>
        <w:tc>
          <w:tcPr>
            <w:tcW w:w="11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560" w:type="dxa"/>
            <w:vAlign w:val="bottom"/>
            <w:gridSpan w:val="2"/>
          </w:tcPr>
          <w:p>
            <w:pPr>
              <w:ind w:left="560"/>
              <w:spacing w:after="0" w:line="130" w:lineRule="exact"/>
              <w:rPr>
                <w:sz w:val="20"/>
                <w:szCs w:val="20"/>
                <w:color w:val="auto"/>
              </w:rPr>
            </w:pPr>
            <w:r>
              <w:rPr>
                <w:rFonts w:ascii="Arial" w:cs="Arial" w:eastAsia="Arial" w:hAnsi="Arial"/>
                <w:sz w:val="12"/>
                <w:szCs w:val="12"/>
                <w:b w:val="1"/>
                <w:bCs w:val="1"/>
                <w:color w:val="auto"/>
                <w:w w:val="99"/>
              </w:rPr>
              <w:t>(Month/Day/Year)</w:t>
            </w:r>
          </w:p>
        </w:tc>
        <w:tc>
          <w:tcPr>
            <w:tcW w:w="42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12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1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100" w:type="dxa"/>
            <w:vAlign w:val="bottom"/>
          </w:tcPr>
          <w:p>
            <w:pPr>
              <w:spacing w:after="0"/>
              <w:rPr>
                <w:sz w:val="6"/>
                <w:szCs w:val="6"/>
                <w:color w:val="auto"/>
              </w:rPr>
            </w:pPr>
          </w:p>
        </w:tc>
        <w:tc>
          <w:tcPr>
            <w:tcW w:w="46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200" w:type="dxa"/>
            <w:vAlign w:val="bottom"/>
            <w:tcBorders>
              <w:bottom w:val="single" w:sz="8" w:color="2C2C2C"/>
            </w:tcBorders>
          </w:tcPr>
          <w:p>
            <w:pPr>
              <w:spacing w:after="0"/>
              <w:rPr>
                <w:sz w:val="6"/>
                <w:szCs w:val="6"/>
                <w:color w:val="auto"/>
              </w:rPr>
            </w:pPr>
          </w:p>
        </w:tc>
        <w:tc>
          <w:tcPr>
            <w:tcW w:w="1160" w:type="dxa"/>
            <w:vAlign w:val="bottom"/>
            <w:gridSpan w:val="2"/>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46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200" w:type="dxa"/>
            <w:vAlign w:val="bottom"/>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ind w:left="160"/>
              <w:spacing w:after="0" w:line="130" w:lineRule="exact"/>
              <w:rPr>
                <w:sz w:val="20"/>
                <w:szCs w:val="20"/>
                <w:color w:val="auto"/>
              </w:rPr>
            </w:pPr>
            <w:r>
              <w:rPr>
                <w:rFonts w:ascii="Arial" w:cs="Arial" w:eastAsia="Arial" w:hAnsi="Arial"/>
                <w:sz w:val="12"/>
                <w:szCs w:val="12"/>
                <w:b w:val="1"/>
                <w:bCs w:val="1"/>
                <w:color w:val="auto"/>
              </w:rPr>
              <w:t>(A) or</w:t>
            </w:r>
          </w:p>
        </w:tc>
        <w:tc>
          <w:tcPr>
            <w:tcW w:w="560" w:type="dxa"/>
            <w:vAlign w:val="bottom"/>
            <w:vMerge w:val="restart"/>
          </w:tcPr>
          <w:p>
            <w:pPr>
              <w:spacing w:after="0"/>
              <w:rPr>
                <w:sz w:val="20"/>
                <w:szCs w:val="20"/>
                <w:color w:val="auto"/>
              </w:rPr>
            </w:pPr>
            <w:r>
              <w:rPr>
                <w:rFonts w:ascii="Arial" w:cs="Arial" w:eastAsia="Arial" w:hAnsi="Arial"/>
                <w:sz w:val="12"/>
                <w:szCs w:val="12"/>
                <w:b w:val="1"/>
                <w:bCs w:val="1"/>
                <w:color w:val="auto"/>
              </w:rPr>
              <w:t>Price</w:t>
            </w:r>
          </w:p>
        </w:tc>
        <w:tc>
          <w:tcPr>
            <w:tcW w:w="200" w:type="dxa"/>
            <w:vAlign w:val="bottom"/>
          </w:tcPr>
          <w:p>
            <w:pPr>
              <w:spacing w:after="0"/>
              <w:rPr>
                <w:sz w:val="11"/>
                <w:szCs w:val="11"/>
                <w:color w:val="auto"/>
              </w:rPr>
            </w:pPr>
          </w:p>
        </w:tc>
        <w:tc>
          <w:tcPr>
            <w:tcW w:w="1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100" w:type="dxa"/>
            <w:vAlign w:val="bottom"/>
          </w:tcPr>
          <w:p>
            <w:pPr>
              <w:spacing w:after="0"/>
              <w:rPr>
                <w:sz w:val="8"/>
                <w:szCs w:val="8"/>
                <w:color w:val="auto"/>
              </w:rPr>
            </w:pPr>
          </w:p>
        </w:tc>
        <w:tc>
          <w:tcPr>
            <w:tcW w:w="46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00" w:type="dxa"/>
            <w:vAlign w:val="bottom"/>
            <w:vMerge w:val="continue"/>
          </w:tcPr>
          <w:p>
            <w:pPr>
              <w:spacing w:after="0"/>
              <w:rPr>
                <w:sz w:val="8"/>
                <w:szCs w:val="8"/>
                <w:color w:val="auto"/>
              </w:rPr>
            </w:pPr>
          </w:p>
        </w:tc>
        <w:tc>
          <w:tcPr>
            <w:tcW w:w="64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560" w:type="dxa"/>
            <w:vAlign w:val="bottom"/>
            <w:vMerge w:val="continue"/>
          </w:tcPr>
          <w:p>
            <w:pPr>
              <w:spacing w:after="0"/>
              <w:rPr>
                <w:sz w:val="8"/>
                <w:szCs w:val="8"/>
                <w:color w:val="auto"/>
              </w:rPr>
            </w:pPr>
          </w:p>
        </w:tc>
        <w:tc>
          <w:tcPr>
            <w:tcW w:w="200" w:type="dxa"/>
            <w:vAlign w:val="bottom"/>
          </w:tcPr>
          <w:p>
            <w:pPr>
              <w:spacing w:after="0"/>
              <w:rPr>
                <w:sz w:val="8"/>
                <w:szCs w:val="8"/>
                <w:color w:val="auto"/>
              </w:rPr>
            </w:pPr>
          </w:p>
        </w:tc>
        <w:tc>
          <w:tcPr>
            <w:tcW w:w="11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100" w:type="dxa"/>
            <w:vAlign w:val="bottom"/>
          </w:tcPr>
          <w:p>
            <w:pPr>
              <w:spacing w:after="0"/>
              <w:rPr>
                <w:sz w:val="5"/>
                <w:szCs w:val="5"/>
                <w:color w:val="auto"/>
              </w:rPr>
            </w:pPr>
          </w:p>
        </w:tc>
        <w:tc>
          <w:tcPr>
            <w:tcW w:w="46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200" w:type="dxa"/>
            <w:vAlign w:val="bottom"/>
          </w:tcPr>
          <w:p>
            <w:pPr>
              <w:spacing w:after="0"/>
              <w:rPr>
                <w:sz w:val="5"/>
                <w:szCs w:val="5"/>
                <w:color w:val="auto"/>
              </w:rPr>
            </w:pPr>
          </w:p>
        </w:tc>
        <w:tc>
          <w:tcPr>
            <w:tcW w:w="116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560" w:type="dxa"/>
            <w:vAlign w:val="bottom"/>
            <w:tcBorders>
              <w:bottom w:val="single" w:sz="8" w:color="2C2C2C"/>
            </w:tcBorders>
            <w:gridSpan w:val="3"/>
          </w:tcPr>
          <w:p>
            <w:pPr>
              <w:spacing w:after="0"/>
              <w:rPr>
                <w:sz w:val="3"/>
                <w:szCs w:val="3"/>
                <w:color w:val="auto"/>
              </w:rPr>
            </w:pPr>
          </w:p>
        </w:tc>
        <w:tc>
          <w:tcPr>
            <w:tcW w:w="1560" w:type="dxa"/>
            <w:vAlign w:val="bottom"/>
            <w:tcBorders>
              <w:bottom w:val="single" w:sz="8" w:color="2C2C2C"/>
            </w:tcBorders>
            <w:gridSpan w:val="2"/>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1160" w:type="dxa"/>
            <w:vAlign w:val="bottom"/>
            <w:tcBorders>
              <w:bottom w:val="single" w:sz="8" w:color="2C2C2C"/>
            </w:tcBorders>
            <w:gridSpan w:val="2"/>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2560" w:type="dxa"/>
            <w:vAlign w:val="bottom"/>
            <w:gridSpan w:val="3"/>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560" w:type="dxa"/>
            <w:vAlign w:val="bottom"/>
            <w:gridSpan w:val="2"/>
          </w:tcPr>
          <w:p>
            <w:pPr>
              <w:ind w:left="660"/>
              <w:spacing w:after="0"/>
              <w:rPr>
                <w:sz w:val="20"/>
                <w:szCs w:val="20"/>
                <w:color w:val="auto"/>
              </w:rPr>
            </w:pPr>
            <w:r>
              <w:rPr>
                <w:rFonts w:ascii="Times New Roman" w:cs="Times New Roman" w:eastAsia="Times New Roman" w:hAnsi="Times New Roman"/>
                <w:sz w:val="17"/>
                <w:szCs w:val="17"/>
                <w:color w:val="0000FF"/>
              </w:rPr>
              <w:t>11/14/2024</w:t>
            </w:r>
          </w:p>
        </w:tc>
        <w:tc>
          <w:tcPr>
            <w:tcW w:w="4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80" w:type="dxa"/>
            <w:vAlign w:val="bottom"/>
          </w:tcPr>
          <w:p>
            <w:pPr>
              <w:ind w:left="160"/>
              <w:spacing w:after="0"/>
              <w:rPr>
                <w:sz w:val="20"/>
                <w:szCs w:val="20"/>
                <w:color w:val="auto"/>
              </w:rPr>
            </w:pPr>
            <w:r>
              <w:rPr>
                <w:rFonts w:ascii="Times New Roman" w:cs="Times New Roman" w:eastAsia="Times New Roman" w:hAnsi="Times New Roman"/>
                <w:sz w:val="13"/>
                <w:szCs w:val="13"/>
                <w:color w:val="0000FF"/>
              </w:rPr>
              <w:t>M</w:t>
            </w:r>
          </w:p>
        </w:tc>
        <w:tc>
          <w:tcPr>
            <w:tcW w:w="700" w:type="dxa"/>
            <w:vAlign w:val="bottom"/>
          </w:tcPr>
          <w:p>
            <w:pPr>
              <w:jc w:val="right"/>
              <w:ind w:right="56"/>
              <w:spacing w:after="0"/>
              <w:rPr>
                <w:sz w:val="20"/>
                <w:szCs w:val="20"/>
                <w:color w:val="auto"/>
              </w:rPr>
            </w:pPr>
            <w:r>
              <w:rPr>
                <w:rFonts w:ascii="Times New Roman" w:cs="Times New Roman" w:eastAsia="Times New Roman" w:hAnsi="Times New Roman"/>
                <w:sz w:val="17"/>
                <w:szCs w:val="17"/>
                <w:color w:val="0000FF"/>
              </w:rPr>
              <w:t>2,500</w:t>
            </w:r>
          </w:p>
        </w:tc>
        <w:tc>
          <w:tcPr>
            <w:tcW w:w="640" w:type="dxa"/>
            <w:vAlign w:val="bottom"/>
          </w:tcPr>
          <w:p>
            <w:pPr>
              <w:ind w:left="280"/>
              <w:spacing w:after="0"/>
              <w:rPr>
                <w:sz w:val="20"/>
                <w:szCs w:val="20"/>
                <w:color w:val="auto"/>
              </w:rPr>
            </w:pPr>
            <w:r>
              <w:rPr>
                <w:rFonts w:ascii="Times New Roman" w:cs="Times New Roman" w:eastAsia="Times New Roman" w:hAnsi="Times New Roman"/>
                <w:sz w:val="17"/>
                <w:szCs w:val="17"/>
                <w:color w:val="0000FF"/>
              </w:rPr>
              <w:t>A</w:t>
            </w:r>
          </w:p>
        </w:tc>
        <w:tc>
          <w:tcPr>
            <w:tcW w:w="560" w:type="dxa"/>
            <w:vAlign w:val="bottom"/>
          </w:tcPr>
          <w:p>
            <w:pPr>
              <w:jc w:val="right"/>
              <w:ind w:right="76"/>
              <w:spacing w:after="0"/>
              <w:rPr>
                <w:sz w:val="20"/>
                <w:szCs w:val="20"/>
                <w:color w:val="auto"/>
              </w:rPr>
            </w:pPr>
            <w:r>
              <w:rPr>
                <w:rFonts w:ascii="Times New Roman" w:cs="Times New Roman" w:eastAsia="Times New Roman" w:hAnsi="Times New Roman"/>
                <w:sz w:val="11"/>
                <w:szCs w:val="11"/>
                <w:color w:val="008000"/>
              </w:rPr>
              <w:t>(1)</w:t>
            </w:r>
          </w:p>
        </w:tc>
        <w:tc>
          <w:tcPr>
            <w:tcW w:w="200" w:type="dxa"/>
            <w:vAlign w:val="bottom"/>
          </w:tcPr>
          <w:p>
            <w:pPr>
              <w:spacing w:after="0"/>
              <w:rPr>
                <w:sz w:val="22"/>
                <w:szCs w:val="22"/>
                <w:color w:val="auto"/>
              </w:rPr>
            </w:pPr>
          </w:p>
        </w:tc>
        <w:tc>
          <w:tcPr>
            <w:tcW w:w="1160" w:type="dxa"/>
            <w:vAlign w:val="bottom"/>
            <w:gridSpan w:val="2"/>
          </w:tcPr>
          <w:p>
            <w:pPr>
              <w:ind w:left="340"/>
              <w:spacing w:after="0"/>
              <w:rPr>
                <w:sz w:val="20"/>
                <w:szCs w:val="20"/>
                <w:color w:val="auto"/>
              </w:rPr>
            </w:pPr>
            <w:r>
              <w:rPr>
                <w:rFonts w:ascii="Times New Roman" w:cs="Times New Roman" w:eastAsia="Times New Roman" w:hAnsi="Times New Roman"/>
                <w:sz w:val="17"/>
                <w:szCs w:val="17"/>
                <w:color w:val="0000FF"/>
              </w:rPr>
              <w:t>15,170</w:t>
            </w:r>
          </w:p>
        </w:tc>
        <w:tc>
          <w:tcPr>
            <w:tcW w:w="28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2560" w:type="dxa"/>
            <w:vAlign w:val="bottom"/>
            <w:tcBorders>
              <w:bottom w:val="single" w:sz="8" w:color="2C2C2C"/>
            </w:tcBorders>
            <w:gridSpan w:val="3"/>
          </w:tcPr>
          <w:p>
            <w:pPr>
              <w:spacing w:after="0"/>
              <w:rPr>
                <w:sz w:val="5"/>
                <w:szCs w:val="5"/>
                <w:color w:val="auto"/>
              </w:rPr>
            </w:pPr>
          </w:p>
        </w:tc>
        <w:tc>
          <w:tcPr>
            <w:tcW w:w="1560" w:type="dxa"/>
            <w:vAlign w:val="bottom"/>
            <w:tcBorders>
              <w:bottom w:val="single" w:sz="8" w:color="2C2C2C"/>
            </w:tcBorders>
            <w:gridSpan w:val="2"/>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760" w:type="dxa"/>
            <w:vAlign w:val="bottom"/>
            <w:tcBorders>
              <w:bottom w:val="single" w:sz="8" w:color="2C2C2C"/>
            </w:tcBorders>
            <w:gridSpan w:val="2"/>
          </w:tcPr>
          <w:p>
            <w:pPr>
              <w:spacing w:after="0"/>
              <w:rPr>
                <w:sz w:val="5"/>
                <w:szCs w:val="5"/>
                <w:color w:val="auto"/>
              </w:rPr>
            </w:pPr>
          </w:p>
        </w:tc>
        <w:tc>
          <w:tcPr>
            <w:tcW w:w="116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8"/>
        </w:trPr>
        <w:tc>
          <w:tcPr>
            <w:tcW w:w="20" w:type="dxa"/>
            <w:vAlign w:val="bottom"/>
            <w:tcBorders>
              <w:bottom w:val="single" w:sz="8" w:color="2C2C2C"/>
            </w:tcBorders>
          </w:tcPr>
          <w:p>
            <w:pPr>
              <w:spacing w:after="0"/>
              <w:rPr>
                <w:sz w:val="24"/>
                <w:szCs w:val="24"/>
                <w:color w:val="auto"/>
              </w:rPr>
            </w:pPr>
          </w:p>
        </w:tc>
        <w:tc>
          <w:tcPr>
            <w:tcW w:w="2560" w:type="dxa"/>
            <w:vAlign w:val="bottom"/>
            <w:tcBorders>
              <w:bottom w:val="single" w:sz="8" w:color="2C2C2C"/>
            </w:tcBorders>
            <w:gridSpan w:val="3"/>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560" w:type="dxa"/>
            <w:vAlign w:val="bottom"/>
            <w:tcBorders>
              <w:bottom w:val="single" w:sz="8" w:color="2C2C2C"/>
            </w:tcBorders>
            <w:gridSpan w:val="2"/>
          </w:tcPr>
          <w:p>
            <w:pPr>
              <w:ind w:left="660"/>
              <w:spacing w:after="0"/>
              <w:rPr>
                <w:sz w:val="20"/>
                <w:szCs w:val="20"/>
                <w:color w:val="auto"/>
              </w:rPr>
            </w:pPr>
            <w:r>
              <w:rPr>
                <w:rFonts w:ascii="Times New Roman" w:cs="Times New Roman" w:eastAsia="Times New Roman" w:hAnsi="Times New Roman"/>
                <w:sz w:val="17"/>
                <w:szCs w:val="17"/>
                <w:color w:val="0000FF"/>
              </w:rPr>
              <w:t>11/14/2024</w:t>
            </w:r>
          </w:p>
        </w:tc>
        <w:tc>
          <w:tcPr>
            <w:tcW w:w="4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ind w:left="180"/>
              <w:spacing w:after="0"/>
              <w:rPr>
                <w:sz w:val="20"/>
                <w:szCs w:val="20"/>
                <w:color w:val="auto"/>
              </w:rPr>
            </w:pPr>
            <w:r>
              <w:rPr>
                <w:rFonts w:ascii="Times New Roman" w:cs="Times New Roman" w:eastAsia="Times New Roman" w:hAnsi="Times New Roman"/>
                <w:sz w:val="13"/>
                <w:szCs w:val="13"/>
                <w:color w:val="0000FF"/>
              </w:rPr>
              <w:t>S</w:t>
            </w:r>
          </w:p>
        </w:tc>
        <w:tc>
          <w:tcPr>
            <w:tcW w:w="70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rPr>
              <w:t>1,252</w:t>
            </w:r>
            <w:r>
              <w:rPr>
                <w:rFonts w:ascii="Times New Roman" w:cs="Times New Roman" w:eastAsia="Times New Roman" w:hAnsi="Times New Roman"/>
                <w:sz w:val="21"/>
                <w:szCs w:val="21"/>
                <w:color w:val="008000"/>
                <w:vertAlign w:val="superscript"/>
              </w:rPr>
              <w:t>(2)</w:t>
            </w:r>
          </w:p>
        </w:tc>
        <w:tc>
          <w:tcPr>
            <w:tcW w:w="640" w:type="dxa"/>
            <w:vAlign w:val="bottom"/>
            <w:tcBorders>
              <w:bottom w:val="single" w:sz="8" w:color="2C2C2C"/>
            </w:tcBorders>
          </w:tcPr>
          <w:p>
            <w:pPr>
              <w:ind w:left="280"/>
              <w:spacing w:after="0"/>
              <w:rPr>
                <w:sz w:val="20"/>
                <w:szCs w:val="20"/>
                <w:color w:val="auto"/>
              </w:rPr>
            </w:pPr>
            <w:r>
              <w:rPr>
                <w:rFonts w:ascii="Times New Roman" w:cs="Times New Roman" w:eastAsia="Times New Roman" w:hAnsi="Times New Roman"/>
                <w:sz w:val="17"/>
                <w:szCs w:val="17"/>
                <w:color w:val="0000FF"/>
              </w:rPr>
              <w:t>D</w:t>
            </w:r>
          </w:p>
        </w:tc>
        <w:tc>
          <w:tcPr>
            <w:tcW w:w="76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322.45</w:t>
            </w:r>
            <w:r>
              <w:rPr>
                <w:rFonts w:ascii="Times New Roman" w:cs="Times New Roman" w:eastAsia="Times New Roman" w:hAnsi="Times New Roman"/>
                <w:sz w:val="21"/>
                <w:szCs w:val="21"/>
                <w:color w:val="008000"/>
                <w:w w:val="93"/>
                <w:vertAlign w:val="superscript"/>
              </w:rPr>
              <w:t>(3)</w:t>
            </w:r>
          </w:p>
        </w:tc>
        <w:tc>
          <w:tcPr>
            <w:tcW w:w="1160" w:type="dxa"/>
            <w:vAlign w:val="bottom"/>
            <w:tcBorders>
              <w:bottom w:val="single" w:sz="8" w:color="2C2C2C"/>
            </w:tcBorders>
            <w:gridSpan w:val="2"/>
          </w:tcPr>
          <w:p>
            <w:pPr>
              <w:ind w:left="340"/>
              <w:spacing w:after="0"/>
              <w:rPr>
                <w:sz w:val="20"/>
                <w:szCs w:val="20"/>
                <w:color w:val="auto"/>
              </w:rPr>
            </w:pPr>
            <w:r>
              <w:rPr>
                <w:rFonts w:ascii="Times New Roman" w:cs="Times New Roman" w:eastAsia="Times New Roman" w:hAnsi="Times New Roman"/>
                <w:sz w:val="17"/>
                <w:szCs w:val="17"/>
                <w:color w:val="0000FF"/>
              </w:rPr>
              <w:t>13,918</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780" w:type="dxa"/>
            <w:vAlign w:val="bottom"/>
            <w:tcBorders>
              <w:top w:val="single" w:sz="8" w:color="2C2C2C"/>
            </w:tcBorders>
          </w:tcPr>
          <w:p>
            <w:pPr>
              <w:spacing w:after="0"/>
              <w:rPr>
                <w:sz w:val="19"/>
                <w:szCs w:val="19"/>
                <w:color w:val="auto"/>
              </w:rPr>
            </w:pPr>
          </w:p>
        </w:tc>
        <w:tc>
          <w:tcPr>
            <w:tcW w:w="7140" w:type="dxa"/>
            <w:vAlign w:val="bottom"/>
            <w:tcBorders>
              <w:top w:val="single" w:sz="8" w:color="2C2C2C"/>
            </w:tcBorders>
            <w:gridSpan w:val="11"/>
          </w:tcPr>
          <w:p>
            <w:pPr>
              <w:ind w:left="1000"/>
              <w:spacing w:after="0"/>
              <w:rPr>
                <w:sz w:val="20"/>
                <w:szCs w:val="20"/>
                <w:color w:val="auto"/>
              </w:rPr>
            </w:pPr>
            <w:r>
              <w:rPr>
                <w:rFonts w:ascii="Arial" w:cs="Arial" w:eastAsia="Arial" w:hAnsi="Arial"/>
                <w:sz w:val="17"/>
                <w:szCs w:val="17"/>
                <w:b w:val="1"/>
                <w:bCs w:val="1"/>
                <w:color w:val="auto"/>
                <w:w w:val="99"/>
              </w:rPr>
              <w:t>Table II - Derivative Securities Acquired, Disposed of, or Beneficially Owned</w:t>
            </w:r>
          </w:p>
        </w:tc>
        <w:tc>
          <w:tcPr>
            <w:tcW w:w="66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780" w:type="dxa"/>
            <w:vAlign w:val="bottom"/>
          </w:tcPr>
          <w:p>
            <w:pPr>
              <w:spacing w:after="0"/>
              <w:rPr>
                <w:sz w:val="20"/>
                <w:szCs w:val="20"/>
                <w:color w:val="auto"/>
              </w:rPr>
            </w:pPr>
          </w:p>
        </w:tc>
        <w:tc>
          <w:tcPr>
            <w:tcW w:w="1080" w:type="dxa"/>
            <w:vAlign w:val="bottom"/>
          </w:tcPr>
          <w:p>
            <w:pPr>
              <w:spacing w:after="0"/>
              <w:rPr>
                <w:sz w:val="20"/>
                <w:szCs w:val="20"/>
                <w:color w:val="auto"/>
              </w:rPr>
            </w:pPr>
          </w:p>
        </w:tc>
        <w:tc>
          <w:tcPr>
            <w:tcW w:w="5360" w:type="dxa"/>
            <w:vAlign w:val="bottom"/>
            <w:gridSpan w:val="8"/>
          </w:tcPr>
          <w:p>
            <w:pPr>
              <w:ind w:left="6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200" w:type="dxa"/>
            <w:vAlign w:val="bottom"/>
          </w:tcPr>
          <w:p>
            <w:pPr>
              <w:spacing w:after="0"/>
              <w:rPr>
                <w:sz w:val="20"/>
                <w:szCs w:val="20"/>
                <w:color w:val="auto"/>
              </w:rPr>
            </w:pPr>
          </w:p>
        </w:tc>
        <w:tc>
          <w:tcPr>
            <w:tcW w:w="50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4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94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Arial" w:cs="Arial" w:eastAsia="Arial" w:hAnsi="Arial"/>
                <w:sz w:val="12"/>
                <w:szCs w:val="12"/>
                <w:b w:val="1"/>
                <w:bCs w:val="1"/>
                <w:color w:val="auto"/>
              </w:rPr>
              <w:t>1. Title of</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2.</w:t>
            </w:r>
          </w:p>
        </w:tc>
        <w:tc>
          <w:tcPr>
            <w:tcW w:w="1080" w:type="dxa"/>
            <w:vAlign w:val="bottom"/>
          </w:tcPr>
          <w:p>
            <w:pPr>
              <w:ind w:left="60"/>
              <w:spacing w:after="0"/>
              <w:rPr>
                <w:sz w:val="20"/>
                <w:szCs w:val="20"/>
                <w:color w:val="auto"/>
              </w:rPr>
            </w:pPr>
            <w:r>
              <w:rPr>
                <w:rFonts w:ascii="Arial" w:cs="Arial" w:eastAsia="Arial" w:hAnsi="Arial"/>
                <w:sz w:val="12"/>
                <w:szCs w:val="12"/>
                <w:b w:val="1"/>
                <w:bCs w:val="1"/>
                <w:color w:val="auto"/>
              </w:rPr>
              <w:t>3. Transaction</w:t>
            </w:r>
          </w:p>
        </w:tc>
        <w:tc>
          <w:tcPr>
            <w:tcW w:w="1100" w:type="dxa"/>
            <w:vAlign w:val="bottom"/>
          </w:tcPr>
          <w:p>
            <w:pPr>
              <w:ind w:left="80"/>
              <w:spacing w:after="0"/>
              <w:rPr>
                <w:sz w:val="20"/>
                <w:szCs w:val="20"/>
                <w:color w:val="auto"/>
              </w:rPr>
            </w:pPr>
            <w:r>
              <w:rPr>
                <w:rFonts w:ascii="Arial" w:cs="Arial" w:eastAsia="Arial" w:hAnsi="Arial"/>
                <w:sz w:val="12"/>
                <w:szCs w:val="12"/>
                <w:b w:val="1"/>
                <w:bCs w:val="1"/>
                <w:color w:val="auto"/>
              </w:rPr>
              <w:t>3A. Deemed</w:t>
            </w: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tcPr>
          <w:p>
            <w:pPr>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00" w:type="dxa"/>
            <w:vAlign w:val="bottom"/>
            <w:gridSpan w:val="2"/>
          </w:tcPr>
          <w:p>
            <w:pPr>
              <w:ind w:left="60"/>
              <w:spacing w:after="0"/>
              <w:rPr>
                <w:sz w:val="20"/>
                <w:szCs w:val="20"/>
                <w:color w:val="auto"/>
              </w:rPr>
            </w:pPr>
            <w:r>
              <w:rPr>
                <w:rFonts w:ascii="Arial" w:cs="Arial" w:eastAsia="Arial" w:hAnsi="Arial"/>
                <w:sz w:val="12"/>
                <w:szCs w:val="12"/>
                <w:b w:val="1"/>
                <w:bCs w:val="1"/>
                <w:color w:val="auto"/>
              </w:rPr>
              <w:t>7. Title and</w:t>
            </w:r>
          </w:p>
        </w:tc>
        <w:tc>
          <w:tcPr>
            <w:tcW w:w="700" w:type="dxa"/>
            <w:vAlign w:val="bottom"/>
            <w:gridSpan w:val="2"/>
          </w:tcPr>
          <w:p>
            <w:pPr>
              <w:ind w:left="80"/>
              <w:spacing w:after="0"/>
              <w:rPr>
                <w:sz w:val="20"/>
                <w:szCs w:val="20"/>
                <w:color w:val="auto"/>
              </w:rPr>
            </w:pPr>
            <w:r>
              <w:rPr>
                <w:rFonts w:ascii="Arial" w:cs="Arial" w:eastAsia="Arial" w:hAnsi="Arial"/>
                <w:sz w:val="12"/>
                <w:szCs w:val="12"/>
                <w:b w:val="1"/>
                <w:bCs w:val="1"/>
                <w:color w:val="auto"/>
              </w:rPr>
              <w:t>8. Price of</w:t>
            </w:r>
          </w:p>
        </w:tc>
        <w:tc>
          <w:tcPr>
            <w:tcW w:w="940" w:type="dxa"/>
            <w:vAlign w:val="bottom"/>
            <w:gridSpan w:val="2"/>
          </w:tcPr>
          <w:p>
            <w:pPr>
              <w:ind w:left="8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Conversion</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Date</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Execution Date,</w:t>
            </w:r>
          </w:p>
        </w:tc>
        <w:tc>
          <w:tcPr>
            <w:tcW w:w="8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14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 Date</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3"/>
              </w:rPr>
              <w:t>Amount of</w:t>
            </w:r>
          </w:p>
        </w:tc>
        <w:tc>
          <w:tcPr>
            <w:tcW w:w="560" w:type="dxa"/>
            <w:vAlign w:val="bottom"/>
          </w:tcPr>
          <w:p>
            <w:pPr>
              <w:spacing w:after="0"/>
              <w:rPr>
                <w:sz w:val="11"/>
                <w:szCs w:val="11"/>
                <w:color w:val="auto"/>
              </w:rPr>
            </w:pPr>
          </w:p>
        </w:tc>
        <w:tc>
          <w:tcPr>
            <w:tcW w:w="7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Derivative</w:t>
            </w: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or Exercise</w:t>
            </w:r>
          </w:p>
        </w:tc>
        <w:tc>
          <w:tcPr>
            <w:tcW w:w="10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(Month/Day/Year)</w:t>
            </w: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if any</w:t>
            </w:r>
          </w:p>
        </w:tc>
        <w:tc>
          <w:tcPr>
            <w:tcW w:w="8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7"/>
              </w:rPr>
              <w:t>Securities</w:t>
            </w:r>
          </w:p>
        </w:tc>
        <w:tc>
          <w:tcPr>
            <w:tcW w:w="560" w:type="dxa"/>
            <w:vAlign w:val="bottom"/>
          </w:tcPr>
          <w:p>
            <w:pPr>
              <w:spacing w:after="0"/>
              <w:rPr>
                <w:sz w:val="11"/>
                <w:szCs w:val="11"/>
                <w:color w:val="auto"/>
              </w:rPr>
            </w:pPr>
          </w:p>
        </w:tc>
        <w:tc>
          <w:tcPr>
            <w:tcW w:w="7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Security</w:t>
            </w: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Price of</w:t>
            </w:r>
          </w:p>
        </w:tc>
        <w:tc>
          <w:tcPr>
            <w:tcW w:w="1080" w:type="dxa"/>
            <w:vAlign w:val="bottom"/>
          </w:tcPr>
          <w:p>
            <w:pPr>
              <w:spacing w:after="0"/>
              <w:rPr>
                <w:sz w:val="11"/>
                <w:szCs w:val="11"/>
                <w:color w:val="auto"/>
              </w:rPr>
            </w:pPr>
          </w:p>
        </w:tc>
        <w:tc>
          <w:tcPr>
            <w:tcW w:w="110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(Month/Day/Year)</w:t>
            </w:r>
          </w:p>
        </w:tc>
        <w:tc>
          <w:tcPr>
            <w:tcW w:w="46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Underlying</w:t>
            </w:r>
          </w:p>
        </w:tc>
        <w:tc>
          <w:tcPr>
            <w:tcW w:w="70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(Instr. 5)</w:t>
            </w: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(A) or</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0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of (D)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940" w:type="dxa"/>
            <w:vAlign w:val="bottom"/>
            <w:gridSpan w:val="2"/>
          </w:tcPr>
          <w:p>
            <w:pPr>
              <w:ind w:left="80"/>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(Instr. 3, 4</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20"/>
                <w:szCs w:val="20"/>
                <w:color w:val="auto"/>
              </w:rPr>
            </w:pPr>
            <w:r>
              <w:rPr>
                <w:rFonts w:ascii="Arial" w:cs="Arial" w:eastAsia="Arial" w:hAnsi="Arial"/>
                <w:sz w:val="12"/>
                <w:szCs w:val="12"/>
                <w:b w:val="1"/>
                <w:bCs w:val="1"/>
                <w:color w:val="auto"/>
              </w:rPr>
              <w:t>and 5)</w:t>
            </w:r>
          </w:p>
        </w:tc>
        <w:tc>
          <w:tcPr>
            <w:tcW w:w="7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100" w:type="dxa"/>
            <w:vAlign w:val="bottom"/>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00" w:type="dxa"/>
            <w:vAlign w:val="bottom"/>
          </w:tcPr>
          <w:p>
            <w:pPr>
              <w:spacing w:after="0"/>
              <w:rPr>
                <w:sz w:val="3"/>
                <w:szCs w:val="3"/>
                <w:color w:val="auto"/>
              </w:rPr>
            </w:pPr>
          </w:p>
        </w:tc>
        <w:tc>
          <w:tcPr>
            <w:tcW w:w="500" w:type="dxa"/>
            <w:vAlign w:val="bottom"/>
          </w:tcPr>
          <w:p>
            <w:pPr>
              <w:spacing w:after="0"/>
              <w:rPr>
                <w:sz w:val="3"/>
                <w:szCs w:val="3"/>
                <w:color w:val="auto"/>
              </w:rPr>
            </w:pPr>
          </w:p>
        </w:tc>
        <w:tc>
          <w:tcPr>
            <w:tcW w:w="66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560" w:type="dxa"/>
            <w:vAlign w:val="bottom"/>
          </w:tcPr>
          <w:p>
            <w:pPr>
              <w:ind w:left="40"/>
              <w:spacing w:after="0"/>
              <w:rPr>
                <w:sz w:val="20"/>
                <w:szCs w:val="20"/>
                <w:color w:val="auto"/>
              </w:rPr>
            </w:pPr>
            <w:r>
              <w:rPr>
                <w:rFonts w:ascii="Arial" w:cs="Arial" w:eastAsia="Arial" w:hAnsi="Arial"/>
                <w:sz w:val="12"/>
                <w:szCs w:val="12"/>
                <w:b w:val="1"/>
                <w:bCs w:val="1"/>
                <w:color w:val="auto"/>
              </w:rPr>
              <w:t>Amount</w:t>
            </w:r>
          </w:p>
        </w:tc>
        <w:tc>
          <w:tcPr>
            <w:tcW w:w="2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or</w:t>
            </w: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Number</w:t>
            </w: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10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5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of</w:t>
            </w:r>
          </w:p>
        </w:tc>
        <w:tc>
          <w:tcPr>
            <w:tcW w:w="20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100" w:type="dxa"/>
            <w:vAlign w:val="bottom"/>
          </w:tcPr>
          <w:p>
            <w:pPr>
              <w:spacing w:after="0"/>
              <w:rPr>
                <w:sz w:val="13"/>
                <w:szCs w:val="13"/>
                <w:color w:val="auto"/>
              </w:rPr>
            </w:pPr>
          </w:p>
        </w:tc>
        <w:tc>
          <w:tcPr>
            <w:tcW w:w="460" w:type="dxa"/>
            <w:vAlign w:val="bottom"/>
          </w:tcPr>
          <w:p>
            <w:pPr>
              <w:ind w:left="60"/>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560" w:type="dxa"/>
            <w:vAlign w:val="bottom"/>
          </w:tcPr>
          <w:p>
            <w:pPr>
              <w:ind w:left="40"/>
              <w:spacing w:after="0"/>
              <w:rPr>
                <w:sz w:val="20"/>
                <w:szCs w:val="20"/>
                <w:color w:val="auto"/>
              </w:rPr>
            </w:pPr>
            <w:r>
              <w:rPr>
                <w:rFonts w:ascii="Arial" w:cs="Arial" w:eastAsia="Arial" w:hAnsi="Arial"/>
                <w:sz w:val="12"/>
                <w:szCs w:val="12"/>
                <w:b w:val="1"/>
                <w:bCs w:val="1"/>
                <w:color w:val="auto"/>
              </w:rPr>
              <w:t>Shares</w:t>
            </w:r>
          </w:p>
        </w:tc>
        <w:tc>
          <w:tcPr>
            <w:tcW w:w="20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10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(1)</w:t>
            </w:r>
          </w:p>
        </w:tc>
        <w:tc>
          <w:tcPr>
            <w:tcW w:w="1080" w:type="dxa"/>
            <w:vAlign w:val="bottom"/>
          </w:tcPr>
          <w:p>
            <w:pPr>
              <w:spacing w:after="0"/>
              <w:rPr>
                <w:sz w:val="15"/>
                <w:szCs w:val="15"/>
                <w:color w:val="auto"/>
              </w:rPr>
            </w:pPr>
          </w:p>
        </w:tc>
        <w:tc>
          <w:tcPr>
            <w:tcW w:w="110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80" w:type="dxa"/>
            <w:vAlign w:val="bottom"/>
            <w:vMerge w:val="restart"/>
          </w:tcPr>
          <w:p>
            <w:pPr>
              <w:ind w:left="300"/>
              <w:spacing w:after="0"/>
              <w:rPr>
                <w:sz w:val="20"/>
                <w:szCs w:val="20"/>
                <w:color w:val="auto"/>
              </w:rPr>
            </w:pPr>
            <w:r>
              <w:rPr>
                <w:rFonts w:ascii="Times New Roman" w:cs="Times New Roman" w:eastAsia="Times New Roman" w:hAnsi="Times New Roman"/>
                <w:sz w:val="11"/>
                <w:szCs w:val="11"/>
                <w:color w:val="008000"/>
              </w:rPr>
              <w:t>(4)</w:t>
            </w:r>
          </w:p>
        </w:tc>
        <w:tc>
          <w:tcPr>
            <w:tcW w:w="700" w:type="dxa"/>
            <w:vAlign w:val="bottom"/>
            <w:vMerge w:val="restart"/>
          </w:tcPr>
          <w:p>
            <w:pPr>
              <w:ind w:left="280"/>
              <w:spacing w:after="0"/>
              <w:rPr>
                <w:sz w:val="20"/>
                <w:szCs w:val="20"/>
                <w:color w:val="auto"/>
              </w:rPr>
            </w:pPr>
            <w:r>
              <w:rPr>
                <w:rFonts w:ascii="Times New Roman" w:cs="Times New Roman" w:eastAsia="Times New Roman" w:hAnsi="Times New Roman"/>
                <w:sz w:val="11"/>
                <w:szCs w:val="11"/>
                <w:color w:val="008000"/>
              </w:rPr>
              <w:t>(4)</w:t>
            </w:r>
          </w:p>
        </w:tc>
        <w:tc>
          <w:tcPr>
            <w:tcW w:w="640" w:type="dxa"/>
            <w:vAlign w:val="bottom"/>
          </w:tcPr>
          <w:p>
            <w:pPr>
              <w:ind w:left="100"/>
              <w:spacing w:after="0"/>
              <w:rPr>
                <w:sz w:val="20"/>
                <w:szCs w:val="20"/>
                <w:color w:val="auto"/>
              </w:rPr>
            </w:pPr>
            <w:r>
              <w:rPr>
                <w:rFonts w:ascii="Times New Roman" w:cs="Times New Roman" w:eastAsia="Times New Roman" w:hAnsi="Times New Roman"/>
                <w:sz w:val="13"/>
                <w:szCs w:val="13"/>
                <w:color w:val="0000FF"/>
              </w:rPr>
              <w:t>Class A</w:t>
            </w:r>
          </w:p>
        </w:tc>
        <w:tc>
          <w:tcPr>
            <w:tcW w:w="560" w:type="dxa"/>
            <w:vAlign w:val="bottom"/>
            <w:vMerge w:val="restart"/>
          </w:tcPr>
          <w:p>
            <w:pPr>
              <w:ind w:left="80"/>
              <w:spacing w:after="0"/>
              <w:rPr>
                <w:sz w:val="20"/>
                <w:szCs w:val="20"/>
                <w:color w:val="auto"/>
              </w:rPr>
            </w:pPr>
            <w:r>
              <w:rPr>
                <w:rFonts w:ascii="Times New Roman" w:cs="Times New Roman" w:eastAsia="Times New Roman" w:hAnsi="Times New Roman"/>
                <w:sz w:val="17"/>
                <w:szCs w:val="17"/>
                <w:color w:val="0000FF"/>
              </w:rPr>
              <w:t>2,500</w:t>
            </w:r>
          </w:p>
        </w:tc>
        <w:tc>
          <w:tcPr>
            <w:tcW w:w="20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60" w:type="dxa"/>
            <w:vAlign w:val="bottom"/>
            <w:vMerge w:val="restart"/>
          </w:tcPr>
          <w:p>
            <w:pPr>
              <w:ind w:left="380"/>
              <w:spacing w:after="0"/>
              <w:rPr>
                <w:sz w:val="20"/>
                <w:szCs w:val="20"/>
                <w:color w:val="auto"/>
              </w:rPr>
            </w:pPr>
            <w:r>
              <w:rPr>
                <w:rFonts w:ascii="Times New Roman" w:cs="Times New Roman" w:eastAsia="Times New Roman" w:hAnsi="Times New Roman"/>
                <w:sz w:val="25"/>
                <w:szCs w:val="25"/>
                <w:color w:val="0000FF"/>
                <w:vertAlign w:val="subscript"/>
              </w:rPr>
              <w:t>0</w:t>
            </w:r>
            <w:r>
              <w:rPr>
                <w:rFonts w:ascii="Times New Roman" w:cs="Times New Roman" w:eastAsia="Times New Roman" w:hAnsi="Times New Roman"/>
                <w:sz w:val="11"/>
                <w:szCs w:val="11"/>
                <w:color w:val="008000"/>
              </w:rPr>
              <w:t>(5)</w:t>
            </w: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00" w:type="dxa"/>
            <w:vAlign w:val="bottom"/>
          </w:tcPr>
          <w:p>
            <w:pPr>
              <w:ind w:left="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780" w:type="dxa"/>
            <w:vAlign w:val="bottom"/>
            <w:vMerge w:val="continue"/>
          </w:tcPr>
          <w:p>
            <w:pPr>
              <w:spacing w:after="0"/>
              <w:rPr>
                <w:sz w:val="12"/>
                <w:szCs w:val="12"/>
                <w:color w:val="auto"/>
              </w:rPr>
            </w:pPr>
          </w:p>
        </w:tc>
        <w:tc>
          <w:tcPr>
            <w:tcW w:w="1080" w:type="dxa"/>
            <w:vAlign w:val="bottom"/>
          </w:tcPr>
          <w:p>
            <w:pPr>
              <w:ind w:left="260"/>
              <w:spacing w:after="0" w:line="143" w:lineRule="exact"/>
              <w:rPr>
                <w:sz w:val="20"/>
                <w:szCs w:val="20"/>
                <w:color w:val="auto"/>
              </w:rPr>
            </w:pPr>
            <w:r>
              <w:rPr>
                <w:rFonts w:ascii="Times New Roman" w:cs="Times New Roman" w:eastAsia="Times New Roman" w:hAnsi="Times New Roman"/>
                <w:sz w:val="13"/>
                <w:szCs w:val="13"/>
                <w:color w:val="0000FF"/>
              </w:rPr>
              <w:t>11/14/2024</w:t>
            </w:r>
          </w:p>
        </w:tc>
        <w:tc>
          <w:tcPr>
            <w:tcW w:w="1100" w:type="dxa"/>
            <w:vAlign w:val="bottom"/>
          </w:tcPr>
          <w:p>
            <w:pPr>
              <w:spacing w:after="0"/>
              <w:rPr>
                <w:sz w:val="12"/>
                <w:szCs w:val="12"/>
                <w:color w:val="auto"/>
              </w:rPr>
            </w:pPr>
          </w:p>
        </w:tc>
        <w:tc>
          <w:tcPr>
            <w:tcW w:w="460" w:type="dxa"/>
            <w:vAlign w:val="bottom"/>
          </w:tcPr>
          <w:p>
            <w:pPr>
              <w:ind w:left="160"/>
              <w:spacing w:after="0" w:line="143" w:lineRule="exact"/>
              <w:rPr>
                <w:sz w:val="20"/>
                <w:szCs w:val="20"/>
                <w:color w:val="auto"/>
              </w:rPr>
            </w:pPr>
            <w:r>
              <w:rPr>
                <w:rFonts w:ascii="Times New Roman" w:cs="Times New Roman" w:eastAsia="Times New Roman" w:hAnsi="Times New Roman"/>
                <w:sz w:val="13"/>
                <w:szCs w:val="13"/>
                <w:color w:val="0000FF"/>
              </w:rPr>
              <w:t>M</w:t>
            </w:r>
          </w:p>
        </w:tc>
        <w:tc>
          <w:tcPr>
            <w:tcW w:w="420" w:type="dxa"/>
            <w:vAlign w:val="bottom"/>
          </w:tcPr>
          <w:p>
            <w:pPr>
              <w:spacing w:after="0"/>
              <w:rPr>
                <w:sz w:val="12"/>
                <w:szCs w:val="12"/>
                <w:color w:val="auto"/>
              </w:rPr>
            </w:pPr>
          </w:p>
        </w:tc>
        <w:tc>
          <w:tcPr>
            <w:tcW w:w="700" w:type="dxa"/>
            <w:vAlign w:val="bottom"/>
          </w:tcPr>
          <w:p>
            <w:pPr>
              <w:ind w:left="300"/>
              <w:spacing w:after="0" w:line="143" w:lineRule="exact"/>
              <w:rPr>
                <w:sz w:val="20"/>
                <w:szCs w:val="20"/>
                <w:color w:val="auto"/>
              </w:rPr>
            </w:pPr>
            <w:r>
              <w:rPr>
                <w:rFonts w:ascii="Times New Roman" w:cs="Times New Roman" w:eastAsia="Times New Roman" w:hAnsi="Times New Roman"/>
                <w:sz w:val="13"/>
                <w:szCs w:val="13"/>
                <w:color w:val="0000FF"/>
              </w:rPr>
              <w:t>2,500</w:t>
            </w:r>
          </w:p>
        </w:tc>
        <w:tc>
          <w:tcPr>
            <w:tcW w:w="780" w:type="dxa"/>
            <w:vAlign w:val="bottom"/>
            <w:vMerge w:val="continue"/>
          </w:tcPr>
          <w:p>
            <w:pPr>
              <w:spacing w:after="0"/>
              <w:rPr>
                <w:sz w:val="12"/>
                <w:szCs w:val="12"/>
                <w:color w:val="auto"/>
              </w:rPr>
            </w:pPr>
          </w:p>
        </w:tc>
        <w:tc>
          <w:tcPr>
            <w:tcW w:w="700" w:type="dxa"/>
            <w:vAlign w:val="bottom"/>
            <w:vMerge w:val="continue"/>
          </w:tcPr>
          <w:p>
            <w:pPr>
              <w:spacing w:after="0"/>
              <w:rPr>
                <w:sz w:val="12"/>
                <w:szCs w:val="12"/>
                <w:color w:val="auto"/>
              </w:rPr>
            </w:pPr>
          </w:p>
        </w:tc>
        <w:tc>
          <w:tcPr>
            <w:tcW w:w="640" w:type="dxa"/>
            <w:vAlign w:val="bottom"/>
          </w:tcPr>
          <w:p>
            <w:pPr>
              <w:ind w:left="60"/>
              <w:spacing w:after="0" w:line="143" w:lineRule="exact"/>
              <w:rPr>
                <w:sz w:val="20"/>
                <w:szCs w:val="20"/>
                <w:color w:val="auto"/>
              </w:rPr>
            </w:pPr>
            <w:r>
              <w:rPr>
                <w:rFonts w:ascii="Times New Roman" w:cs="Times New Roman" w:eastAsia="Times New Roman" w:hAnsi="Times New Roman"/>
                <w:sz w:val="13"/>
                <w:szCs w:val="13"/>
                <w:color w:val="0000FF"/>
              </w:rPr>
              <w:t>Common</w:t>
            </w:r>
          </w:p>
        </w:tc>
        <w:tc>
          <w:tcPr>
            <w:tcW w:w="560" w:type="dxa"/>
            <w:vAlign w:val="bottom"/>
            <w:vMerge w:val="continue"/>
          </w:tcPr>
          <w:p>
            <w:pPr>
              <w:spacing w:after="0"/>
              <w:rPr>
                <w:sz w:val="12"/>
                <w:szCs w:val="12"/>
                <w:color w:val="auto"/>
              </w:rPr>
            </w:pPr>
          </w:p>
        </w:tc>
        <w:tc>
          <w:tcPr>
            <w:tcW w:w="200" w:type="dxa"/>
            <w:vAlign w:val="bottom"/>
          </w:tcPr>
          <w:p>
            <w:pPr>
              <w:spacing w:after="0"/>
              <w:rPr>
                <w:sz w:val="12"/>
                <w:szCs w:val="12"/>
                <w:color w:val="auto"/>
              </w:rPr>
            </w:pPr>
          </w:p>
        </w:tc>
        <w:tc>
          <w:tcPr>
            <w:tcW w:w="500" w:type="dxa"/>
            <w:vAlign w:val="bottom"/>
          </w:tcPr>
          <w:p>
            <w:pPr>
              <w:ind w:left="10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660" w:type="dxa"/>
            <w:vAlign w:val="bottom"/>
            <w:vMerge w:val="continue"/>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ind w:left="320"/>
              <w:spacing w:after="0" w:line="143"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00" w:type="dxa"/>
            <w:vAlign w:val="bottom"/>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780" w:type="dxa"/>
            <w:vAlign w:val="bottom"/>
          </w:tcPr>
          <w:p>
            <w:pPr>
              <w:spacing w:after="0"/>
              <w:rPr>
                <w:sz w:val="14"/>
                <w:szCs w:val="14"/>
                <w:color w:val="auto"/>
              </w:rPr>
            </w:pPr>
          </w:p>
        </w:tc>
        <w:tc>
          <w:tcPr>
            <w:tcW w:w="108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ind w:left="160"/>
              <w:spacing w:after="0"/>
              <w:rPr>
                <w:sz w:val="20"/>
                <w:szCs w:val="20"/>
                <w:color w:val="auto"/>
              </w:rPr>
            </w:pPr>
            <w:r>
              <w:rPr>
                <w:rFonts w:ascii="Times New Roman" w:cs="Times New Roman" w:eastAsia="Times New Roman" w:hAnsi="Times New Roman"/>
                <w:sz w:val="13"/>
                <w:szCs w:val="13"/>
                <w:color w:val="0000FF"/>
              </w:rPr>
              <w:t>Stock</w:t>
            </w:r>
          </w:p>
        </w:tc>
        <w:tc>
          <w:tcPr>
            <w:tcW w:w="56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1080" w:type="dxa"/>
            <w:vAlign w:val="bottom"/>
            <w:tcBorders>
              <w:bottom w:val="single" w:sz="8" w:color="2C2C2C"/>
            </w:tcBorders>
          </w:tcPr>
          <w:p>
            <w:pPr>
              <w:spacing w:after="0"/>
              <w:rPr>
                <w:sz w:val="4"/>
                <w:szCs w:val="4"/>
                <w:color w:val="auto"/>
              </w:rPr>
            </w:pPr>
          </w:p>
        </w:tc>
        <w:tc>
          <w:tcPr>
            <w:tcW w:w="1100" w:type="dxa"/>
            <w:vAlign w:val="bottom"/>
            <w:tcBorders>
              <w:bottom w:val="single" w:sz="8" w:color="2C2C2C"/>
            </w:tcBorders>
          </w:tcPr>
          <w:p>
            <w:pPr>
              <w:spacing w:after="0"/>
              <w:rPr>
                <w:sz w:val="4"/>
                <w:szCs w:val="4"/>
                <w:color w:val="auto"/>
              </w:rPr>
            </w:pPr>
          </w:p>
        </w:tc>
        <w:tc>
          <w:tcPr>
            <w:tcW w:w="46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50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6"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5" w:lineRule="exact"/>
        <w:rPr>
          <w:sz w:val="24"/>
          <w:szCs w:val="24"/>
          <w:color w:val="auto"/>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share of MicroStrategy class A common stock.</w:t>
      </w:r>
    </w:p>
    <w:p>
      <w:pPr>
        <w:spacing w:after="0" w:line="45" w:lineRule="exact"/>
        <w:rPr>
          <w:rFonts w:ascii="Times New Roman" w:cs="Times New Roman" w:eastAsia="Times New Roman" w:hAnsi="Times New Roman"/>
          <w:sz w:val="13"/>
          <w:szCs w:val="13"/>
          <w:color w:val="008000"/>
        </w:rPr>
      </w:pPr>
    </w:p>
    <w:p>
      <w:pPr>
        <w:ind w:left="40" w:right="500" w:firstLine="3"/>
        <w:spacing w:after="0" w:line="259" w:lineRule="auto"/>
        <w:tabs>
          <w:tab w:leader="none" w:pos="17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 was effected pursuant to a Rule 10b5-1 instruction letter entered into on May 7, 2024 to satisfy the Reporting Person's tax withholding obligation upon the vesting of previously granted equity awards.</w:t>
      </w:r>
    </w:p>
    <w:p>
      <w:pPr>
        <w:spacing w:after="0" w:line="15" w:lineRule="exact"/>
        <w:rPr>
          <w:rFonts w:ascii="Times New Roman" w:cs="Times New Roman" w:eastAsia="Times New Roman" w:hAnsi="Times New Roman"/>
          <w:sz w:val="13"/>
          <w:szCs w:val="13"/>
          <w:color w:val="008000"/>
        </w:rPr>
      </w:pPr>
    </w:p>
    <w:p>
      <w:pPr>
        <w:ind w:left="40" w:right="300" w:firstLine="3"/>
        <w:spacing w:after="0" w:line="244" w:lineRule="auto"/>
        <w:tabs>
          <w:tab w:leader="none" w:pos="17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$322.37 to $322.63,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2,500 restricted stock units vested in full on November 13, 2024.</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Exhibit A.</w:t>
      </w:r>
    </w:p>
    <w:p>
      <w:pPr>
        <w:spacing w:after="0" w:line="58"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w w:val="98"/>
              </w:rPr>
              <w:t>/s/ Joseph Phillips, Attorney-</w:t>
            </w:r>
          </w:p>
        </w:tc>
        <w:tc>
          <w:tcPr>
            <w:tcW w:w="240" w:type="dxa"/>
            <w:vAlign w:val="bottom"/>
          </w:tcPr>
          <w:p>
            <w:pPr>
              <w:spacing w:after="0"/>
              <w:rPr>
                <w:sz w:val="17"/>
                <w:szCs w:val="17"/>
                <w:color w:val="auto"/>
              </w:rPr>
            </w:pPr>
          </w:p>
        </w:tc>
        <w:tc>
          <w:tcPr>
            <w:tcW w:w="7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5"/>
              </w:rPr>
              <w:t>11/15/2024</w:t>
            </w:r>
          </w:p>
        </w:tc>
        <w:tc>
          <w:tcPr>
            <w:tcW w:w="0" w:type="dxa"/>
            <w:vAlign w:val="bottom"/>
          </w:tcPr>
          <w:p>
            <w:pPr>
              <w:spacing w:after="0"/>
              <w:rPr>
                <w:sz w:val="1"/>
                <w:szCs w:val="1"/>
                <w:color w:val="auto"/>
              </w:rPr>
            </w:pPr>
          </w:p>
        </w:tc>
      </w:tr>
      <w:tr>
        <w:trPr>
          <w:trHeight w:val="89"/>
        </w:trPr>
        <w:tc>
          <w:tcPr>
            <w:tcW w:w="480" w:type="dxa"/>
            <w:vAlign w:val="bottom"/>
            <w:vMerge w:val="restart"/>
          </w:tcPr>
          <w:p>
            <w:pPr>
              <w:spacing w:after="0" w:line="188" w:lineRule="exact"/>
              <w:rPr>
                <w:sz w:val="20"/>
                <w:szCs w:val="20"/>
                <w:color w:val="auto"/>
              </w:rPr>
            </w:pPr>
            <w:r>
              <w:rPr>
                <w:rFonts w:ascii="Times New Roman" w:cs="Times New Roman" w:eastAsia="Times New Roman" w:hAnsi="Times New Roman"/>
                <w:sz w:val="17"/>
                <w:szCs w:val="17"/>
                <w:color w:val="0000FF"/>
                <w:w w:val="95"/>
              </w:rPr>
              <w:t>in-Fact</w:t>
            </w:r>
          </w:p>
        </w:tc>
        <w:tc>
          <w:tcPr>
            <w:tcW w:w="172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480" w:type="dxa"/>
            <w:vAlign w:val="bottom"/>
            <w:tcBorders>
              <w:bottom w:val="single" w:sz="8" w:color="auto"/>
            </w:tcBorders>
            <w:vMerge w:val="continue"/>
          </w:tcPr>
          <w:p>
            <w:pPr>
              <w:spacing w:after="0"/>
              <w:rPr>
                <w:sz w:val="7"/>
                <w:szCs w:val="7"/>
                <w:color w:val="auto"/>
              </w:rPr>
            </w:pPr>
          </w:p>
        </w:tc>
        <w:tc>
          <w:tcPr>
            <w:tcW w:w="172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3"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9"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080"/>
          </w:cols>
          <w:pgMar w:left="460" w:top="216" w:right="359" w:bottom="1440" w:gutter="0" w:footer="0" w:header="0"/>
          <w:type w:val="continuous"/>
        </w:sectPr>
      </w:pPr>
    </w:p>
    <w:bookmarkStart w:id="1" w:name="page2"/>
    <w:bookmarkEnd w:id="1"/>
    <w:p>
      <w:pPr>
        <w:spacing w:after="0"/>
        <w:rPr>
          <w:sz w:val="20"/>
          <w:szCs w:val="20"/>
          <w:color w:val="auto"/>
        </w:rPr>
      </w:pPr>
      <w:r>
        <w:rPr>
          <w:rFonts w:ascii="Arial" w:cs="Arial" w:eastAsia="Arial" w:hAnsi="Arial"/>
          <w:sz w:val="19"/>
          <w:szCs w:val="19"/>
          <w:color w:val="auto"/>
        </w:rPr>
        <w:t>Exhibit A</w:t>
      </w:r>
    </w:p>
    <w:p>
      <w:pPr>
        <w:spacing w:after="0" w:line="133" w:lineRule="exact"/>
        <w:rPr>
          <w:sz w:val="20"/>
          <w:szCs w:val="20"/>
          <w:color w:val="auto"/>
        </w:rPr>
      </w:pPr>
    </w:p>
    <w:p>
      <w:pPr>
        <w:ind w:right="100"/>
        <w:spacing w:after="0" w:line="246" w:lineRule="auto"/>
        <w:rPr>
          <w:sz w:val="20"/>
          <w:szCs w:val="20"/>
          <w:color w:val="auto"/>
        </w:rPr>
      </w:pPr>
      <w:r>
        <w:rPr>
          <w:rFonts w:ascii="Arial" w:cs="Arial" w:eastAsia="Arial" w:hAnsi="Arial"/>
          <w:sz w:val="19"/>
          <w:szCs w:val="19"/>
          <w:color w:val="auto"/>
        </w:rPr>
        <w:t>Mr. Le also directly owns an employee stock option to purchase 351,162 shares of Class A common stock with (i) an exercise price of $15.16 per share and (ii) an expiration date of November 22, 2029. Of the 351,162 shares subject to this option, 101,162 shares vested on November 22, 2022 and 250,000 shares vested on November 22, 2023.</w:t>
      </w:r>
    </w:p>
    <w:p>
      <w:pPr>
        <w:spacing w:after="0" w:line="82" w:lineRule="exact"/>
        <w:rPr>
          <w:sz w:val="20"/>
          <w:szCs w:val="20"/>
          <w:color w:val="auto"/>
        </w:rPr>
      </w:pPr>
    </w:p>
    <w:p>
      <w:pPr>
        <w:spacing w:after="0"/>
        <w:rPr>
          <w:sz w:val="20"/>
          <w:szCs w:val="20"/>
          <w:color w:val="auto"/>
        </w:rPr>
      </w:pPr>
      <w:r>
        <w:rPr>
          <w:rFonts w:ascii="Arial" w:cs="Arial" w:eastAsia="Arial" w:hAnsi="Arial"/>
          <w:sz w:val="19"/>
          <w:szCs w:val="19"/>
          <w:color w:val="auto"/>
        </w:rPr>
        <w:t>Mr. Le also directly owns an employee stock option to purchase 400,000 shares of Class A common stock with (i) an exercise price of $69.123 per share and (ii) an expiration date of February 23, 2031. Of the 400,000 shares subject to this option, 100,000 shares vested on February 23, 2022, 100,000 shares vested on February 23, 2023, 100,000 shares vested on February 23, 2024, and 100,000 shares are scheduled to vest on February 23, 2025.</w:t>
      </w:r>
    </w:p>
    <w:p>
      <w:pPr>
        <w:spacing w:after="0" w:line="101" w:lineRule="exact"/>
        <w:rPr>
          <w:sz w:val="20"/>
          <w:szCs w:val="20"/>
          <w:color w:val="auto"/>
        </w:rPr>
      </w:pPr>
    </w:p>
    <w:p>
      <w:pPr>
        <w:ind w:right="220"/>
        <w:spacing w:after="0"/>
        <w:rPr>
          <w:sz w:val="20"/>
          <w:szCs w:val="20"/>
          <w:color w:val="auto"/>
        </w:rPr>
      </w:pPr>
      <w:r>
        <w:rPr>
          <w:rFonts w:ascii="Arial" w:cs="Arial" w:eastAsia="Arial" w:hAnsi="Arial"/>
          <w:sz w:val="19"/>
          <w:szCs w:val="19"/>
          <w:color w:val="auto"/>
        </w:rPr>
        <w:t>Mr. Le also directly owns an employee stock option to purchase 400,000 shares of Class A common stock with (i) an exercise price of $40.46 per share and (ii) an expiration date of February 17, 2032. Of the 400,000 shares subject to this option, 100,000 shares vested on February 17, 2023, 100,000 shares vested on February 17, 2024, 100,000 shares are scheduled to vest on February 17, 2025, and 100,000 shares are scheduled to vest on February 17, 2026.</w:t>
      </w:r>
    </w:p>
    <w:p>
      <w:pPr>
        <w:spacing w:after="0" w:line="101" w:lineRule="exact"/>
        <w:rPr>
          <w:sz w:val="20"/>
          <w:szCs w:val="20"/>
          <w:color w:val="auto"/>
        </w:rPr>
      </w:pPr>
    </w:p>
    <w:p>
      <w:pPr>
        <w:spacing w:after="0"/>
        <w:rPr>
          <w:sz w:val="20"/>
          <w:szCs w:val="20"/>
          <w:color w:val="auto"/>
        </w:rPr>
      </w:pPr>
      <w:r>
        <w:rPr>
          <w:rFonts w:ascii="Arial" w:cs="Arial" w:eastAsia="Arial" w:hAnsi="Arial"/>
          <w:sz w:val="19"/>
          <w:szCs w:val="19"/>
          <w:color w:val="auto"/>
        </w:rPr>
        <w:t>Mr. Le also directly owns an employee stock option to purchase 600,000 shares of Class A common stock with (i) an exercise price of $23.125 per share and (ii) an expiration date of September 13, 2032. Of the 600,000 shares subject to this option, 150,000 shares vested on September 13, 2023, 150,000 shares vested on September 13, 2024, 150,000 shares are scheduled to vest on September 13, 2025, and 150,000 shares are scheduled to vest on September 13, 2026.</w:t>
      </w:r>
    </w:p>
    <w:p>
      <w:pPr>
        <w:spacing w:after="0" w:line="88" w:lineRule="exact"/>
        <w:rPr>
          <w:sz w:val="20"/>
          <w:szCs w:val="20"/>
          <w:color w:val="auto"/>
        </w:rPr>
      </w:pPr>
    </w:p>
    <w:p>
      <w:pPr>
        <w:ind w:right="20"/>
        <w:spacing w:after="0"/>
        <w:rPr>
          <w:sz w:val="20"/>
          <w:szCs w:val="20"/>
          <w:color w:val="auto"/>
        </w:rPr>
      </w:pPr>
      <w:r>
        <w:rPr>
          <w:rFonts w:ascii="Arial" w:cs="Arial" w:eastAsia="Arial" w:hAnsi="Arial"/>
          <w:sz w:val="19"/>
          <w:szCs w:val="19"/>
          <w:color w:val="auto"/>
        </w:rPr>
        <w:t>Mr. Le directly owns an employee stock option to purchase 26,730 shares of Class A common stock with (i) an exercise price of $159.929 per share and (ii) an expiration date of March 21, 2034. Of the 26,730 shares subject to this option, 6,680 shares are scheduled to vest on March 21, 2025, 6,680 shares are scheduled to vest on March 21, 2026, 6,680 shares are scheduled to vest on March 21, 2027, and 6,690 shares are scheduled to vest on March 21, 2028.</w:t>
      </w:r>
    </w:p>
    <w:p>
      <w:pPr>
        <w:spacing w:after="0" w:line="101" w:lineRule="exact"/>
        <w:rPr>
          <w:sz w:val="20"/>
          <w:szCs w:val="20"/>
          <w:color w:val="auto"/>
        </w:rPr>
      </w:pPr>
    </w:p>
    <w:p>
      <w:pPr>
        <w:spacing w:after="0" w:line="246" w:lineRule="auto"/>
        <w:rPr>
          <w:sz w:val="20"/>
          <w:szCs w:val="20"/>
          <w:color w:val="auto"/>
        </w:rPr>
      </w:pPr>
      <w:r>
        <w:rPr>
          <w:rFonts w:ascii="Arial" w:cs="Arial" w:eastAsia="Arial" w:hAnsi="Arial"/>
          <w:sz w:val="19"/>
          <w:szCs w:val="19"/>
          <w:color w:val="auto"/>
        </w:rPr>
        <w:t>Mr. Le also directly owns restricted stock units with the contingent right to receive 35,760 shares of Class A common stock. Of these 35,760 shares, 11,920 shares are scheduled to vest on June 5, 2025, 11,920 shares are scheduled to vest on June 5, 2026, and 11,920 shares are scheduled to vest on June 5, 2027.</w:t>
      </w:r>
    </w:p>
    <w:p>
      <w:pPr>
        <w:spacing w:after="0" w:line="95" w:lineRule="exact"/>
        <w:rPr>
          <w:sz w:val="20"/>
          <w:szCs w:val="20"/>
          <w:color w:val="auto"/>
        </w:rPr>
      </w:pPr>
    </w:p>
    <w:p>
      <w:pPr>
        <w:jc w:val="both"/>
        <w:ind w:right="260"/>
        <w:spacing w:after="0" w:line="246" w:lineRule="auto"/>
        <w:rPr>
          <w:sz w:val="20"/>
          <w:szCs w:val="20"/>
          <w:color w:val="auto"/>
        </w:rPr>
      </w:pPr>
      <w:r>
        <w:rPr>
          <w:rFonts w:ascii="Arial" w:cs="Arial" w:eastAsia="Arial" w:hAnsi="Arial"/>
          <w:sz w:val="19"/>
          <w:szCs w:val="19"/>
          <w:color w:val="auto"/>
        </w:rPr>
        <w:t>Mr. Le also directly owns restricted stock units with the contingent right to receive 29,280 shares of Class A common stock. Of these 29,280 shares, 7,320 shares are scheduled to vest on March 21, 2025, 7,320 shares are scheduled to vest on March 21, 2026, 7,320 shares are scheduled to vest on March 21, 2027, and 7,320 shares are scheduled to vest on March 21, 2028.</w:t>
      </w:r>
    </w:p>
    <w:p>
      <w:pPr>
        <w:spacing w:after="0" w:line="82" w:lineRule="exact"/>
        <w:rPr>
          <w:sz w:val="20"/>
          <w:szCs w:val="20"/>
          <w:color w:val="auto"/>
        </w:rPr>
      </w:pPr>
    </w:p>
    <w:p>
      <w:pPr>
        <w:ind w:right="140"/>
        <w:spacing w:after="0" w:line="237" w:lineRule="auto"/>
        <w:rPr>
          <w:sz w:val="20"/>
          <w:szCs w:val="20"/>
          <w:color w:val="auto"/>
        </w:rPr>
      </w:pPr>
      <w:r>
        <w:rPr>
          <w:rFonts w:ascii="Arial" w:cs="Arial" w:eastAsia="Arial" w:hAnsi="Arial"/>
          <w:sz w:val="19"/>
          <w:szCs w:val="19"/>
          <w:color w:val="auto"/>
        </w:rPr>
        <w:t>Mr. Le also directly owns 95,370 performance stock units (PSUs) granted on June 5, 2023. Each PSU represents a contingent right to receive shares of Class A common stock of between 0 percent and 200 percent of the target number of units, with the percentage determined based on MicroStrategy's relative total shareholder return (TSR) as compared to the TSR of members of the Nasdaq Composite Index over a three-year performance period (June 1, 2023 to May 31, 2026). Vesting is subject to certification by MicroStrategy's Compensation Committee of the level of</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-9525</wp:posOffset>
            </wp:positionH>
            <wp:positionV relativeFrom="paragraph">
              <wp:posOffset>925830</wp:posOffset>
            </wp:positionV>
            <wp:extent cx="6992620" cy="419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6992620" cy="41910"/>
                    </a:xfrm>
                    <a:prstGeom prst="rect">
                      <a:avLst/>
                    </a:prstGeom>
                    <a:noFill/>
                  </pic:spPr>
                </pic:pic>
              </a:graphicData>
            </a:graphic>
          </wp:anchor>
        </w:drawing>
      </w:r>
    </w:p>
    <w:p>
      <w:pPr>
        <w:sectPr>
          <w:pgSz w:w="11900" w:h="16838" w:orient="portrait"/>
          <w:cols w:equalWidth="0" w:num="1">
            <w:col w:w="10940"/>
          </w:cols>
          <w:pgMar w:left="460" w:top="1366" w:right="499" w:bottom="1440" w:gutter="0" w:footer="0" w:header="0"/>
        </w:sectPr>
      </w:pPr>
    </w:p>
    <w:bookmarkStart w:id="2" w:name="page3"/>
    <w:bookmarkEnd w:id="2"/>
    <w:p>
      <w:pPr>
        <w:ind w:right="300"/>
        <w:spacing w:after="0" w:line="263" w:lineRule="auto"/>
        <w:rPr>
          <w:sz w:val="20"/>
          <w:szCs w:val="20"/>
          <w:color w:val="auto"/>
        </w:rPr>
      </w:pPr>
      <w:r>
        <w:rPr>
          <w:rFonts w:ascii="Arial" w:cs="Arial" w:eastAsia="Arial" w:hAnsi="Arial"/>
          <w:sz w:val="19"/>
          <w:szCs w:val="19"/>
          <w:color w:val="auto"/>
        </w:rPr>
        <w:t>achievement of the performance goal and the participant's continued service through that date. The "target" number of PSUs is reported in this Exhibit A.</w:t>
      </w:r>
    </w:p>
    <w:p>
      <w:pPr>
        <w:spacing w:after="0" w:line="80" w:lineRule="exact"/>
        <w:rPr>
          <w:sz w:val="20"/>
          <w:szCs w:val="20"/>
          <w:color w:val="auto"/>
        </w:rPr>
      </w:pPr>
    </w:p>
    <w:p>
      <w:pPr>
        <w:spacing w:after="0" w:line="236" w:lineRule="auto"/>
        <w:rPr>
          <w:sz w:val="20"/>
          <w:szCs w:val="20"/>
          <w:color w:val="auto"/>
        </w:rPr>
      </w:pPr>
      <w:r>
        <w:rPr>
          <w:rFonts w:ascii="Arial" w:cs="Arial" w:eastAsia="Arial" w:hAnsi="Arial"/>
          <w:sz w:val="19"/>
          <w:szCs w:val="19"/>
          <w:color w:val="auto"/>
        </w:rPr>
        <w:t>Mr. Le also directly owns 18,630 performance stock units (PSUs) granted on March 21, 2024. Each PSU represents a contingent right to receive shares of Class A common stock of between 0 percent and 200 percent of the target number of units, with the percentage determined based on MicroStrategy's relative total shareholder return (TSR) as compared to the TSR of members of the Nasdaq Composite Index over a three-year performance period (March 21, 2024 to March 20, 2027). Vesting is subject to certification by MicroStrategy's Compensation Committee of the level of achievement of the performance goal and the participant's continued service through that date. The "target" number of PSUs is reported in this Exhibit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-9525</wp:posOffset>
            </wp:positionH>
            <wp:positionV relativeFrom="paragraph">
              <wp:posOffset>1138555</wp:posOffset>
            </wp:positionV>
            <wp:extent cx="6992620" cy="419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6992620" cy="41910"/>
                    </a:xfrm>
                    <a:prstGeom prst="rect">
                      <a:avLst/>
                    </a:prstGeom>
                    <a:noFill/>
                  </pic:spPr>
                </pic:pic>
              </a:graphicData>
            </a:graphic>
          </wp:anchor>
        </w:drawing>
      </w:r>
    </w:p>
    <w:sectPr>
      <w:pgSz w:w="11900" w:h="16838" w:orient="portrait"/>
      <w:cols w:equalWidth="0" w:num="1">
        <w:col w:w="10980"/>
      </w:cols>
      <w:pgMar w:left="460" w:top="1366" w:right="4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3" Type="http://schemas.openxmlformats.org/officeDocument/2006/relationships/hyperlink" Target="http://www.sec.gov/cgi-bin/browse-edgar?action=getcompany&amp;CIK=0001651669" TargetMode="External"/><Relationship Id="rId14"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2024-11-15T16:20:58Z</dcterms:created>
  <dcterms:modified xsi:type="dcterms:W3CDTF">2024-11-15T16:20:58Z</dcterms:modified>
</cp:coreProperties>
</file>