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5"/>
          <w:szCs w:val="25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208280</wp:posOffset>
            </wp:positionH>
            <wp:positionV relativeFrom="page">
              <wp:posOffset>191770</wp:posOffset>
            </wp:positionV>
            <wp:extent cx="7132320" cy="342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20" cy="3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208280</wp:posOffset>
            </wp:positionH>
            <wp:positionV relativeFrom="page">
              <wp:posOffset>311785</wp:posOffset>
            </wp:positionV>
            <wp:extent cx="7132320" cy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UNITED STATES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5"/>
          <w:szCs w:val="25"/>
          <w:b w:val="1"/>
          <w:bCs w:val="1"/>
          <w:color w:val="auto"/>
        </w:rPr>
        <w:t>SECURITIES AND EXCHANGE COMMISSION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Washington, D.C. 20549</w:t>
      </w:r>
    </w:p>
    <w:p>
      <w:pPr>
        <w:spacing w:after="0" w:line="162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SCHEDULE 14A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(Rule 14a-101)</w:t>
      </w:r>
    </w:p>
    <w:p>
      <w:pPr>
        <w:jc w:val="center"/>
        <w:ind w:right="-112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INFORMATION REQUIRED IN</w:t>
      </w:r>
    </w:p>
    <w:p>
      <w:pPr>
        <w:jc w:val="center"/>
        <w:ind w:right="-1120"/>
        <w:spacing w:after="0" w:line="2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PROXY STATEMENT</w:t>
      </w:r>
    </w:p>
    <w:p>
      <w:pPr>
        <w:jc w:val="center"/>
        <w:ind w:right="-112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SCHEDULE 14A INFORMATION</w:t>
      </w:r>
    </w:p>
    <w:p>
      <w:pPr>
        <w:jc w:val="center"/>
        <w:ind w:right="-112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Proxy Statement Pursuant to Section 14(a) of the</w:t>
      </w:r>
    </w:p>
    <w:p>
      <w:pPr>
        <w:jc w:val="center"/>
        <w:ind w:right="-1120"/>
        <w:spacing w:after="0" w:line="23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Securities Exchange Act of 1934</w:t>
      </w: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(Amendment No.      )</w:t>
      </w:r>
    </w:p>
    <w:p>
      <w:pPr>
        <w:spacing w:after="0" w:line="150" w:lineRule="exact"/>
        <w:rPr>
          <w:sz w:val="24"/>
          <w:szCs w:val="24"/>
          <w:color w:val="auto"/>
        </w:rPr>
      </w:pPr>
    </w:p>
    <w:p>
      <w:pPr>
        <w:spacing w:after="0" w:line="207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 xml:space="preserve">Filed by the Registrant </w:t>
      </w:r>
      <w:r>
        <w:rPr>
          <w:rFonts w:ascii="MS PGothic" w:cs="MS PGothic" w:eastAsia="MS PGothic" w:hAnsi="MS PGothic"/>
          <w:sz w:val="18"/>
          <w:szCs w:val="18"/>
          <w:color w:val="auto"/>
        </w:rPr>
        <w:t>☒</w:t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>
        <w:spacing w:after="0" w:line="207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 xml:space="preserve">Filed by a Party other than the Registrant </w:t>
      </w:r>
      <w:r>
        <w:rPr>
          <w:rFonts w:ascii="MS PGothic" w:cs="MS PGothic" w:eastAsia="MS PGothic" w:hAnsi="MS PGothic"/>
          <w:sz w:val="18"/>
          <w:szCs w:val="18"/>
          <w:color w:val="auto"/>
        </w:rPr>
        <w:t>☐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Check the appropriate box: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340" w:hanging="332"/>
        <w:spacing w:after="0"/>
        <w:tabs>
          <w:tab w:leader="none" w:pos="34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Preliminary Proxy Statement</w:t>
      </w:r>
    </w:p>
    <w:p>
      <w:pPr>
        <w:spacing w:after="0" w:line="15" w:lineRule="exact"/>
        <w:rPr>
          <w:rFonts w:ascii="MS PGothic" w:cs="MS PGothic" w:eastAsia="MS PGothic" w:hAnsi="MS PGothic"/>
          <w:sz w:val="18"/>
          <w:szCs w:val="18"/>
          <w:color w:val="auto"/>
        </w:rPr>
      </w:pPr>
    </w:p>
    <w:p>
      <w:pPr>
        <w:ind w:left="340" w:hanging="332"/>
        <w:spacing w:after="0"/>
        <w:tabs>
          <w:tab w:leader="none" w:pos="34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Confidential, for Use of the Commission Only (as permitted by Rule 14a-6(e)(2))</w:t>
      </w:r>
    </w:p>
    <w:p>
      <w:pPr>
        <w:spacing w:after="0" w:line="9" w:lineRule="exact"/>
        <w:rPr>
          <w:rFonts w:ascii="MS PGothic" w:cs="MS PGothic" w:eastAsia="MS PGothic" w:hAnsi="MS PGothic"/>
          <w:sz w:val="18"/>
          <w:szCs w:val="18"/>
          <w:color w:val="auto"/>
        </w:rPr>
      </w:pPr>
    </w:p>
    <w:p>
      <w:pPr>
        <w:ind w:left="340" w:hanging="332"/>
        <w:spacing w:after="0"/>
        <w:tabs>
          <w:tab w:leader="none" w:pos="34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Definitive Proxy Statement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340" w:hanging="332"/>
        <w:spacing w:after="0"/>
        <w:tabs>
          <w:tab w:leader="none" w:pos="340" w:val="left"/>
        </w:tabs>
        <w:numPr>
          <w:ilvl w:val="0"/>
          <w:numId w:val="2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Definitive Additional Materials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340" w:hanging="332"/>
        <w:spacing w:after="0"/>
        <w:tabs>
          <w:tab w:leader="none" w:pos="340" w:val="left"/>
        </w:tabs>
        <w:numPr>
          <w:ilvl w:val="0"/>
          <w:numId w:val="3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Soliciting Material under §240.14a-12</w:t>
      </w:r>
    </w:p>
    <w:p>
      <w:pPr>
        <w:spacing w:after="0" w:line="183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MicroStrategy Incorporated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(Name of registrant as specified in its charter)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(Name of person(s) filing proxy statement, if other than the registrant)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Payment of Filing Fee (Check all boxes that apply):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340" w:hanging="332"/>
        <w:spacing w:after="0"/>
        <w:tabs>
          <w:tab w:leader="none" w:pos="340" w:val="left"/>
        </w:tabs>
        <w:numPr>
          <w:ilvl w:val="0"/>
          <w:numId w:val="4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No fee required</w:t>
      </w:r>
    </w:p>
    <w:p>
      <w:pPr>
        <w:spacing w:after="0" w:line="15" w:lineRule="exact"/>
        <w:rPr>
          <w:rFonts w:ascii="MS PGothic" w:cs="MS PGothic" w:eastAsia="MS PGothic" w:hAnsi="MS PGothic"/>
          <w:sz w:val="18"/>
          <w:szCs w:val="18"/>
          <w:color w:val="auto"/>
        </w:rPr>
      </w:pPr>
    </w:p>
    <w:p>
      <w:pPr>
        <w:ind w:left="340" w:hanging="328"/>
        <w:spacing w:after="0"/>
        <w:tabs>
          <w:tab w:leader="none" w:pos="340" w:val="left"/>
        </w:tabs>
        <w:numPr>
          <w:ilvl w:val="1"/>
          <w:numId w:val="4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Fee paid previously with preliminary materials</w:t>
      </w:r>
    </w:p>
    <w:p>
      <w:pPr>
        <w:spacing w:after="0" w:line="9" w:lineRule="exact"/>
        <w:rPr>
          <w:rFonts w:ascii="MS PGothic" w:cs="MS PGothic" w:eastAsia="MS PGothic" w:hAnsi="MS PGothic"/>
          <w:sz w:val="18"/>
          <w:szCs w:val="18"/>
          <w:color w:val="auto"/>
        </w:rPr>
      </w:pPr>
    </w:p>
    <w:p>
      <w:pPr>
        <w:ind w:left="340" w:hanging="328"/>
        <w:spacing w:after="0"/>
        <w:tabs>
          <w:tab w:leader="none" w:pos="340" w:val="left"/>
        </w:tabs>
        <w:numPr>
          <w:ilvl w:val="1"/>
          <w:numId w:val="4"/>
        </w:numPr>
        <w:rPr>
          <w:rFonts w:ascii="MS PGothic" w:cs="MS PGothic" w:eastAsia="MS PGothic" w:hAnsi="MS PGothic"/>
          <w:sz w:val="18"/>
          <w:szCs w:val="18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Fee computed on table in exhibit required by Item 25(b) per Exchange Act Rules 14a-6(i)(1) and 0-11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201930</wp:posOffset>
            </wp:positionV>
            <wp:extent cx="7132320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295910</wp:posOffset>
            </wp:positionV>
            <wp:extent cx="7132320" cy="342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20" cy="3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441960</wp:posOffset>
            </wp:positionV>
            <wp:extent cx="7132320" cy="171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20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139"/>
          </w:cols>
          <w:pgMar w:left="320" w:top="637" w:right="1440" w:bottom="1440" w:gutter="0" w:footer="0" w:header="0"/>
        </w:sectPr>
      </w:pPr>
    </w:p>
    <w:bookmarkStart w:id="1" w:name="page2"/>
    <w:bookmarkEnd w:id="1"/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208280</wp:posOffset>
            </wp:positionH>
            <wp:positionV relativeFrom="page">
              <wp:posOffset>88900</wp:posOffset>
            </wp:positionV>
            <wp:extent cx="7132320" cy="46031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20" cy="4603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4002009F" w:csb1="DFD7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☐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☒"/>
      <w:numFmt w:val="bullet"/>
      <w:start w:val="1"/>
    </w:lvl>
  </w:abstractNum>
  <w:abstractNum w:abstractNumId="2">
    <w:nsid w:val="2AE8944A"/>
    <w:multiLevelType w:val="hybridMultilevel"/>
    <w:lvl w:ilvl="0">
      <w:lvlJc w:val="left"/>
      <w:lvlText w:val="☐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☒"/>
      <w:numFmt w:val="bullet"/>
      <w:start w:val="1"/>
    </w:lvl>
    <w:lvl w:ilvl="1">
      <w:lvlJc w:val="left"/>
      <w:lvlText w:val="☐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2025-01-03T15:56:55Z</dcterms:created>
  <dcterms:modified xsi:type="dcterms:W3CDTF">2025-01-03T15:56:55Z</dcterms:modified>
</cp:coreProperties>
</file>