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13,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640"/>
        <w:spacing w:after="0" w:line="276" w:lineRule="auto"/>
        <w:rPr>
          <w:sz w:val="20"/>
          <w:szCs w:val="20"/>
          <w:color w:val="auto"/>
        </w:rPr>
      </w:pPr>
      <w:r>
        <w:rPr>
          <w:rFonts w:ascii="Times New Roman" w:cs="Times New Roman" w:eastAsia="Times New Roman" w:hAnsi="Times New Roman"/>
          <w:sz w:val="17"/>
          <w:szCs w:val="17"/>
          <w:color w:val="auto"/>
        </w:rPr>
        <w:t>On January 13, 2025, the Company announced that, during the period between January 6, 2025 and January 12, 2025, the Company had sold an aggregate of 710,425 Shares under the Sales Agreement for aggregate net proceeds to the Company (less sales commissions) of approximately</w:t>
      </w:r>
    </w:p>
    <w:p>
      <w:pPr>
        <w:spacing w:after="0" w:line="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$243 million. As of January 12, 2025, approximately $6.53 billion of Shares remained available for issuance and sale pursuant to the Sales Agreement.</w:t>
      </w:r>
    </w:p>
    <w:p>
      <w:pPr>
        <w:spacing w:after="0" w:line="3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300"/>
        <w:spacing w:after="0" w:line="266" w:lineRule="auto"/>
        <w:rPr>
          <w:sz w:val="20"/>
          <w:szCs w:val="20"/>
          <w:color w:val="auto"/>
        </w:rPr>
      </w:pPr>
      <w:r>
        <w:rPr>
          <w:rFonts w:ascii="Times New Roman" w:cs="Times New Roman" w:eastAsia="Times New Roman" w:hAnsi="Times New Roman"/>
          <w:sz w:val="18"/>
          <w:szCs w:val="18"/>
          <w:color w:val="auto"/>
        </w:rPr>
        <w:t>On January 13, 2025, the Company announced that, during the period between January 6, 2025 and January 12, 2025, the Company acquired approximately 2,530 bitcoins for approximately $243 million in cash, at an average price of approximately $95,972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As of January 12, 2025, the Company, together with its subsidiaries, held an aggregate of approximately 450,000 bitcoins, which were acquired at an aggregate purchase price of approximately $28.2 billion and an average purchase price of approximately $62,691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From January 1, 2025 to January 12, 2025, the Company’s BTC Yield was 0.32%.</w:t>
      </w:r>
    </w:p>
    <w:p>
      <w:pPr>
        <w:spacing w:after="0" w:line="225"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and Basic and Assumed Diluted Shares Outstanding</w:t>
      </w:r>
    </w:p>
    <w:p>
      <w:pPr>
        <w:spacing w:after="0" w:line="248" w:lineRule="exact"/>
        <w:rPr>
          <w:sz w:val="20"/>
          <w:szCs w:val="20"/>
          <w:color w:val="auto"/>
        </w:rPr>
      </w:pPr>
    </w:p>
    <w:tbl>
      <w:tblPr>
        <w:tblLayout w:type="fixed"/>
        <w:tblInd w:w="1320" w:type="dxa"/>
        <w:tblCellMar>
          <w:top w:w="0" w:type="dxa"/>
          <w:left w:w="0" w:type="dxa"/>
          <w:bottom w:w="0" w:type="dxa"/>
          <w:right w:w="0" w:type="dxa"/>
        </w:tblCellMar>
      </w:tblPr>
      <w:tr>
        <w:trPr>
          <w:trHeight w:val="173"/>
        </w:trPr>
        <w:tc>
          <w:tcPr>
            <w:tcW w:w="6700" w:type="dxa"/>
            <w:vAlign w:val="bottom"/>
            <w:tcBorders>
              <w:bottom w:val="single" w:sz="8" w:color="CCEEFF"/>
            </w:tcBorders>
          </w:tcPr>
          <w:p>
            <w:pPr>
              <w:spacing w:after="0"/>
              <w:rPr>
                <w:sz w:val="15"/>
                <w:szCs w:val="15"/>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12/31/2024</w:t>
            </w:r>
          </w:p>
        </w:tc>
        <w:tc>
          <w:tcPr>
            <w:tcW w:w="300" w:type="dxa"/>
            <w:vAlign w:val="bottom"/>
            <w:tcBorders>
              <w:bottom w:val="single" w:sz="8" w:color="CCEEFF"/>
            </w:tcBorders>
          </w:tcPr>
          <w:p>
            <w:pPr>
              <w:spacing w:after="0"/>
              <w:rPr>
                <w:sz w:val="15"/>
                <w:szCs w:val="15"/>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1/12/2025</w:t>
            </w:r>
          </w:p>
        </w:tc>
        <w:tc>
          <w:tcPr>
            <w:tcW w:w="40" w:type="dxa"/>
            <w:vAlign w:val="bottom"/>
            <w:tcBorders>
              <w:bottom w:val="single" w:sz="8" w:color="CCEEFF"/>
            </w:tcBorders>
          </w:tcPr>
          <w:p>
            <w:pPr>
              <w:spacing w:after="0"/>
              <w:rPr>
                <w:sz w:val="15"/>
                <w:szCs w:val="15"/>
                <w:color w:val="auto"/>
              </w:rPr>
            </w:pPr>
          </w:p>
        </w:tc>
      </w:tr>
      <w:tr>
        <w:trPr>
          <w:trHeight w:val="210"/>
        </w:trPr>
        <w:tc>
          <w:tcPr>
            <w:tcW w:w="670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447,470</w:t>
            </w:r>
          </w:p>
        </w:tc>
        <w:tc>
          <w:tcPr>
            <w:tcW w:w="3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450,000</w:t>
            </w:r>
          </w:p>
        </w:tc>
        <w:tc>
          <w:tcPr>
            <w:tcW w:w="40" w:type="dxa"/>
            <w:vAlign w:val="bottom"/>
            <w:shd w:val="clear" w:color="auto" w:fill="CCEEFF"/>
          </w:tcPr>
          <w:p>
            <w:pPr>
              <w:spacing w:after="0"/>
              <w:rPr>
                <w:sz w:val="18"/>
                <w:szCs w:val="18"/>
                <w:color w:val="auto"/>
              </w:rPr>
            </w:pPr>
          </w:p>
        </w:tc>
      </w:tr>
      <w:tr>
        <w:trPr>
          <w:trHeight w:val="324"/>
        </w:trPr>
        <w:tc>
          <w:tcPr>
            <w:tcW w:w="670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Shares Outstanding (in ‘000s)</w:t>
            </w:r>
          </w:p>
        </w:tc>
        <w:tc>
          <w:tcPr>
            <w:tcW w:w="66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40" w:type="dxa"/>
            <w:vAlign w:val="bottom"/>
          </w:tcPr>
          <w:p>
            <w:pPr>
              <w:spacing w:after="0"/>
              <w:rPr>
                <w:sz w:val="24"/>
                <w:szCs w:val="24"/>
                <w:color w:val="auto"/>
              </w:rPr>
            </w:pPr>
          </w:p>
        </w:tc>
      </w:tr>
      <w:tr>
        <w:trPr>
          <w:trHeight w:val="216"/>
        </w:trPr>
        <w:tc>
          <w:tcPr>
            <w:tcW w:w="670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96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226,138</w:t>
            </w:r>
          </w:p>
        </w:tc>
        <w:tc>
          <w:tcPr>
            <w:tcW w:w="7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226,849</w:t>
            </w:r>
          </w:p>
        </w:tc>
      </w:tr>
      <w:tr>
        <w:trPr>
          <w:trHeight w:val="216"/>
        </w:trPr>
        <w:tc>
          <w:tcPr>
            <w:tcW w:w="67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960" w:type="dxa"/>
            <w:vAlign w:val="bottom"/>
            <w:gridSpan w:val="2"/>
          </w:tcPr>
          <w:p>
            <w:pPr>
              <w:jc w:val="right"/>
              <w:ind w:right="280"/>
              <w:spacing w:after="0"/>
              <w:rPr>
                <w:sz w:val="20"/>
                <w:szCs w:val="20"/>
                <w:color w:val="auto"/>
              </w:rPr>
            </w:pPr>
            <w:r>
              <w:rPr>
                <w:rFonts w:ascii="Times New Roman" w:cs="Times New Roman" w:eastAsia="Times New Roman" w:hAnsi="Times New Roman"/>
                <w:sz w:val="18"/>
                <w:szCs w:val="18"/>
                <w:color w:val="auto"/>
              </w:rPr>
              <w:t>19,640</w:t>
            </w:r>
          </w:p>
        </w:tc>
        <w:tc>
          <w:tcPr>
            <w:tcW w:w="70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19,640</w:t>
            </w:r>
          </w:p>
        </w:tc>
      </w:tr>
      <w:tr>
        <w:trPr>
          <w:trHeight w:val="27"/>
        </w:trPr>
        <w:tc>
          <w:tcPr>
            <w:tcW w:w="67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40" w:type="dxa"/>
            <w:vAlign w:val="bottom"/>
          </w:tcPr>
          <w:p>
            <w:pPr>
              <w:spacing w:after="0"/>
              <w:rPr>
                <w:sz w:val="2"/>
                <w:szCs w:val="2"/>
                <w:color w:val="auto"/>
              </w:rPr>
            </w:pPr>
          </w:p>
        </w:tc>
      </w:tr>
      <w:tr>
        <w:trPr>
          <w:trHeight w:val="216"/>
        </w:trPr>
        <w:tc>
          <w:tcPr>
            <w:tcW w:w="6700" w:type="dxa"/>
            <w:vAlign w:val="bottom"/>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(1)</w:t>
            </w:r>
          </w:p>
        </w:tc>
        <w:tc>
          <w:tcPr>
            <w:tcW w:w="960" w:type="dxa"/>
            <w:vAlign w:val="bottom"/>
            <w:gridSpan w:val="2"/>
            <w:shd w:val="clear" w:color="auto" w:fill="CCEEFF"/>
          </w:tcPr>
          <w:p>
            <w:pPr>
              <w:jc w:val="right"/>
              <w:ind w:right="280"/>
              <w:spacing w:after="0"/>
              <w:rPr>
                <w:sz w:val="20"/>
                <w:szCs w:val="20"/>
                <w:color w:val="auto"/>
              </w:rPr>
            </w:pPr>
            <w:r>
              <w:rPr>
                <w:rFonts w:ascii="Times New Roman" w:cs="Times New Roman" w:eastAsia="Times New Roman" w:hAnsi="Times New Roman"/>
                <w:sz w:val="18"/>
                <w:szCs w:val="18"/>
                <w:color w:val="auto"/>
              </w:rPr>
              <w:t>245,778</w:t>
            </w:r>
          </w:p>
        </w:tc>
        <w:tc>
          <w:tcPr>
            <w:tcW w:w="70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246,489</w:t>
            </w:r>
          </w:p>
        </w:tc>
      </w:tr>
    </w:tbl>
    <w:p>
      <w:pPr>
        <w:sectPr>
          <w:pgSz w:w="11900" w:h="16838" w:orient="portrait"/>
          <w:cols w:equalWidth="0" w:num="1">
            <w:col w:w="11000"/>
          </w:cols>
          <w:pgMar w:left="440" w:top="293" w:right="459" w:bottom="1440" w:gutter="0" w:footer="0" w:header="0"/>
        </w:sectPr>
      </w:pPr>
    </w:p>
    <w:bookmarkStart w:id="2" w:name="page3"/>
    <w:bookmarkEnd w:id="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r>
    </w:p>
    <w:tbl>
      <w:tblPr>
        <w:tblLayout w:type="fixed"/>
        <w:tblInd w:w="1324" w:type="dxa"/>
        <w:tblCellMar>
          <w:top w:w="0" w:type="dxa"/>
          <w:left w:w="0" w:type="dxa"/>
          <w:bottom w:w="0" w:type="dxa"/>
          <w:right w:w="0" w:type="dxa"/>
        </w:tblCellMar>
      </w:tblPr>
      <w:tr>
        <w:trPr>
          <w:trHeight w:val="216"/>
        </w:trPr>
        <w:tc>
          <w:tcPr>
            <w:tcW w:w="65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2027 Convertible Shares @$143.25</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7,330</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7,330</w:t>
            </w:r>
          </w:p>
        </w:tc>
      </w:tr>
      <w:tr>
        <w:trPr>
          <w:trHeight w:val="216"/>
        </w:trPr>
        <w:tc>
          <w:tcPr>
            <w:tcW w:w="65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2028 Convertible Shares @$183.19</w:t>
            </w: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5,513</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5,513</w:t>
            </w:r>
          </w:p>
        </w:tc>
      </w:tr>
      <w:tr>
        <w:trPr>
          <w:trHeight w:val="216"/>
        </w:trPr>
        <w:tc>
          <w:tcPr>
            <w:tcW w:w="65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2029 Convertible Shares @$672.40</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4,462</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4,462</w:t>
            </w:r>
          </w:p>
        </w:tc>
      </w:tr>
      <w:tr>
        <w:trPr>
          <w:trHeight w:val="216"/>
        </w:trPr>
        <w:tc>
          <w:tcPr>
            <w:tcW w:w="65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2030 Convertible Shares @$149.77</w:t>
            </w: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5,342</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5,342</w:t>
            </w:r>
          </w:p>
        </w:tc>
      </w:tr>
      <w:tr>
        <w:trPr>
          <w:trHeight w:val="216"/>
        </w:trPr>
        <w:tc>
          <w:tcPr>
            <w:tcW w:w="65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2031 Convertible Shares @$232.72</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2,594</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2,594</w:t>
            </w:r>
          </w:p>
        </w:tc>
      </w:tr>
      <w:tr>
        <w:trPr>
          <w:trHeight w:val="216"/>
        </w:trPr>
        <w:tc>
          <w:tcPr>
            <w:tcW w:w="65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2032 Convertible Shares @$204.33</w:t>
            </w: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3,915</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3,915</w:t>
            </w:r>
          </w:p>
        </w:tc>
      </w:tr>
      <w:tr>
        <w:trPr>
          <w:trHeight w:val="216"/>
        </w:trPr>
        <w:tc>
          <w:tcPr>
            <w:tcW w:w="658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4,956</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4,934</w:t>
            </w:r>
          </w:p>
        </w:tc>
      </w:tr>
      <w:tr>
        <w:trPr>
          <w:trHeight w:val="216"/>
        </w:trPr>
        <w:tc>
          <w:tcPr>
            <w:tcW w:w="65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94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1,845</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1,840</w:t>
            </w:r>
          </w:p>
        </w:tc>
      </w:tr>
      <w:tr>
        <w:trPr>
          <w:trHeight w:val="27"/>
        </w:trPr>
        <w:tc>
          <w:tcPr>
            <w:tcW w:w="658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r>
      <w:tr>
        <w:trPr>
          <w:trHeight w:val="216"/>
        </w:trPr>
        <w:tc>
          <w:tcPr>
            <w:tcW w:w="6580" w:type="dxa"/>
            <w:vAlign w:val="bottom"/>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(2)</w:t>
            </w:r>
          </w:p>
        </w:tc>
        <w:tc>
          <w:tcPr>
            <w:tcW w:w="94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281,735</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282,418</w:t>
            </w:r>
          </w:p>
        </w:tc>
      </w:tr>
      <w:tr>
        <w:trPr>
          <w:trHeight w:val="324"/>
        </w:trPr>
        <w:tc>
          <w:tcPr>
            <w:tcW w:w="658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6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40" w:type="dxa"/>
            <w:vAlign w:val="bottom"/>
            <w:gridSpan w:val="2"/>
          </w:tcPr>
          <w:p>
            <w:pPr>
              <w:jc w:val="right"/>
              <w:ind w:right="40"/>
              <w:spacing w:after="0"/>
              <w:rPr>
                <w:sz w:val="20"/>
                <w:szCs w:val="20"/>
                <w:color w:val="auto"/>
              </w:rPr>
            </w:pPr>
            <w:r>
              <w:rPr>
                <w:rFonts w:ascii="Times New Roman" w:cs="Times New Roman" w:eastAsia="Times New Roman" w:hAnsi="Times New Roman"/>
                <w:sz w:val="18"/>
                <w:szCs w:val="18"/>
                <w:color w:val="auto"/>
              </w:rPr>
              <w:t>0.32%</w:t>
            </w:r>
          </w:p>
        </w:tc>
      </w:tr>
    </w:tbl>
    <w:p>
      <w:pPr>
        <w:spacing w:after="0" w:line="225" w:lineRule="exact"/>
        <w:rPr>
          <w:sz w:val="20"/>
          <w:szCs w:val="20"/>
          <w:color w:val="auto"/>
        </w:rPr>
      </w:pPr>
    </w:p>
    <w:p>
      <w:pPr>
        <w:ind w:left="424" w:right="60" w:hanging="424"/>
        <w:spacing w:after="0" w:line="255"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2"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left="4" w:right="100"/>
        <w:spacing w:after="0" w:line="258"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ectPr>
          <w:pgSz w:w="11900" w:h="16838" w:orient="portrait"/>
          <w:cols w:equalWidth="0" w:num="1">
            <w:col w:w="11004"/>
          </w:cols>
          <w:pgMar w:left="436" w:top="315" w:right="459" w:bottom="1440" w:gutter="0" w:footer="0" w:header="0"/>
        </w:sectPr>
      </w:pPr>
    </w:p>
    <w:bookmarkStart w:id="3" w:name="page4"/>
    <w:bookmarkEnd w:id="3"/>
    <w:p>
      <w:pPr>
        <w:ind w:right="8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13, 2025</w:t>
            </w: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00" w:type="dxa"/>
            <w:vAlign w:val="bottom"/>
          </w:tcPr>
          <w:p>
            <w:pPr>
              <w:spacing w:after="0"/>
              <w:rPr>
                <w:sz w:val="20"/>
                <w:szCs w:val="20"/>
                <w:color w:val="auto"/>
              </w:rPr>
            </w:pP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00" w:type="dxa"/>
            <w:vAlign w:val="bottom"/>
          </w:tcPr>
          <w:p>
            <w:pPr>
              <w:spacing w:after="0"/>
              <w:rPr>
                <w:sz w:val="24"/>
                <w:szCs w:val="24"/>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00" w:type="dxa"/>
            <w:vAlign w:val="bottom"/>
          </w:tcPr>
          <w:p>
            <w:pPr>
              <w:spacing w:after="0"/>
              <w:rPr>
                <w:sz w:val="17"/>
                <w:szCs w:val="17"/>
                <w:color w:val="auto"/>
              </w:rPr>
            </w:pPr>
          </w:p>
        </w:tc>
        <w:tc>
          <w:tcPr>
            <w:tcW w:w="2560" w:type="dxa"/>
            <w:vAlign w:val="bottom"/>
          </w:tcPr>
          <w:p>
            <w:pPr>
              <w:ind w:left="19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00" w:type="dxa"/>
            <w:vAlign w:val="bottom"/>
          </w:tcPr>
          <w:p>
            <w:pPr>
              <w:spacing w:after="0"/>
              <w:rPr>
                <w:sz w:val="20"/>
                <w:szCs w:val="20"/>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2025-01-13T07:11:23Z</dcterms:created>
  <dcterms:modified xsi:type="dcterms:W3CDTF">2025-01-13T07:11:23Z</dcterms:modified>
</cp:coreProperties>
</file>