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September 13,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33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222250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0"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8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52"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25"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137160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179705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ind w:right="20"/>
        <w:spacing w:after="0" w:line="256" w:lineRule="auto"/>
        <w:rPr>
          <w:sz w:val="20"/>
          <w:szCs w:val="20"/>
          <w:color w:val="auto"/>
        </w:rPr>
      </w:pPr>
      <w:r>
        <w:rPr>
          <w:rFonts w:ascii="Times New Roman" w:cs="Times New Roman" w:eastAsia="Times New Roman" w:hAnsi="Times New Roman"/>
          <w:sz w:val="18"/>
          <w:szCs w:val="18"/>
          <w:color w:val="auto"/>
        </w:rPr>
        <w:t>On September 13, 2024, MicroStrategy Incorporated (the “Company”) announced that, during the period between August 6, 2024 and September 12, 2024, the Company acquired approximately 18,300 bitcoins for approximately $1.11 billion in cash, at an average price of approximately $60,408 per bitcoin, inclusive of fees and expenses. The bitcoin purchases were made using proceeds from the issuance and sale of Shares (defined below) under the Sales Agreement (defined below). As of September 12, 2024, the Company, together with its subsidiaries, held an aggregate of approximately 244,800 bitcoins, which were acquired at an aggregate purchase price of approximately $9.45 billion and an average purchase price of approximately $38,585 per bitcoin, inclusive of fees and expenses.</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As previously disclosed, on August 1, 2024, the Company entered into a Sales Agreement (the “Sales Agreement”) with TD Securities (USA) LLC, The Benchmark Company, LLC, BTIG, LLC, Canaccord Genuity LLC, Maxim Group LLC and SG Americas Securities, LLC, as sales agents (the “Sales Agents”), pursuant to which the Company may issue and sell shares of its class A common stock, par value $0.001 per share (“Shares”), having an aggregate offering price of up to $2.0 billion from time to time through the Sales Agents. On September 13, 2024, the Company announced that, as of September 12, 2024, the Company had sold an aggregate of 8,048,449 Shares under the Sales Agreement for aggregate net proceeds to the Company (less sales commissions) of approximately $1.11 billion.</w:t>
      </w:r>
    </w:p>
    <w:p>
      <w:pPr>
        <w:spacing w:after="0" w:line="332"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From July 1, 2024 to September 12, 2024, the Company’s BTC Yield was 4.4%. From January 1, 2024 to September 12, 2024, the Company’s BTC Yield was 17.0%.</w:t>
      </w:r>
    </w:p>
    <w:p>
      <w:pPr>
        <w:spacing w:after="0" w:line="16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and Basic and Assumed Diluted Shares Outstanding</w:t>
      </w:r>
    </w:p>
    <w:p>
      <w:pPr>
        <w:spacing w:after="0" w:line="250" w:lineRule="exact"/>
        <w:rPr>
          <w:sz w:val="20"/>
          <w:szCs w:val="20"/>
          <w:color w:val="auto"/>
        </w:rPr>
      </w:pPr>
    </w:p>
    <w:tbl>
      <w:tblPr>
        <w:tblLayout w:type="fixed"/>
        <w:tblInd w:w="880" w:type="dxa"/>
        <w:tblCellMar>
          <w:top w:w="0" w:type="dxa"/>
          <w:left w:w="0" w:type="dxa"/>
          <w:bottom w:w="0" w:type="dxa"/>
          <w:right w:w="0" w:type="dxa"/>
        </w:tblCellMar>
      </w:tblPr>
      <w:tr>
        <w:trPr>
          <w:trHeight w:val="238"/>
        </w:trPr>
        <w:tc>
          <w:tcPr>
            <w:tcW w:w="740" w:type="dxa"/>
            <w:vAlign w:val="bottom"/>
          </w:tcPr>
          <w:p>
            <w:pPr>
              <w:spacing w:after="0"/>
              <w:rPr>
                <w:sz w:val="20"/>
                <w:szCs w:val="20"/>
                <w:color w:val="auto"/>
              </w:rPr>
            </w:pPr>
          </w:p>
        </w:tc>
        <w:tc>
          <w:tcPr>
            <w:tcW w:w="3940" w:type="dxa"/>
            <w:vAlign w:val="bottom"/>
          </w:tcPr>
          <w:p>
            <w:pPr>
              <w:spacing w:after="0"/>
              <w:rPr>
                <w:sz w:val="20"/>
                <w:szCs w:val="20"/>
                <w:color w:val="auto"/>
              </w:rPr>
            </w:pPr>
          </w:p>
        </w:tc>
        <w:tc>
          <w:tcPr>
            <w:tcW w:w="2100" w:type="dxa"/>
            <w:vAlign w:val="bottom"/>
            <w:gridSpan w:val="2"/>
          </w:tcPr>
          <w:p>
            <w:pPr>
              <w:jc w:val="right"/>
              <w:spacing w:after="0"/>
              <w:rPr>
                <w:sz w:val="20"/>
                <w:szCs w:val="20"/>
                <w:color w:val="auto"/>
              </w:rPr>
            </w:pPr>
            <w:r>
              <w:rPr>
                <w:rFonts w:ascii="Times New Roman" w:cs="Times New Roman" w:eastAsia="Times New Roman" w:hAnsi="Times New Roman"/>
                <w:sz w:val="18"/>
                <w:szCs w:val="18"/>
                <w:b w:val="1"/>
                <w:bCs w:val="1"/>
                <w:color w:val="auto"/>
              </w:rPr>
              <w:t>12/31/2023</w:t>
            </w: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b w:val="1"/>
                <w:bCs w:val="1"/>
                <w:color w:val="auto"/>
              </w:rPr>
              <w:t>6/30/2024</w:t>
            </w: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b w:val="1"/>
                <w:bCs w:val="1"/>
                <w:color w:val="auto"/>
              </w:rPr>
              <w:t>9/12/2024</w:t>
            </w:r>
          </w:p>
        </w:tc>
        <w:tc>
          <w:tcPr>
            <w:tcW w:w="200" w:type="dxa"/>
            <w:vAlign w:val="bottom"/>
          </w:tcPr>
          <w:p>
            <w:pPr>
              <w:spacing w:after="0"/>
              <w:rPr>
                <w:sz w:val="20"/>
                <w:szCs w:val="20"/>
                <w:color w:val="auto"/>
              </w:rPr>
            </w:pPr>
          </w:p>
        </w:tc>
      </w:tr>
      <w:tr>
        <w:trPr>
          <w:trHeight w:val="210"/>
        </w:trPr>
        <w:tc>
          <w:tcPr>
            <w:tcW w:w="468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280" w:type="dxa"/>
            <w:vAlign w:val="bottom"/>
            <w:tcBorders>
              <w:top w:val="single" w:sz="8" w:color="CCEEFF"/>
            </w:tcBorders>
            <w:shd w:val="clear" w:color="auto" w:fill="CCEEFF"/>
          </w:tcPr>
          <w:p>
            <w:pPr>
              <w:spacing w:after="0"/>
              <w:rPr>
                <w:sz w:val="18"/>
                <w:szCs w:val="18"/>
                <w:color w:val="auto"/>
              </w:rPr>
            </w:pPr>
          </w:p>
        </w:tc>
        <w:tc>
          <w:tcPr>
            <w:tcW w:w="82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400" w:type="dxa"/>
            <w:vAlign w:val="bottom"/>
            <w:tcBorders>
              <w:top w:val="single" w:sz="8" w:color="CCEEFF"/>
            </w:tcBorders>
            <w:shd w:val="clear" w:color="auto" w:fill="CCEEFF"/>
          </w:tcPr>
          <w:p>
            <w:pPr>
              <w:spacing w:after="0"/>
              <w:rPr>
                <w:sz w:val="18"/>
                <w:szCs w:val="18"/>
                <w:color w:val="auto"/>
              </w:rPr>
            </w:pPr>
          </w:p>
        </w:tc>
        <w:tc>
          <w:tcPr>
            <w:tcW w:w="7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226,331</w:t>
            </w:r>
          </w:p>
        </w:tc>
        <w:tc>
          <w:tcPr>
            <w:tcW w:w="380" w:type="dxa"/>
            <w:vAlign w:val="bottom"/>
            <w:tcBorders>
              <w:top w:val="single" w:sz="8" w:color="CCEEFF"/>
            </w:tcBorders>
            <w:shd w:val="clear" w:color="auto" w:fill="CCEEFF"/>
          </w:tcPr>
          <w:p>
            <w:pPr>
              <w:spacing w:after="0"/>
              <w:rPr>
                <w:sz w:val="18"/>
                <w:szCs w:val="18"/>
                <w:color w:val="auto"/>
              </w:rPr>
            </w:pPr>
          </w:p>
        </w:tc>
        <w:tc>
          <w:tcPr>
            <w:tcW w:w="7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244,800</w:t>
            </w:r>
          </w:p>
        </w:tc>
        <w:tc>
          <w:tcPr>
            <w:tcW w:w="200" w:type="dxa"/>
            <w:vAlign w:val="bottom"/>
            <w:tcBorders>
              <w:top w:val="single" w:sz="8" w:color="CCEEFF"/>
            </w:tcBorders>
            <w:shd w:val="clear" w:color="auto" w:fill="CCEEFF"/>
          </w:tcPr>
          <w:p>
            <w:pPr>
              <w:spacing w:after="0"/>
              <w:rPr>
                <w:sz w:val="18"/>
                <w:szCs w:val="18"/>
                <w:color w:val="auto"/>
              </w:rPr>
            </w:pPr>
          </w:p>
        </w:tc>
      </w:tr>
      <w:tr>
        <w:trPr>
          <w:trHeight w:val="324"/>
        </w:trPr>
        <w:tc>
          <w:tcPr>
            <w:tcW w:w="468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Shares Outstanding (in ‘000s)</w:t>
            </w:r>
            <w:r>
              <w:rPr>
                <w:rFonts w:ascii="Times New Roman" w:cs="Times New Roman" w:eastAsia="Times New Roman" w:hAnsi="Times New Roman"/>
                <w:sz w:val="26"/>
                <w:szCs w:val="26"/>
                <w:b w:val="1"/>
                <w:bCs w:val="1"/>
                <w:color w:val="auto"/>
                <w:vertAlign w:val="superscript"/>
              </w:rPr>
              <w:t>(1)</w:t>
            </w:r>
          </w:p>
        </w:tc>
        <w:tc>
          <w:tcPr>
            <w:tcW w:w="12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216"/>
        </w:trPr>
        <w:tc>
          <w:tcPr>
            <w:tcW w:w="468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171,030</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182,988</w:t>
            </w:r>
          </w:p>
        </w:tc>
        <w:tc>
          <w:tcPr>
            <w:tcW w:w="200" w:type="dxa"/>
            <w:vAlign w:val="bottom"/>
            <w:shd w:val="clear" w:color="auto" w:fill="CCEEFF"/>
          </w:tcPr>
          <w:p>
            <w:pPr>
              <w:spacing w:after="0"/>
              <w:rPr>
                <w:sz w:val="18"/>
                <w:szCs w:val="18"/>
                <w:color w:val="auto"/>
              </w:rPr>
            </w:pPr>
          </w:p>
        </w:tc>
      </w:tr>
      <w:tr>
        <w:trPr>
          <w:trHeight w:val="223"/>
        </w:trPr>
        <w:tc>
          <w:tcPr>
            <w:tcW w:w="46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28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40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80" w:type="dxa"/>
            <w:vAlign w:val="bottom"/>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200" w:type="dxa"/>
            <w:vAlign w:val="bottom"/>
          </w:tcPr>
          <w:p>
            <w:pPr>
              <w:spacing w:after="0"/>
              <w:rPr>
                <w:sz w:val="19"/>
                <w:szCs w:val="19"/>
                <w:color w:val="auto"/>
              </w:rPr>
            </w:pPr>
          </w:p>
        </w:tc>
      </w:tr>
      <w:tr>
        <w:trPr>
          <w:trHeight w:val="216"/>
        </w:trPr>
        <w:tc>
          <w:tcPr>
            <w:tcW w:w="468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190,670</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202,628</w:t>
            </w:r>
          </w:p>
        </w:tc>
        <w:tc>
          <w:tcPr>
            <w:tcW w:w="200" w:type="dxa"/>
            <w:vAlign w:val="bottom"/>
            <w:shd w:val="clear" w:color="auto" w:fill="CCEEFF"/>
          </w:tcPr>
          <w:p>
            <w:pPr>
              <w:spacing w:after="0"/>
              <w:rPr>
                <w:sz w:val="18"/>
                <w:szCs w:val="18"/>
                <w:color w:val="auto"/>
              </w:rPr>
            </w:pPr>
          </w:p>
        </w:tc>
      </w:tr>
      <w:tr>
        <w:trPr>
          <w:trHeight w:val="324"/>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39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21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16,332</w:t>
            </w: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3,659</w:t>
            </w:r>
          </w:p>
        </w:tc>
        <w:tc>
          <w:tcPr>
            <w:tcW w:w="380" w:type="dxa"/>
            <w:vAlign w:val="bottom"/>
          </w:tcPr>
          <w:p>
            <w:pPr>
              <w:spacing w:after="0"/>
              <w:rPr>
                <w:sz w:val="24"/>
                <w:szCs w:val="24"/>
                <w:color w:val="auto"/>
              </w:rPr>
            </w:pPr>
          </w:p>
        </w:tc>
        <w:tc>
          <w:tcPr>
            <w:tcW w:w="9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39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2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39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2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20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394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2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394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2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200" w:type="dxa"/>
            <w:vAlign w:val="bottom"/>
          </w:tcPr>
          <w:p>
            <w:pPr>
              <w:spacing w:after="0"/>
              <w:rPr>
                <w:sz w:val="18"/>
                <w:szCs w:val="18"/>
                <w:color w:val="auto"/>
              </w:rPr>
            </w:pPr>
          </w:p>
        </w:tc>
      </w:tr>
      <w:tr>
        <w:trPr>
          <w:trHeight w:val="216"/>
        </w:trPr>
        <w:tc>
          <w:tcPr>
            <w:tcW w:w="468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2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5,916</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5,731</w:t>
            </w:r>
          </w:p>
        </w:tc>
        <w:tc>
          <w:tcPr>
            <w:tcW w:w="200" w:type="dxa"/>
            <w:vAlign w:val="bottom"/>
            <w:shd w:val="clear" w:color="auto" w:fill="CCEEFF"/>
          </w:tcPr>
          <w:p>
            <w:pPr>
              <w:spacing w:after="0"/>
              <w:rPr>
                <w:sz w:val="18"/>
                <w:szCs w:val="18"/>
                <w:color w:val="auto"/>
              </w:rPr>
            </w:pPr>
          </w:p>
        </w:tc>
      </w:tr>
      <w:tr>
        <w:trPr>
          <w:trHeight w:val="223"/>
        </w:trPr>
        <w:tc>
          <w:tcPr>
            <w:tcW w:w="46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28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400" w:type="dxa"/>
            <w:vAlign w:val="bottom"/>
          </w:tcPr>
          <w:p>
            <w:pPr>
              <w:spacing w:after="0"/>
              <w:rPr>
                <w:sz w:val="19"/>
                <w:szCs w:val="19"/>
                <w:color w:val="auto"/>
              </w:rPr>
            </w:pPr>
          </w:p>
        </w:tc>
        <w:tc>
          <w:tcPr>
            <w:tcW w:w="7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2,244</w:t>
            </w:r>
          </w:p>
        </w:tc>
        <w:tc>
          <w:tcPr>
            <w:tcW w:w="380" w:type="dxa"/>
            <w:vAlign w:val="bottom"/>
          </w:tcPr>
          <w:p>
            <w:pPr>
              <w:spacing w:after="0"/>
              <w:rPr>
                <w:sz w:val="19"/>
                <w:szCs w:val="19"/>
                <w:color w:val="auto"/>
              </w:rPr>
            </w:pPr>
          </w:p>
        </w:tc>
        <w:tc>
          <w:tcPr>
            <w:tcW w:w="7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2,192</w:t>
            </w:r>
          </w:p>
        </w:tc>
        <w:tc>
          <w:tcPr>
            <w:tcW w:w="200" w:type="dxa"/>
            <w:vAlign w:val="bottom"/>
          </w:tcPr>
          <w:p>
            <w:pPr>
              <w:spacing w:after="0"/>
              <w:rPr>
                <w:sz w:val="19"/>
                <w:szCs w:val="19"/>
                <w:color w:val="auto"/>
              </w:rPr>
            </w:pPr>
          </w:p>
        </w:tc>
      </w:tr>
      <w:tr>
        <w:trPr>
          <w:trHeight w:val="216"/>
        </w:trPr>
        <w:tc>
          <w:tcPr>
            <w:tcW w:w="468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Assumed Diluted Shares Outstanding</w:t>
            </w:r>
            <w:r>
              <w:rPr>
                <w:rFonts w:ascii="Times New Roman" w:cs="Times New Roman" w:eastAsia="Times New Roman" w:hAnsi="Times New Roman"/>
                <w:sz w:val="25"/>
                <w:szCs w:val="25"/>
                <w:b w:val="1"/>
                <w:bCs w:val="1"/>
                <w:color w:val="auto"/>
                <w:vertAlign w:val="superscript"/>
              </w:rPr>
              <w:t>(3)</w:t>
            </w:r>
          </w:p>
        </w:tc>
        <w:tc>
          <w:tcPr>
            <w:tcW w:w="21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207,638</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221,662</w:t>
            </w: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229,732</w:t>
            </w:r>
          </w:p>
        </w:tc>
        <w:tc>
          <w:tcPr>
            <w:tcW w:w="200" w:type="dxa"/>
            <w:vAlign w:val="bottom"/>
            <w:shd w:val="clear" w:color="auto" w:fill="CCEEFF"/>
          </w:tcPr>
          <w:p>
            <w:pPr>
              <w:spacing w:after="0"/>
              <w:rPr>
                <w:sz w:val="18"/>
                <w:szCs w:val="18"/>
                <w:color w:val="auto"/>
              </w:rPr>
            </w:pPr>
          </w:p>
        </w:tc>
      </w:tr>
      <w:tr>
        <w:trPr>
          <w:trHeight w:val="324"/>
        </w:trPr>
        <w:tc>
          <w:tcPr>
            <w:tcW w:w="468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12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34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468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12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400" w:type="dxa"/>
            <w:vAlign w:val="bottom"/>
            <w:shd w:val="clear" w:color="auto" w:fill="CCEEFF"/>
          </w:tcPr>
          <w:p>
            <w:pPr>
              <w:spacing w:after="0"/>
              <w:rPr>
                <w:sz w:val="18"/>
                <w:szCs w:val="18"/>
                <w:color w:val="auto"/>
              </w:rPr>
            </w:pPr>
          </w:p>
        </w:tc>
        <w:tc>
          <w:tcPr>
            <w:tcW w:w="740" w:type="dxa"/>
            <w:vAlign w:val="bottom"/>
            <w:shd w:val="clear" w:color="auto" w:fill="CCEEFF"/>
          </w:tcPr>
          <w:p>
            <w:pPr>
              <w:spacing w:after="0"/>
              <w:rPr>
                <w:sz w:val="18"/>
                <w:szCs w:val="18"/>
                <w:color w:val="auto"/>
              </w:rPr>
            </w:pPr>
          </w:p>
        </w:tc>
        <w:tc>
          <w:tcPr>
            <w:tcW w:w="134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17.0%</w:t>
            </w:r>
          </w:p>
        </w:tc>
      </w:tr>
    </w:tbl>
    <w:p>
      <w:pPr>
        <w:spacing w:after="0" w:line="225" w:lineRule="exact"/>
        <w:rPr>
          <w:sz w:val="20"/>
          <w:szCs w:val="20"/>
          <w:color w:val="auto"/>
        </w:rPr>
      </w:pPr>
    </w:p>
    <w:p>
      <w:pPr>
        <w:ind w:left="1620" w:right="1300" w:hanging="423"/>
        <w:spacing w:after="0" w:line="253" w:lineRule="auto"/>
        <w:tabs>
          <w:tab w:leader="none" w:pos="16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2" w:lineRule="exact"/>
        <w:rPr>
          <w:rFonts w:ascii="Times New Roman" w:cs="Times New Roman" w:eastAsia="Times New Roman" w:hAnsi="Times New Roman"/>
          <w:sz w:val="18"/>
          <w:szCs w:val="18"/>
          <w:color w:val="auto"/>
        </w:rPr>
      </w:pPr>
    </w:p>
    <w:p>
      <w:pPr>
        <w:ind w:left="1620" w:right="1620" w:hanging="423"/>
        <w:spacing w:after="0" w:line="250" w:lineRule="auto"/>
        <w:tabs>
          <w:tab w:leader="none" w:pos="16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and Class B common stock outstanding as of the dates presented.</w:t>
      </w:r>
    </w:p>
    <w:p>
      <w:pPr>
        <w:ind w:left="1620" w:right="1180" w:hanging="423"/>
        <w:spacing w:after="0" w:line="252" w:lineRule="auto"/>
        <w:tabs>
          <w:tab w:leader="none" w:pos="162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ectPr>
          <w:pgSz w:w="11900" w:h="16838" w:orient="portrait"/>
          <w:cols w:equalWidth="0" w:num="1">
            <w:col w:w="10980"/>
          </w:cols>
          <w:pgMar w:left="440" w:top="293" w:right="479" w:bottom="667" w:gutter="0" w:footer="0" w:header="0"/>
        </w:sectPr>
      </w:pPr>
    </w:p>
    <w:bookmarkStart w:id="2" w:name="page3"/>
    <w:bookmarkEnd w:id="2"/>
    <w:p>
      <w:pPr>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Important Information about BTC Yield KPI</w:t>
      </w:r>
    </w:p>
    <w:p>
      <w:pPr>
        <w:spacing w:after="0" w:line="119" w:lineRule="exact"/>
        <w:rPr>
          <w:sz w:val="20"/>
          <w:szCs w:val="20"/>
          <w:color w:val="auto"/>
        </w:rPr>
      </w:pPr>
    </w:p>
    <w:p>
      <w:pPr>
        <w:ind w:right="40"/>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pacing w:after="0" w:line="187"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offerings of its 6.125% Senior Secured Notes due 2028 (the “Senior Secured Notes”) as well as convertible senior notes, which currently are not exercisable or have conversion prices above the current trading prices of the Class A common stock, each of which would have the effect of increasing the BTC Yield without taking into account the corresponding debt. Conversely, if any of the Company’s convertible senior notes mature or are redeemed without being converted into common stock or the Company needs cash to repay the Senior Secured Notes,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4"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162" w:lineRule="exact"/>
        <w:rPr>
          <w:sz w:val="20"/>
          <w:szCs w:val="20"/>
          <w:color w:val="auto"/>
        </w:rPr>
      </w:pPr>
    </w:p>
    <w:p>
      <w:pPr>
        <w:ind w:right="40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1000"/>
          </w:cols>
          <w:pgMar w:left="440" w:top="295" w:right="459" w:bottom="1440" w:gutter="0" w:footer="0" w:header="0"/>
        </w:sectPr>
      </w:pPr>
    </w:p>
    <w:bookmarkStart w:id="3" w:name="page4"/>
    <w:bookmarkEnd w:id="3"/>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Date: September 13, 2024</w:t>
            </w: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700" w:type="dxa"/>
            <w:vAlign w:val="bottom"/>
          </w:tcPr>
          <w:p>
            <w:pPr>
              <w:spacing w:after="0"/>
              <w:rPr>
                <w:sz w:val="20"/>
                <w:szCs w:val="20"/>
                <w:color w:val="auto"/>
              </w:rPr>
            </w:pP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700" w:type="dxa"/>
            <w:vAlign w:val="bottom"/>
          </w:tcPr>
          <w:p>
            <w:pPr>
              <w:spacing w:after="0"/>
              <w:rPr>
                <w:sz w:val="24"/>
                <w:szCs w:val="24"/>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700" w:type="dxa"/>
            <w:vAlign w:val="bottom"/>
          </w:tcPr>
          <w:p>
            <w:pPr>
              <w:spacing w:after="0"/>
              <w:rPr>
                <w:sz w:val="17"/>
                <w:szCs w:val="17"/>
                <w:color w:val="auto"/>
              </w:rPr>
            </w:pPr>
          </w:p>
        </w:tc>
        <w:tc>
          <w:tcPr>
            <w:tcW w:w="2460" w:type="dxa"/>
            <w:vAlign w:val="bottom"/>
          </w:tcPr>
          <w:p>
            <w:pPr>
              <w:ind w:left="18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700" w:type="dxa"/>
            <w:vAlign w:val="bottom"/>
          </w:tcPr>
          <w:p>
            <w:pPr>
              <w:spacing w:after="0"/>
              <w:rPr>
                <w:sz w:val="20"/>
                <w:szCs w:val="20"/>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2024-09-13T07:08:36Z</dcterms:created>
  <dcterms:modified xsi:type="dcterms:W3CDTF">2024-09-13T07:08:36Z</dcterms:modified>
</cp:coreProperties>
</file>