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6"/>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193040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2"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92"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24"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21,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210820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6"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201930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4"/>
          </w:cols>
          <w:pgMar w:left="436" w:top="443" w:right="439" w:bottom="1440" w:gutter="0" w:footer="0" w:header="0"/>
        </w:sectPr>
      </w:pPr>
    </w:p>
    <w:p>
      <w:pPr>
        <w:spacing w:after="0" w:line="200" w:lineRule="exact"/>
        <w:rPr>
          <w:sz w:val="24"/>
          <w:szCs w:val="24"/>
          <w:color w:val="auto"/>
        </w:rPr>
      </w:pPr>
    </w:p>
    <w:p>
      <w:pPr>
        <w:spacing w:after="0" w:line="352" w:lineRule="exact"/>
        <w:rPr>
          <w:sz w:val="24"/>
          <w:szCs w:val="24"/>
          <w:color w:val="auto"/>
        </w:rPr>
      </w:pPr>
    </w:p>
    <w:p>
      <w:pPr>
        <w:ind w:left="1504"/>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4" w:space="720"/>
            <w:col w:w="2780" w:space="720"/>
            <w:col w:w="2200"/>
          </w:cols>
          <w:pgMar w:left="436" w:top="443" w:right="439" w:bottom="1440" w:gutter="0" w:footer="0" w:header="0"/>
          <w:type w:val="continuous"/>
        </w:sectPr>
      </w:pPr>
    </w:p>
    <w:p>
      <w:pPr>
        <w:jc w:val="center"/>
        <w:ind w:right="756"/>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56"/>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88" w:lineRule="exact"/>
        <w:rPr>
          <w:sz w:val="24"/>
          <w:szCs w:val="24"/>
          <w:color w:val="auto"/>
        </w:rPr>
      </w:pPr>
    </w:p>
    <w:p>
      <w:pPr>
        <w:sectPr>
          <w:pgSz w:w="11900" w:h="16838" w:orient="portrait"/>
          <w:cols w:equalWidth="0" w:num="3">
            <w:col w:w="4484" w:space="720"/>
            <w:col w:w="2760" w:space="720"/>
            <w:col w:w="2340"/>
          </w:cols>
          <w:pgMar w:left="436" w:top="443" w:right="439" w:bottom="1440" w:gutter="0" w:footer="0" w:header="0"/>
          <w:type w:val="continuous"/>
        </w:sectPr>
      </w:pPr>
    </w:p>
    <w:p>
      <w:pPr>
        <w:jc w:val="center"/>
        <w:ind w:right="1856"/>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56"/>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0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4" w:space="720"/>
            <w:col w:w="2900"/>
          </w:cols>
          <w:pgMar w:left="436" w:top="443" w:right="439" w:bottom="1440" w:gutter="0" w:footer="0" w:header="0"/>
          <w:type w:val="continuous"/>
        </w:sectPr>
      </w:pPr>
    </w:p>
    <w:p>
      <w:pPr>
        <w:ind w:left="1584"/>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27" w:lineRule="exact"/>
        <w:rPr>
          <w:sz w:val="24"/>
          <w:szCs w:val="24"/>
          <w:color w:val="auto"/>
        </w:rPr>
      </w:pPr>
    </w:p>
    <w:p>
      <w:pPr>
        <w:sectPr>
          <w:pgSz w:w="11900" w:h="16838" w:orient="portrait"/>
          <w:cols w:equalWidth="0" w:num="2">
            <w:col w:w="7284" w:space="720"/>
            <w:col w:w="3020"/>
          </w:cols>
          <w:pgMar w:left="436" w:top="443" w:right="439" w:bottom="1440" w:gutter="0" w:footer="0" w:header="0"/>
          <w:type w:val="continuous"/>
        </w:sect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71"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205105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60" w:lineRule="exact"/>
        <w:rPr>
          <w:sz w:val="24"/>
          <w:szCs w:val="24"/>
          <w:color w:val="auto"/>
        </w:rPr>
      </w:pPr>
    </w:p>
    <w:p>
      <w:pPr>
        <w:ind w:left="4"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 w:right="2560" w:hanging="4"/>
        <w:spacing w:after="0" w:line="458" w:lineRule="auto"/>
        <w:tabs>
          <w:tab w:leader="none" w:pos="436"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4" w:type="dxa"/>
        <w:tblCellMar>
          <w:top w:w="0" w:type="dxa"/>
          <w:left w:w="0" w:type="dxa"/>
          <w:bottom w:w="0" w:type="dxa"/>
          <w:right w:w="0" w:type="dxa"/>
        </w:tblCellMar>
      </w:tblPr>
      <w:tr>
        <w:trPr>
          <w:trHeight w:val="149"/>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line="149" w:lineRule="exact"/>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25" w:lineRule="exact"/>
        <w:rPr>
          <w:sz w:val="24"/>
          <w:szCs w:val="24"/>
          <w:color w:val="auto"/>
        </w:rPr>
      </w:pPr>
    </w:p>
    <w:p>
      <w:pPr>
        <w:ind w:left="4"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67" w:lineRule="exact"/>
        <w:rPr>
          <w:sz w:val="24"/>
          <w:szCs w:val="24"/>
          <w:color w:val="auto"/>
        </w:rPr>
      </w:pPr>
    </w:p>
    <w:p>
      <w:pPr>
        <w:ind w:left="444"/>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12" w:lineRule="exact"/>
        <w:rPr>
          <w:sz w:val="24"/>
          <w:szCs w:val="24"/>
          <w:color w:val="auto"/>
        </w:rPr>
      </w:pPr>
    </w:p>
    <w:p>
      <w:pPr>
        <w:ind w:left="4"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137160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179705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443" w:right="43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t>Item 5.02.</w:t>
      </w:r>
    </w:p>
    <w:p>
      <w:pPr>
        <w:spacing w:after="0" w:line="20" w:lineRule="exact"/>
        <w:rPr>
          <w:sz w:val="20"/>
          <w:szCs w:val="20"/>
          <w:color w:val="auto"/>
        </w:rPr>
      </w:pPr>
      <w:r>
        <w:rPr>
          <w:sz w:val="20"/>
          <w:szCs w:val="20"/>
          <w:color w:val="auto"/>
        </w:rPr>
        <w:br w:type="column"/>
      </w:r>
    </w:p>
    <w:p>
      <w:pPr>
        <w:ind w:right="1000"/>
        <w:spacing w:after="0" w:line="286" w:lineRule="auto"/>
        <w:rPr>
          <w:sz w:val="20"/>
          <w:szCs w:val="20"/>
          <w:color w:val="auto"/>
        </w:rPr>
      </w:pP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-409575</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r>
    </w:p>
    <w:p>
      <w:pPr>
        <w:spacing w:after="0" w:line="51" w:lineRule="exact"/>
        <w:rPr>
          <w:sz w:val="20"/>
          <w:szCs w:val="20"/>
          <w:color w:val="auto"/>
        </w:rPr>
      </w:pPr>
    </w:p>
    <w:p>
      <w:pPr>
        <w:sectPr>
          <w:pgSz w:w="11900" w:h="16838" w:orient="portrait"/>
          <w:cols w:equalWidth="0" w:num="2">
            <w:col w:w="760" w:space="440"/>
            <w:col w:w="9800"/>
          </w:cols>
          <w:pgMar w:left="440" w:top="293" w:right="459" w:bottom="1440" w:gutter="0" w:footer="0" w:header="0"/>
        </w:sectPr>
      </w:pPr>
    </w:p>
    <w:p>
      <w:pPr>
        <w:spacing w:after="0" w:line="254" w:lineRule="auto"/>
        <w:rPr>
          <w:sz w:val="20"/>
          <w:szCs w:val="20"/>
          <w:color w:val="auto"/>
        </w:rPr>
      </w:pPr>
      <w:r>
        <w:rPr>
          <w:rFonts w:ascii="Times New Roman" w:cs="Times New Roman" w:eastAsia="Times New Roman" w:hAnsi="Times New Roman"/>
          <w:sz w:val="18"/>
          <w:szCs w:val="18"/>
          <w:color w:val="auto"/>
        </w:rPr>
        <w:t>On January 21, 2025, the stockholders of MicroStrategy Incorporated (the “Company”) approved an amendment (the “2024 Plan Amendment”) to the MicroStrategy Incorporated 2023 Equity Incentive Plan (the “Original Plan” and, such plan, as amended by the 2024 Plan Amendment, the “Amended Plan”) at the Company’s 2025 Special Meeting of Stockholders (the “Special Meeting”). The 2024 Plan Amendment had been previously adopted by the Board of Directors of the Company (the “Board”), subject to stockholder approval, on December 20, 2024. The 2024 Plan Amendment amended the Original Plan to provide that, beginning on December 20, 2024, each non-employee director who is newly appointed to the Board shall automatically receive, upon the date of such director’s initial appointment to the Board, equity awards having an aggregate fair value equal to $2,000,000, one-half of which ($1,000,000) will consist of a non-statutory stock option and one-half of which ($1,000,000) will consist of restricted stock units, with each award vesting annually in equal installments over four years. No other amendments were made to the Original Plan.</w:t>
      </w:r>
    </w:p>
    <w:p>
      <w:pPr>
        <w:spacing w:after="0" w:line="192" w:lineRule="exact"/>
        <w:rPr>
          <w:sz w:val="20"/>
          <w:szCs w:val="20"/>
          <w:color w:val="auto"/>
        </w:rPr>
      </w:pPr>
    </w:p>
    <w:p>
      <w:pPr>
        <w:ind w:right="380"/>
        <w:spacing w:after="0" w:line="261" w:lineRule="auto"/>
        <w:rPr>
          <w:sz w:val="20"/>
          <w:szCs w:val="20"/>
          <w:color w:val="auto"/>
        </w:rPr>
      </w:pPr>
      <w:r>
        <w:rPr>
          <w:rFonts w:ascii="Times New Roman" w:cs="Times New Roman" w:eastAsia="Times New Roman" w:hAnsi="Times New Roman"/>
          <w:sz w:val="18"/>
          <w:szCs w:val="18"/>
          <w:color w:val="auto"/>
        </w:rPr>
        <w:t>A more detailed description of the 2024 Plan Amendment and the Amended Plan is contained on pages 13 to 24 of the Company’s definitive proxy statement on Schedule 14A (the “Proxy Statement”), which was filed with the Securities and Exchange Commission on January 3, 2025, and incorporated herein by reference. A complete copy of the Amended Plan is included as Appendix D to the Proxy Statement and is also incorporated herein by reference.</w:t>
      </w:r>
    </w:p>
    <w:p>
      <w:pPr>
        <w:spacing w:after="0" w:line="324"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5.03.</w:t>
      </w:r>
      <w:r>
        <w:rPr>
          <w:sz w:val="20"/>
          <w:szCs w:val="20"/>
          <w:color w:val="auto"/>
        </w:rPr>
        <w:tab/>
      </w:r>
      <w:r>
        <w:rPr>
          <w:rFonts w:ascii="Times New Roman" w:cs="Times New Roman" w:eastAsia="Times New Roman" w:hAnsi="Times New Roman"/>
          <w:sz w:val="18"/>
          <w:szCs w:val="18"/>
          <w:b w:val="1"/>
          <w:bCs w:val="1"/>
          <w:color w:val="auto"/>
        </w:rPr>
        <w:t>Amendments to Articles of Incorporation or Bylaws; Change in Fiscal Year.</w:t>
      </w:r>
    </w:p>
    <w:p>
      <w:pPr>
        <w:spacing w:after="0" w:line="12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On January 22, 2025, the Company filed with the Secretary of State of the State of Delaware an amendment (the “Certificate of Amendment”) to the Company’s Second Restated Certificate of Incorporation to (i) increase the number of authorized shares of Class A common stock (“Class A Common Stock”), par value $0.001 per share, from 330,000,000 to 10,330,000,000; (ii) increase the number of authorized shares of preferred stock (“Preferred Stock”), par value $0.001 per share, from 5,000,000 to 1,005,000,000; and (iii) correspondingly increase the total number of authorized shares of capital stock (which is the sum of the authorized number of Class A Common Stock, Class B common stock, par value $0.001 per share, and Preferred Stock) from 500,000,000 to 11,500,000,000 shares of capital stock. The Certificate of Amendment became effective on January 22, 2025 upon filing with the Secretary of State of Delaware.</w:t>
      </w:r>
    </w:p>
    <w:p>
      <w:pPr>
        <w:spacing w:after="0" w:line="189" w:lineRule="exact"/>
        <w:rPr>
          <w:sz w:val="20"/>
          <w:szCs w:val="20"/>
          <w:color w:val="auto"/>
        </w:rPr>
      </w:pPr>
    </w:p>
    <w:p>
      <w:pPr>
        <w:ind w:right="360"/>
        <w:spacing w:after="0" w:line="282" w:lineRule="auto"/>
        <w:rPr>
          <w:sz w:val="20"/>
          <w:szCs w:val="20"/>
          <w:color w:val="auto"/>
        </w:rPr>
      </w:pPr>
      <w:r>
        <w:rPr>
          <w:rFonts w:ascii="Times New Roman" w:cs="Times New Roman" w:eastAsia="Times New Roman" w:hAnsi="Times New Roman"/>
          <w:sz w:val="18"/>
          <w:szCs w:val="18"/>
          <w:color w:val="auto"/>
        </w:rPr>
        <w:t>The foregoing summary does not purport to be complete and is qualified in its entirety by reference to the full text of the Certificate of Amendment, which is attached as Exhibit 3.1 to this Current Report on Form 8-K and is incorporated herein by reference.</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5.07.</w:t>
      </w:r>
      <w:r>
        <w:rPr>
          <w:sz w:val="20"/>
          <w:szCs w:val="20"/>
          <w:color w:val="auto"/>
        </w:rPr>
        <w:tab/>
      </w:r>
      <w:r>
        <w:rPr>
          <w:rFonts w:ascii="Times New Roman" w:cs="Times New Roman" w:eastAsia="Times New Roman" w:hAnsi="Times New Roman"/>
          <w:sz w:val="18"/>
          <w:szCs w:val="18"/>
          <w:b w:val="1"/>
          <w:bCs w:val="1"/>
          <w:color w:val="auto"/>
        </w:rPr>
        <w:t>Submission of Matters to a Vote of Security Holders.</w:t>
      </w:r>
    </w:p>
    <w:p>
      <w:pPr>
        <w:spacing w:after="0" w:line="121"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On January 21, 2025, the Company held the Special Meeting. A summary of the matters voted upon by stockholders at the Special Meeting is set forth below:</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Proposal 1. The Common Stock Amendment Proposal</w:t>
      </w:r>
    </w:p>
    <w:p>
      <w:pPr>
        <w:spacing w:after="0" w:line="121" w:lineRule="exact"/>
        <w:rPr>
          <w:sz w:val="20"/>
          <w:szCs w:val="20"/>
          <w:color w:val="auto"/>
        </w:rPr>
      </w:pPr>
    </w:p>
    <w:p>
      <w:pPr>
        <w:jc w:val="both"/>
        <w:ind w:right="60"/>
        <w:spacing w:after="0" w:line="266" w:lineRule="auto"/>
        <w:rPr>
          <w:sz w:val="20"/>
          <w:szCs w:val="20"/>
          <w:color w:val="auto"/>
        </w:rPr>
      </w:pPr>
      <w:r>
        <w:rPr>
          <w:rFonts w:ascii="Times New Roman" w:cs="Times New Roman" w:eastAsia="Times New Roman" w:hAnsi="Times New Roman"/>
          <w:sz w:val="18"/>
          <w:szCs w:val="18"/>
          <w:color w:val="auto"/>
        </w:rPr>
        <w:t>The Company’s stockholders approved and adopted an amendment to Article Four of the Second Restated Certificate of Incorporation of MicroStrategy Incorporated to increase the number of authorized shares of Class A Common Stock from 330,000,000 shares to 10,330,000,000 shares (“Proposal 1”). The final voting results for Proposal 1 are as follows:</w:t>
      </w:r>
    </w:p>
    <w:p>
      <w:pPr>
        <w:spacing w:after="0" w:line="196" w:lineRule="exact"/>
        <w:rPr>
          <w:sz w:val="20"/>
          <w:szCs w:val="20"/>
          <w:color w:val="auto"/>
        </w:rPr>
      </w:pPr>
    </w:p>
    <w:tbl>
      <w:tblPr>
        <w:tblLayout w:type="fixed"/>
        <w:tblInd w:w="440" w:type="dxa"/>
        <w:tblCellMar>
          <w:top w:w="0" w:type="dxa"/>
          <w:left w:w="0" w:type="dxa"/>
          <w:bottom w:w="0" w:type="dxa"/>
          <w:right w:w="0" w:type="dxa"/>
        </w:tblCellMar>
      </w:tblPr>
      <w:tr>
        <w:trPr>
          <w:trHeight w:val="173"/>
        </w:trPr>
        <w:tc>
          <w:tcPr>
            <w:tcW w:w="26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Votes For</w:t>
            </w:r>
          </w:p>
        </w:tc>
        <w:tc>
          <w:tcPr>
            <w:tcW w:w="2600" w:type="dxa"/>
            <w:vAlign w:val="bottom"/>
          </w:tcPr>
          <w:p>
            <w:pPr>
              <w:ind w:left="900"/>
              <w:spacing w:after="0"/>
              <w:rPr>
                <w:sz w:val="20"/>
                <w:szCs w:val="20"/>
                <w:color w:val="auto"/>
              </w:rPr>
            </w:pPr>
            <w:r>
              <w:rPr>
                <w:rFonts w:ascii="Times New Roman" w:cs="Times New Roman" w:eastAsia="Times New Roman" w:hAnsi="Times New Roman"/>
                <w:sz w:val="14"/>
                <w:szCs w:val="14"/>
                <w:b w:val="1"/>
                <w:bCs w:val="1"/>
                <w:color w:val="auto"/>
              </w:rPr>
              <w:t>Votes Against</w:t>
            </w:r>
          </w:p>
        </w:tc>
        <w:tc>
          <w:tcPr>
            <w:tcW w:w="2380" w:type="dxa"/>
            <w:vAlign w:val="bottom"/>
          </w:tcPr>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Abstentions</w:t>
            </w:r>
          </w:p>
        </w:tc>
        <w:tc>
          <w:tcPr>
            <w:tcW w:w="2480" w:type="dxa"/>
            <w:vAlign w:val="bottom"/>
          </w:tcPr>
          <w:p>
            <w:pPr>
              <w:ind w:left="780"/>
              <w:spacing w:after="0"/>
              <w:rPr>
                <w:sz w:val="20"/>
                <w:szCs w:val="20"/>
                <w:color w:val="auto"/>
              </w:rPr>
            </w:pPr>
            <w:r>
              <w:rPr>
                <w:rFonts w:ascii="Times New Roman" w:cs="Times New Roman" w:eastAsia="Times New Roman" w:hAnsi="Times New Roman"/>
                <w:sz w:val="14"/>
                <w:szCs w:val="14"/>
                <w:b w:val="1"/>
                <w:bCs w:val="1"/>
                <w:color w:val="auto"/>
              </w:rPr>
              <w:t>Broker Non-Votes</w:t>
            </w:r>
          </w:p>
        </w:tc>
      </w:tr>
      <w:tr>
        <w:trPr>
          <w:trHeight w:val="216"/>
        </w:trPr>
        <w:tc>
          <w:tcPr>
            <w:tcW w:w="2660" w:type="dxa"/>
            <w:vAlign w:val="bottom"/>
            <w:shd w:val="clear" w:color="auto" w:fill="CCEEFF"/>
          </w:tcPr>
          <w:p>
            <w:pPr>
              <w:jc w:val="right"/>
              <w:ind w:right="799"/>
              <w:spacing w:after="0"/>
              <w:rPr>
                <w:sz w:val="20"/>
                <w:szCs w:val="20"/>
                <w:color w:val="auto"/>
              </w:rPr>
            </w:pPr>
            <w:r>
              <w:rPr>
                <w:rFonts w:ascii="Times New Roman" w:cs="Times New Roman" w:eastAsia="Times New Roman" w:hAnsi="Times New Roman"/>
                <w:sz w:val="18"/>
                <w:szCs w:val="18"/>
                <w:color w:val="auto"/>
              </w:rPr>
              <w:t>234,937,922</w:t>
            </w:r>
          </w:p>
        </w:tc>
        <w:tc>
          <w:tcPr>
            <w:tcW w:w="2600" w:type="dxa"/>
            <w:vAlign w:val="bottom"/>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37,896,858</w:t>
            </w:r>
          </w:p>
        </w:tc>
        <w:tc>
          <w:tcPr>
            <w:tcW w:w="2380" w:type="dxa"/>
            <w:vAlign w:val="bottom"/>
            <w:shd w:val="clear" w:color="auto" w:fill="CCEEFF"/>
          </w:tcPr>
          <w:p>
            <w:pPr>
              <w:jc w:val="right"/>
              <w:ind w:right="779"/>
              <w:spacing w:after="0"/>
              <w:rPr>
                <w:sz w:val="20"/>
                <w:szCs w:val="20"/>
                <w:color w:val="auto"/>
              </w:rPr>
            </w:pPr>
            <w:r>
              <w:rPr>
                <w:rFonts w:ascii="Times New Roman" w:cs="Times New Roman" w:eastAsia="Times New Roman" w:hAnsi="Times New Roman"/>
                <w:sz w:val="18"/>
                <w:szCs w:val="18"/>
                <w:color w:val="auto"/>
              </w:rPr>
              <w:t>356,581</w:t>
            </w:r>
          </w:p>
        </w:tc>
        <w:tc>
          <w:tcPr>
            <w:tcW w:w="2480" w:type="dxa"/>
            <w:vAlign w:val="bottom"/>
            <w:shd w:val="clear" w:color="auto" w:fill="CCEEFF"/>
          </w:tcPr>
          <w:p>
            <w:pPr>
              <w:ind w:left="1200"/>
              <w:spacing w:after="0"/>
              <w:rPr>
                <w:sz w:val="20"/>
                <w:szCs w:val="20"/>
                <w:color w:val="auto"/>
              </w:rPr>
            </w:pPr>
            <w:r>
              <w:rPr>
                <w:rFonts w:ascii="Times New Roman" w:cs="Times New Roman" w:eastAsia="Times New Roman" w:hAnsi="Times New Roman"/>
                <w:sz w:val="18"/>
                <w:szCs w:val="18"/>
                <w:color w:val="auto"/>
              </w:rPr>
              <w:t>— </w:t>
            </w:r>
          </w:p>
        </w:tc>
      </w:tr>
    </w:tbl>
    <w:p>
      <w:pPr>
        <w:sectPr>
          <w:pgSz w:w="11900" w:h="16838" w:orient="portrait"/>
          <w:cols w:equalWidth="0" w:num="1">
            <w:col w:w="11000"/>
          </w:cols>
          <w:pgMar w:left="440" w:top="293" w:right="459" w:bottom="1440" w:gutter="0" w:footer="0" w:header="0"/>
          <w:type w:val="continuous"/>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Proposal 2. The Preferred Stock Amendment Proposal</w:t>
      </w:r>
    </w:p>
    <w:p>
      <w:pPr>
        <w:spacing w:after="0" w:line="121"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The Company’s stockholders approved and adopted an amendment to Article Four of the Second Restated Certificate of Incorporation of MicroStrategy Incorporated to increase the number of authorized shares of Preferred Stock from 5,000,000 shares to 1,005,000,000 shares (“Proposal 2”). The final voting results for Proposal 2 are as follows:</w:t>
      </w:r>
    </w:p>
    <w:p>
      <w:pPr>
        <w:spacing w:after="0" w:line="196" w:lineRule="exact"/>
        <w:rPr>
          <w:sz w:val="20"/>
          <w:szCs w:val="20"/>
          <w:color w:val="auto"/>
        </w:rPr>
      </w:pPr>
    </w:p>
    <w:tbl>
      <w:tblPr>
        <w:tblLayout w:type="fixed"/>
        <w:tblInd w:w="440" w:type="dxa"/>
        <w:tblCellMar>
          <w:top w:w="0" w:type="dxa"/>
          <w:left w:w="0" w:type="dxa"/>
          <w:bottom w:w="0" w:type="dxa"/>
          <w:right w:w="0" w:type="dxa"/>
        </w:tblCellMar>
      </w:tblPr>
      <w:tr>
        <w:trPr>
          <w:trHeight w:val="173"/>
        </w:trPr>
        <w:tc>
          <w:tcPr>
            <w:tcW w:w="26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Votes For</w:t>
            </w:r>
          </w:p>
        </w:tc>
        <w:tc>
          <w:tcPr>
            <w:tcW w:w="2600" w:type="dxa"/>
            <w:vAlign w:val="bottom"/>
          </w:tcPr>
          <w:p>
            <w:pPr>
              <w:ind w:left="900"/>
              <w:spacing w:after="0"/>
              <w:rPr>
                <w:sz w:val="20"/>
                <w:szCs w:val="20"/>
                <w:color w:val="auto"/>
              </w:rPr>
            </w:pPr>
            <w:r>
              <w:rPr>
                <w:rFonts w:ascii="Times New Roman" w:cs="Times New Roman" w:eastAsia="Times New Roman" w:hAnsi="Times New Roman"/>
                <w:sz w:val="14"/>
                <w:szCs w:val="14"/>
                <w:b w:val="1"/>
                <w:bCs w:val="1"/>
                <w:color w:val="auto"/>
              </w:rPr>
              <w:t>Votes Against</w:t>
            </w:r>
          </w:p>
        </w:tc>
        <w:tc>
          <w:tcPr>
            <w:tcW w:w="2380" w:type="dxa"/>
            <w:vAlign w:val="bottom"/>
          </w:tcPr>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Abstentions</w:t>
            </w:r>
          </w:p>
        </w:tc>
        <w:tc>
          <w:tcPr>
            <w:tcW w:w="2480" w:type="dxa"/>
            <w:vAlign w:val="bottom"/>
          </w:tcPr>
          <w:p>
            <w:pPr>
              <w:ind w:left="780"/>
              <w:spacing w:after="0"/>
              <w:rPr>
                <w:sz w:val="20"/>
                <w:szCs w:val="20"/>
                <w:color w:val="auto"/>
              </w:rPr>
            </w:pPr>
            <w:r>
              <w:rPr>
                <w:rFonts w:ascii="Times New Roman" w:cs="Times New Roman" w:eastAsia="Times New Roman" w:hAnsi="Times New Roman"/>
                <w:sz w:val="14"/>
                <w:szCs w:val="14"/>
                <w:b w:val="1"/>
                <w:bCs w:val="1"/>
                <w:color w:val="auto"/>
              </w:rPr>
              <w:t>Broker Non-Votes</w:t>
            </w:r>
          </w:p>
        </w:tc>
      </w:tr>
      <w:tr>
        <w:trPr>
          <w:trHeight w:val="216"/>
        </w:trPr>
        <w:tc>
          <w:tcPr>
            <w:tcW w:w="2660" w:type="dxa"/>
            <w:vAlign w:val="bottom"/>
            <w:shd w:val="clear" w:color="auto" w:fill="CCEEFF"/>
          </w:tcPr>
          <w:p>
            <w:pPr>
              <w:jc w:val="right"/>
              <w:ind w:right="799"/>
              <w:spacing w:after="0"/>
              <w:rPr>
                <w:sz w:val="20"/>
                <w:szCs w:val="20"/>
                <w:color w:val="auto"/>
              </w:rPr>
            </w:pPr>
            <w:r>
              <w:rPr>
                <w:rFonts w:ascii="Times New Roman" w:cs="Times New Roman" w:eastAsia="Times New Roman" w:hAnsi="Times New Roman"/>
                <w:sz w:val="18"/>
                <w:szCs w:val="18"/>
                <w:color w:val="auto"/>
              </w:rPr>
              <w:t>234,572,276</w:t>
            </w:r>
          </w:p>
        </w:tc>
        <w:tc>
          <w:tcPr>
            <w:tcW w:w="2600" w:type="dxa"/>
            <w:vAlign w:val="bottom"/>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38,228,847</w:t>
            </w:r>
          </w:p>
        </w:tc>
        <w:tc>
          <w:tcPr>
            <w:tcW w:w="2380" w:type="dxa"/>
            <w:vAlign w:val="bottom"/>
            <w:shd w:val="clear" w:color="auto" w:fill="CCEEFF"/>
          </w:tcPr>
          <w:p>
            <w:pPr>
              <w:jc w:val="right"/>
              <w:ind w:right="779"/>
              <w:spacing w:after="0"/>
              <w:rPr>
                <w:sz w:val="20"/>
                <w:szCs w:val="20"/>
                <w:color w:val="auto"/>
              </w:rPr>
            </w:pPr>
            <w:r>
              <w:rPr>
                <w:rFonts w:ascii="Times New Roman" w:cs="Times New Roman" w:eastAsia="Times New Roman" w:hAnsi="Times New Roman"/>
                <w:sz w:val="18"/>
                <w:szCs w:val="18"/>
                <w:color w:val="auto"/>
              </w:rPr>
              <w:t>390,238</w:t>
            </w:r>
          </w:p>
        </w:tc>
        <w:tc>
          <w:tcPr>
            <w:tcW w:w="2480" w:type="dxa"/>
            <w:vAlign w:val="bottom"/>
            <w:shd w:val="clear" w:color="auto" w:fill="CCEEFF"/>
          </w:tcPr>
          <w:p>
            <w:pPr>
              <w:ind w:left="1200"/>
              <w:spacing w:after="0"/>
              <w:rPr>
                <w:sz w:val="20"/>
                <w:szCs w:val="20"/>
                <w:color w:val="auto"/>
              </w:rPr>
            </w:pPr>
            <w:r>
              <w:rPr>
                <w:rFonts w:ascii="Times New Roman" w:cs="Times New Roman" w:eastAsia="Times New Roman" w:hAnsi="Times New Roman"/>
                <w:sz w:val="18"/>
                <w:szCs w:val="18"/>
                <w:color w:val="auto"/>
              </w:rPr>
              <w:t>— </w:t>
            </w:r>
          </w:p>
        </w:tc>
      </w:tr>
    </w:tbl>
    <w:p>
      <w:pPr>
        <w:spacing w:after="0" w:line="3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Proposal 3. The 2024 Plan Amendment Proposal</w:t>
      </w:r>
    </w:p>
    <w:p>
      <w:pPr>
        <w:spacing w:after="0" w:line="121" w:lineRule="exact"/>
        <w:rPr>
          <w:sz w:val="20"/>
          <w:szCs w:val="20"/>
          <w:color w:val="auto"/>
        </w:rPr>
      </w:pPr>
    </w:p>
    <w:p>
      <w:pPr>
        <w:ind w:right="160"/>
        <w:spacing w:after="0" w:line="266" w:lineRule="auto"/>
        <w:rPr>
          <w:sz w:val="20"/>
          <w:szCs w:val="20"/>
          <w:color w:val="auto"/>
        </w:rPr>
      </w:pPr>
      <w:r>
        <w:rPr>
          <w:rFonts w:ascii="Times New Roman" w:cs="Times New Roman" w:eastAsia="Times New Roman" w:hAnsi="Times New Roman"/>
          <w:sz w:val="18"/>
          <w:szCs w:val="18"/>
          <w:color w:val="auto"/>
        </w:rPr>
        <w:t>The Company’s stockholders approved and adopted an amendment to the MicroStrategy Incorporated 2023 Equity Incentive Plan to provide for automatic equity award grants to new directors upon their appointment to the Board of Directors (“Proposal 3”). The final voting results for Proposal 3 are as follows:</w:t>
      </w:r>
    </w:p>
    <w:p>
      <w:pPr>
        <w:spacing w:after="0" w:line="196" w:lineRule="exact"/>
        <w:rPr>
          <w:sz w:val="20"/>
          <w:szCs w:val="20"/>
          <w:color w:val="auto"/>
        </w:rPr>
      </w:pPr>
    </w:p>
    <w:tbl>
      <w:tblPr>
        <w:tblLayout w:type="fixed"/>
        <w:tblInd w:w="440" w:type="dxa"/>
        <w:tblCellMar>
          <w:top w:w="0" w:type="dxa"/>
          <w:left w:w="0" w:type="dxa"/>
          <w:bottom w:w="0" w:type="dxa"/>
          <w:right w:w="0" w:type="dxa"/>
        </w:tblCellMar>
      </w:tblPr>
      <w:tr>
        <w:trPr>
          <w:trHeight w:val="173"/>
        </w:trPr>
        <w:tc>
          <w:tcPr>
            <w:tcW w:w="26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Votes For</w:t>
            </w:r>
          </w:p>
        </w:tc>
        <w:tc>
          <w:tcPr>
            <w:tcW w:w="2600" w:type="dxa"/>
            <w:vAlign w:val="bottom"/>
          </w:tcPr>
          <w:p>
            <w:pPr>
              <w:ind w:left="900"/>
              <w:spacing w:after="0"/>
              <w:rPr>
                <w:sz w:val="20"/>
                <w:szCs w:val="20"/>
                <w:color w:val="auto"/>
              </w:rPr>
            </w:pPr>
            <w:r>
              <w:rPr>
                <w:rFonts w:ascii="Times New Roman" w:cs="Times New Roman" w:eastAsia="Times New Roman" w:hAnsi="Times New Roman"/>
                <w:sz w:val="14"/>
                <w:szCs w:val="14"/>
                <w:b w:val="1"/>
                <w:bCs w:val="1"/>
                <w:color w:val="auto"/>
              </w:rPr>
              <w:t>Votes Against</w:t>
            </w:r>
          </w:p>
        </w:tc>
        <w:tc>
          <w:tcPr>
            <w:tcW w:w="2380" w:type="dxa"/>
            <w:vAlign w:val="bottom"/>
          </w:tcPr>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Abstentions</w:t>
            </w:r>
          </w:p>
        </w:tc>
        <w:tc>
          <w:tcPr>
            <w:tcW w:w="2480" w:type="dxa"/>
            <w:vAlign w:val="bottom"/>
          </w:tcPr>
          <w:p>
            <w:pPr>
              <w:ind w:left="780"/>
              <w:spacing w:after="0"/>
              <w:rPr>
                <w:sz w:val="20"/>
                <w:szCs w:val="20"/>
                <w:color w:val="auto"/>
              </w:rPr>
            </w:pPr>
            <w:r>
              <w:rPr>
                <w:rFonts w:ascii="Times New Roman" w:cs="Times New Roman" w:eastAsia="Times New Roman" w:hAnsi="Times New Roman"/>
                <w:sz w:val="14"/>
                <w:szCs w:val="14"/>
                <w:b w:val="1"/>
                <w:bCs w:val="1"/>
                <w:color w:val="auto"/>
              </w:rPr>
              <w:t>Broker Non-Votes</w:t>
            </w:r>
          </w:p>
        </w:tc>
      </w:tr>
      <w:tr>
        <w:trPr>
          <w:trHeight w:val="216"/>
        </w:trPr>
        <w:tc>
          <w:tcPr>
            <w:tcW w:w="2660" w:type="dxa"/>
            <w:vAlign w:val="bottom"/>
            <w:shd w:val="clear" w:color="auto" w:fill="CCEEFF"/>
          </w:tcPr>
          <w:p>
            <w:pPr>
              <w:jc w:val="right"/>
              <w:ind w:right="819"/>
              <w:spacing w:after="0"/>
              <w:rPr>
                <w:sz w:val="20"/>
                <w:szCs w:val="20"/>
                <w:color w:val="auto"/>
              </w:rPr>
            </w:pPr>
            <w:r>
              <w:rPr>
                <w:rFonts w:ascii="Times New Roman" w:cs="Times New Roman" w:eastAsia="Times New Roman" w:hAnsi="Times New Roman"/>
                <w:sz w:val="18"/>
                <w:szCs w:val="18"/>
                <w:color w:val="auto"/>
              </w:rPr>
              <w:t>239,311,116</w:t>
            </w:r>
          </w:p>
        </w:tc>
        <w:tc>
          <w:tcPr>
            <w:tcW w:w="2600" w:type="dxa"/>
            <w:vAlign w:val="bottom"/>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32,991,507</w:t>
            </w:r>
          </w:p>
        </w:tc>
        <w:tc>
          <w:tcPr>
            <w:tcW w:w="2380" w:type="dxa"/>
            <w:vAlign w:val="bottom"/>
            <w:shd w:val="clear" w:color="auto" w:fill="CCEEFF"/>
          </w:tcPr>
          <w:p>
            <w:pPr>
              <w:jc w:val="right"/>
              <w:ind w:right="779"/>
              <w:spacing w:after="0"/>
              <w:rPr>
                <w:sz w:val="20"/>
                <w:szCs w:val="20"/>
                <w:color w:val="auto"/>
              </w:rPr>
            </w:pPr>
            <w:r>
              <w:rPr>
                <w:rFonts w:ascii="Times New Roman" w:cs="Times New Roman" w:eastAsia="Times New Roman" w:hAnsi="Times New Roman"/>
                <w:sz w:val="18"/>
                <w:szCs w:val="18"/>
                <w:color w:val="auto"/>
              </w:rPr>
              <w:t>888,738</w:t>
            </w:r>
          </w:p>
        </w:tc>
        <w:tc>
          <w:tcPr>
            <w:tcW w:w="2480" w:type="dxa"/>
            <w:vAlign w:val="bottom"/>
            <w:shd w:val="clear" w:color="auto" w:fill="CCEEFF"/>
          </w:tcPr>
          <w:p>
            <w:pPr>
              <w:ind w:left="1200"/>
              <w:spacing w:after="0"/>
              <w:rPr>
                <w:sz w:val="20"/>
                <w:szCs w:val="20"/>
                <w:color w:val="auto"/>
              </w:rPr>
            </w:pPr>
            <w:r>
              <w:rPr>
                <w:rFonts w:ascii="Times New Roman" w:cs="Times New Roman" w:eastAsia="Times New Roman" w:hAnsi="Times New Roman"/>
                <w:sz w:val="18"/>
                <w:szCs w:val="18"/>
                <w:color w:val="auto"/>
              </w:rPr>
              <w:t>— </w:t>
            </w:r>
          </w:p>
        </w:tc>
      </w:tr>
    </w:tbl>
    <w:p>
      <w:pPr>
        <w:spacing w:after="0" w:line="3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Proposal 4. The Adjournment Proposal</w:t>
      </w:r>
    </w:p>
    <w:p>
      <w:pPr>
        <w:spacing w:after="0" w:line="121" w:lineRule="exact"/>
        <w:rPr>
          <w:sz w:val="20"/>
          <w:szCs w:val="20"/>
          <w:color w:val="auto"/>
        </w:rPr>
      </w:pPr>
    </w:p>
    <w:p>
      <w:pPr>
        <w:spacing w:after="0" w:line="277" w:lineRule="auto"/>
        <w:rPr>
          <w:sz w:val="20"/>
          <w:szCs w:val="20"/>
          <w:color w:val="auto"/>
        </w:rPr>
      </w:pPr>
      <w:r>
        <w:rPr>
          <w:rFonts w:ascii="Times New Roman" w:cs="Times New Roman" w:eastAsia="Times New Roman" w:hAnsi="Times New Roman"/>
          <w:sz w:val="17"/>
          <w:szCs w:val="17"/>
          <w:color w:val="auto"/>
        </w:rPr>
        <w:t>In connection with the Special Meeting, the Company also solicited proxies with respect to a proposal to approve one or more proposals to adjourn the Special Meeting if necessary to solicit additional proxies if there are insufficient votes at the time of the Special Meeting to approve Proposal 1, Proposal 2 and/or Proposal 3 (“Proposal 4”). Proposal 4 was approved by the requisite votes of the Company’s stockholders. However, adjournment of the Special Meeting was deemed unnecessary because there was a quorum present and there was a sufficient number of shares of the Company’s common stock present at the time of the Special Meeting to approve Proposal 1, Proposal 2 and Proposal 3. The final voting results for Proposal 4 are as follows:</w:t>
      </w:r>
    </w:p>
    <w:p>
      <w:pPr>
        <w:spacing w:after="0" w:line="189" w:lineRule="exact"/>
        <w:rPr>
          <w:sz w:val="20"/>
          <w:szCs w:val="20"/>
          <w:color w:val="auto"/>
        </w:rPr>
      </w:pPr>
    </w:p>
    <w:tbl>
      <w:tblPr>
        <w:tblLayout w:type="fixed"/>
        <w:tblInd w:w="440" w:type="dxa"/>
        <w:tblCellMar>
          <w:top w:w="0" w:type="dxa"/>
          <w:left w:w="0" w:type="dxa"/>
          <w:bottom w:w="0" w:type="dxa"/>
          <w:right w:w="0" w:type="dxa"/>
        </w:tblCellMar>
      </w:tblPr>
      <w:tr>
        <w:trPr>
          <w:trHeight w:val="173"/>
        </w:trPr>
        <w:tc>
          <w:tcPr>
            <w:tcW w:w="26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Votes For</w:t>
            </w:r>
          </w:p>
        </w:tc>
        <w:tc>
          <w:tcPr>
            <w:tcW w:w="2600" w:type="dxa"/>
            <w:vAlign w:val="bottom"/>
          </w:tcPr>
          <w:p>
            <w:pPr>
              <w:ind w:left="900"/>
              <w:spacing w:after="0"/>
              <w:rPr>
                <w:sz w:val="20"/>
                <w:szCs w:val="20"/>
                <w:color w:val="auto"/>
              </w:rPr>
            </w:pPr>
            <w:r>
              <w:rPr>
                <w:rFonts w:ascii="Times New Roman" w:cs="Times New Roman" w:eastAsia="Times New Roman" w:hAnsi="Times New Roman"/>
                <w:sz w:val="14"/>
                <w:szCs w:val="14"/>
                <w:b w:val="1"/>
                <w:bCs w:val="1"/>
                <w:color w:val="auto"/>
              </w:rPr>
              <w:t>Votes Against</w:t>
            </w:r>
          </w:p>
        </w:tc>
        <w:tc>
          <w:tcPr>
            <w:tcW w:w="2380" w:type="dxa"/>
            <w:vAlign w:val="bottom"/>
          </w:tcPr>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Abstentions</w:t>
            </w:r>
          </w:p>
        </w:tc>
        <w:tc>
          <w:tcPr>
            <w:tcW w:w="2480" w:type="dxa"/>
            <w:vAlign w:val="bottom"/>
          </w:tcPr>
          <w:p>
            <w:pPr>
              <w:ind w:left="780"/>
              <w:spacing w:after="0"/>
              <w:rPr>
                <w:sz w:val="20"/>
                <w:szCs w:val="20"/>
                <w:color w:val="auto"/>
              </w:rPr>
            </w:pPr>
            <w:r>
              <w:rPr>
                <w:rFonts w:ascii="Times New Roman" w:cs="Times New Roman" w:eastAsia="Times New Roman" w:hAnsi="Times New Roman"/>
                <w:sz w:val="14"/>
                <w:szCs w:val="14"/>
                <w:b w:val="1"/>
                <w:bCs w:val="1"/>
                <w:color w:val="auto"/>
              </w:rPr>
              <w:t>Broker Non-Votes</w:t>
            </w:r>
          </w:p>
        </w:tc>
      </w:tr>
      <w:tr>
        <w:trPr>
          <w:trHeight w:val="216"/>
        </w:trPr>
        <w:tc>
          <w:tcPr>
            <w:tcW w:w="2660" w:type="dxa"/>
            <w:vAlign w:val="bottom"/>
            <w:shd w:val="clear" w:color="auto" w:fill="CCEEFF"/>
          </w:tcPr>
          <w:p>
            <w:pPr>
              <w:jc w:val="right"/>
              <w:ind w:right="799"/>
              <w:spacing w:after="0"/>
              <w:rPr>
                <w:sz w:val="20"/>
                <w:szCs w:val="20"/>
                <w:color w:val="auto"/>
              </w:rPr>
            </w:pPr>
            <w:r>
              <w:rPr>
                <w:rFonts w:ascii="Times New Roman" w:cs="Times New Roman" w:eastAsia="Times New Roman" w:hAnsi="Times New Roman"/>
                <w:sz w:val="18"/>
                <w:szCs w:val="18"/>
                <w:color w:val="auto"/>
              </w:rPr>
              <w:t>235,437,541</w:t>
            </w:r>
          </w:p>
        </w:tc>
        <w:tc>
          <w:tcPr>
            <w:tcW w:w="2600" w:type="dxa"/>
            <w:vAlign w:val="bottom"/>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36,987,025</w:t>
            </w:r>
          </w:p>
        </w:tc>
        <w:tc>
          <w:tcPr>
            <w:tcW w:w="2380" w:type="dxa"/>
            <w:vAlign w:val="bottom"/>
            <w:shd w:val="clear" w:color="auto" w:fill="CCEEFF"/>
          </w:tcPr>
          <w:p>
            <w:pPr>
              <w:jc w:val="right"/>
              <w:ind w:right="779"/>
              <w:spacing w:after="0"/>
              <w:rPr>
                <w:sz w:val="20"/>
                <w:szCs w:val="20"/>
                <w:color w:val="auto"/>
              </w:rPr>
            </w:pPr>
            <w:r>
              <w:rPr>
                <w:rFonts w:ascii="Times New Roman" w:cs="Times New Roman" w:eastAsia="Times New Roman" w:hAnsi="Times New Roman"/>
                <w:sz w:val="18"/>
                <w:szCs w:val="18"/>
                <w:color w:val="auto"/>
              </w:rPr>
              <w:t>766,795</w:t>
            </w:r>
          </w:p>
        </w:tc>
        <w:tc>
          <w:tcPr>
            <w:tcW w:w="2480" w:type="dxa"/>
            <w:vAlign w:val="bottom"/>
            <w:shd w:val="clear" w:color="auto" w:fill="CCEEFF"/>
          </w:tcPr>
          <w:p>
            <w:pPr>
              <w:ind w:left="1200"/>
              <w:spacing w:after="0"/>
              <w:rPr>
                <w:sz w:val="20"/>
                <w:szCs w:val="20"/>
                <w:color w:val="auto"/>
              </w:rPr>
            </w:pPr>
            <w:r>
              <w:rPr>
                <w:rFonts w:ascii="Times New Roman" w:cs="Times New Roman" w:eastAsia="Times New Roman" w:hAnsi="Times New Roman"/>
                <w:sz w:val="18"/>
                <w:szCs w:val="18"/>
                <w:color w:val="auto"/>
              </w:rPr>
              <w:t>— </w:t>
            </w:r>
          </w:p>
        </w:tc>
      </w:tr>
    </w:tbl>
    <w:p>
      <w:pPr>
        <w:sectPr>
          <w:pgSz w:w="11900" w:h="16838" w:orient="portrait"/>
          <w:cols w:equalWidth="0" w:num="1">
            <w:col w:w="11020"/>
          </w:cols>
          <w:pgMar w:left="440" w:top="293" w:right="439" w:bottom="1440" w:gutter="0" w:footer="0" w:header="0"/>
        </w:sectPr>
      </w:pPr>
    </w:p>
    <w:bookmarkStart w:id="3" w:name="page4"/>
    <w:bookmarkEnd w:id="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8"/>
        </w:trPr>
        <w:tc>
          <w:tcPr>
            <w:tcW w:w="88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Item 9.01.</w:t>
            </w:r>
          </w:p>
        </w:tc>
        <w:tc>
          <w:tcPr>
            <w:tcW w:w="7680" w:type="dxa"/>
            <w:vAlign w:val="bottom"/>
            <w:gridSpan w:val="2"/>
          </w:tcPr>
          <w:p>
            <w:pPr>
              <w:ind w:left="320"/>
              <w:spacing w:after="0"/>
              <w:rPr>
                <w:sz w:val="20"/>
                <w:szCs w:val="20"/>
                <w:color w:val="auto"/>
              </w:rPr>
            </w:pPr>
            <w:r>
              <w:rPr>
                <w:rFonts w:ascii="Times New Roman" w:cs="Times New Roman" w:eastAsia="Times New Roman" w:hAnsi="Times New Roman"/>
                <w:sz w:val="18"/>
                <w:szCs w:val="18"/>
                <w:b w:val="1"/>
                <w:bCs w:val="1"/>
                <w:color w:val="auto"/>
              </w:rPr>
              <w:t>Financial Statements and Exhibits.</w:t>
            </w:r>
          </w:p>
        </w:tc>
        <w:tc>
          <w:tcPr>
            <w:tcW w:w="0" w:type="dxa"/>
            <w:vAlign w:val="bottom"/>
          </w:tcPr>
          <w:p>
            <w:pPr>
              <w:spacing w:after="0"/>
              <w:rPr>
                <w:sz w:val="1"/>
                <w:szCs w:val="1"/>
                <w:color w:val="auto"/>
              </w:rPr>
            </w:pPr>
          </w:p>
        </w:tc>
      </w:tr>
      <w:tr>
        <w:trPr>
          <w:trHeight w:val="324"/>
        </w:trPr>
        <w:tc>
          <w:tcPr>
            <w:tcW w:w="8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 Exhibits</w:t>
            </w:r>
          </w:p>
        </w:tc>
        <w:tc>
          <w:tcPr>
            <w:tcW w:w="700" w:type="dxa"/>
            <w:vAlign w:val="bottom"/>
          </w:tcPr>
          <w:p>
            <w:pPr>
              <w:spacing w:after="0"/>
              <w:rPr>
                <w:sz w:val="24"/>
                <w:szCs w:val="24"/>
                <w:color w:val="auto"/>
              </w:rPr>
            </w:pPr>
          </w:p>
        </w:tc>
        <w:tc>
          <w:tcPr>
            <w:tcW w:w="6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7"/>
        </w:trPr>
        <w:tc>
          <w:tcPr>
            <w:tcW w:w="8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768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0" w:type="dxa"/>
            <w:vAlign w:val="bottom"/>
          </w:tcPr>
          <w:p>
            <w:pPr>
              <w:spacing w:after="0"/>
              <w:rPr>
                <w:sz w:val="1"/>
                <w:szCs w:val="1"/>
                <w:color w:val="auto"/>
              </w:rPr>
            </w:pPr>
          </w:p>
        </w:tc>
      </w:tr>
      <w:tr>
        <w:trPr>
          <w:trHeight w:val="173"/>
        </w:trPr>
        <w:tc>
          <w:tcPr>
            <w:tcW w:w="460" w:type="dxa"/>
            <w:vAlign w:val="bottom"/>
          </w:tcPr>
          <w:p>
            <w:pPr>
              <w:ind w:left="120"/>
              <w:spacing w:after="0"/>
              <w:rPr>
                <w:sz w:val="20"/>
                <w:szCs w:val="20"/>
                <w:color w:val="auto"/>
              </w:rPr>
            </w:pPr>
            <w:r>
              <w:rPr>
                <w:rFonts w:ascii="Times New Roman" w:cs="Times New Roman" w:eastAsia="Times New Roman" w:hAnsi="Times New Roman"/>
                <w:sz w:val="14"/>
                <w:szCs w:val="14"/>
                <w:b w:val="1"/>
                <w:bCs w:val="1"/>
                <w:color w:val="auto"/>
              </w:rPr>
              <w:t>No.</w:t>
            </w:r>
          </w:p>
        </w:tc>
        <w:tc>
          <w:tcPr>
            <w:tcW w:w="420" w:type="dxa"/>
            <w:vAlign w:val="bottom"/>
          </w:tcPr>
          <w:p>
            <w:pPr>
              <w:spacing w:after="0"/>
              <w:rPr>
                <w:sz w:val="15"/>
                <w:szCs w:val="15"/>
                <w:color w:val="auto"/>
              </w:rPr>
            </w:pPr>
          </w:p>
        </w:tc>
        <w:tc>
          <w:tcPr>
            <w:tcW w:w="76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4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460" w:type="dxa"/>
            <w:vAlign w:val="bottom"/>
          </w:tcPr>
          <w:p>
            <w:pPr>
              <w:spacing w:after="0"/>
              <w:rPr>
                <w:sz w:val="20"/>
                <w:szCs w:val="20"/>
                <w:color w:val="auto"/>
              </w:rPr>
            </w:pPr>
            <w:r>
              <w:rPr>
                <w:rFonts w:ascii="Times New Roman" w:cs="Times New Roman" w:eastAsia="Times New Roman" w:hAnsi="Times New Roman"/>
                <w:sz w:val="18"/>
                <w:szCs w:val="18"/>
                <w:color w:val="auto"/>
              </w:rPr>
              <w:t>3.1</w:t>
            </w:r>
          </w:p>
        </w:tc>
        <w:tc>
          <w:tcPr>
            <w:tcW w:w="420" w:type="dxa"/>
            <w:vAlign w:val="bottom"/>
          </w:tcPr>
          <w:p>
            <w:pPr>
              <w:spacing w:after="0"/>
              <w:rPr>
                <w:sz w:val="24"/>
                <w:szCs w:val="24"/>
                <w:color w:val="auto"/>
              </w:rPr>
            </w:pPr>
          </w:p>
        </w:tc>
        <w:tc>
          <w:tcPr>
            <w:tcW w:w="7680" w:type="dxa"/>
            <w:vAlign w:val="bottom"/>
            <w:tcBorders>
              <w:bottom w:val="single" w:sz="8" w:color="0000EE"/>
            </w:tcBorders>
            <w:gridSpan w:val="2"/>
          </w:tcPr>
          <w:p>
            <w:pPr>
              <w:spacing w:after="0"/>
              <w:rPr>
                <w:sz w:val="20"/>
                <w:szCs w:val="20"/>
                <w:color w:val="auto"/>
              </w:rPr>
            </w:pPr>
            <w:r>
              <w:rPr>
                <w:rFonts w:ascii="Times New Roman" w:cs="Times New Roman" w:eastAsia="Times New Roman" w:hAnsi="Times New Roman"/>
                <w:sz w:val="18"/>
                <w:szCs w:val="18"/>
                <w:color w:val="0000EE"/>
                <w:w w:val="99"/>
              </w:rPr>
              <w:t>Certificate of Amendment to the MicroStrategy Incorporated Second Restated Certificate of Incorporation.</w:t>
            </w:r>
          </w:p>
        </w:tc>
        <w:tc>
          <w:tcPr>
            <w:tcW w:w="0" w:type="dxa"/>
            <w:vAlign w:val="bottom"/>
          </w:tcPr>
          <w:p>
            <w:pPr>
              <w:spacing w:after="0"/>
              <w:rPr>
                <w:sz w:val="1"/>
                <w:szCs w:val="1"/>
                <w:color w:val="auto"/>
              </w:rPr>
            </w:pPr>
          </w:p>
        </w:tc>
      </w:tr>
      <w:tr>
        <w:trPr>
          <w:trHeight w:val="345"/>
        </w:trPr>
        <w:tc>
          <w:tcPr>
            <w:tcW w:w="460" w:type="dxa"/>
            <w:vAlign w:val="bottom"/>
          </w:tcPr>
          <w:p>
            <w:pPr>
              <w:spacing w:after="0"/>
              <w:rPr>
                <w:sz w:val="20"/>
                <w:szCs w:val="20"/>
                <w:color w:val="auto"/>
              </w:rPr>
            </w:pPr>
            <w:r>
              <w:rPr>
                <w:rFonts w:ascii="Times New Roman" w:cs="Times New Roman" w:eastAsia="Times New Roman" w:hAnsi="Times New Roman"/>
                <w:sz w:val="18"/>
                <w:szCs w:val="18"/>
                <w:color w:val="auto"/>
              </w:rPr>
              <w:t>104</w:t>
            </w:r>
          </w:p>
        </w:tc>
        <w:tc>
          <w:tcPr>
            <w:tcW w:w="420" w:type="dxa"/>
            <w:vAlign w:val="bottom"/>
          </w:tcPr>
          <w:p>
            <w:pPr>
              <w:spacing w:after="0"/>
              <w:rPr>
                <w:sz w:val="24"/>
                <w:szCs w:val="24"/>
                <w:color w:val="auto"/>
              </w:rPr>
            </w:pPr>
          </w:p>
        </w:tc>
        <w:tc>
          <w:tcPr>
            <w:tcW w:w="7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Cover Page Interactive Data File (embedded within the Inline XBRL document).</w:t>
            </w:r>
          </w:p>
        </w:tc>
        <w:tc>
          <w:tcPr>
            <w:tcW w:w="0" w:type="dxa"/>
            <w:vAlign w:val="bottom"/>
          </w:tcPr>
          <w:p>
            <w:pPr>
              <w:spacing w:after="0"/>
              <w:rPr>
                <w:sz w:val="1"/>
                <w:szCs w:val="1"/>
                <w:color w:val="auto"/>
              </w:rPr>
            </w:pPr>
          </w:p>
        </w:tc>
      </w:tr>
    </w:tbl>
    <w:p>
      <w:pPr>
        <w:sectPr>
          <w:pgSz w:w="11900" w:h="16838" w:orient="portrait"/>
          <w:cols w:equalWidth="0" w:num="1">
            <w:col w:w="10019"/>
          </w:cols>
          <w:pgMar w:left="440" w:top="293" w:right="1440"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23, 2025</w:t>
            </w: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00" w:type="dxa"/>
            <w:vAlign w:val="bottom"/>
          </w:tcPr>
          <w:p>
            <w:pPr>
              <w:spacing w:after="0"/>
              <w:rPr>
                <w:sz w:val="20"/>
                <w:szCs w:val="20"/>
                <w:color w:val="auto"/>
              </w:rPr>
            </w:pP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00" w:type="dxa"/>
            <w:vAlign w:val="bottom"/>
          </w:tcPr>
          <w:p>
            <w:pPr>
              <w:spacing w:after="0"/>
              <w:rPr>
                <w:sz w:val="24"/>
                <w:szCs w:val="24"/>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00" w:type="dxa"/>
            <w:vAlign w:val="bottom"/>
          </w:tcPr>
          <w:p>
            <w:pPr>
              <w:spacing w:after="0"/>
              <w:rPr>
                <w:sz w:val="17"/>
                <w:szCs w:val="17"/>
                <w:color w:val="auto"/>
              </w:rPr>
            </w:pPr>
          </w:p>
        </w:tc>
        <w:tc>
          <w:tcPr>
            <w:tcW w:w="2560" w:type="dxa"/>
            <w:vAlign w:val="bottom"/>
          </w:tcPr>
          <w:p>
            <w:pPr>
              <w:ind w:left="19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00" w:type="dxa"/>
            <w:vAlign w:val="bottom"/>
          </w:tcPr>
          <w:p>
            <w:pPr>
              <w:spacing w:after="0"/>
              <w:rPr>
                <w:sz w:val="20"/>
                <w:szCs w:val="20"/>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ectPr>
          <w:pgSz w:w="11900" w:h="16838" w:orient="portrait"/>
          <w:cols w:equalWidth="0" w:num="1">
            <w:col w:w="11020"/>
          </w:cols>
          <w:pgMar w:left="440" w:top="293" w:right="439" w:bottom="1440" w:gutter="0" w:footer="0" w:header="0"/>
        </w:sectPr>
      </w:pPr>
    </w:p>
    <w:bookmarkStart w:id="5" w:name="page6"/>
    <w:bookmarkEnd w:id="5"/>
    <w:p>
      <w:pPr>
        <w:jc w:val="right"/>
        <w:spacing w:after="0"/>
        <w:rPr>
          <w:sz w:val="20"/>
          <w:szCs w:val="20"/>
          <w:color w:val="auto"/>
        </w:rPr>
      </w:pPr>
      <w:r>
        <w:rPr>
          <w:rFonts w:ascii="Times New Roman" w:cs="Times New Roman" w:eastAsia="Times New Roman" w:hAnsi="Times New Roman"/>
          <w:sz w:val="18"/>
          <w:szCs w:val="18"/>
          <w:b w:val="1"/>
          <w:bCs w:val="1"/>
          <w:color w:val="auto"/>
        </w:rPr>
        <w:t>Exhibit 3.1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CERTIFICATE OF AMENDMENT</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TO</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SECOND RESTATED CERTIFICATE OF INCORPORATION</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MICROSTRATEGY INCORPORATED</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Pursuant to Section 242 of the</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General Corporation Law of the State of Delaware</w:t>
      </w:r>
    </w:p>
    <w:p>
      <w:pPr>
        <w:spacing w:after="0" w:line="207" w:lineRule="exact"/>
        <w:rPr>
          <w:sz w:val="20"/>
          <w:szCs w:val="20"/>
          <w:color w:val="auto"/>
        </w:rPr>
      </w:pPr>
    </w:p>
    <w:p>
      <w:pPr>
        <w:ind w:right="580" w:firstLine="440"/>
        <w:spacing w:after="0" w:line="282" w:lineRule="auto"/>
        <w:rPr>
          <w:sz w:val="20"/>
          <w:szCs w:val="20"/>
          <w:color w:val="auto"/>
        </w:rPr>
      </w:pPr>
      <w:r>
        <w:rPr>
          <w:rFonts w:ascii="Times New Roman" w:cs="Times New Roman" w:eastAsia="Times New Roman" w:hAnsi="Times New Roman"/>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162"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180" w:lineRule="exact"/>
        <w:rPr>
          <w:sz w:val="20"/>
          <w:szCs w:val="20"/>
          <w:color w:val="auto"/>
        </w:rPr>
      </w:pPr>
    </w:p>
    <w:p>
      <w:pPr>
        <w:ind w:right="120" w:firstLine="440"/>
        <w:spacing w:after="0" w:line="282" w:lineRule="auto"/>
        <w:rPr>
          <w:sz w:val="20"/>
          <w:szCs w:val="20"/>
          <w:color w:val="auto"/>
        </w:rPr>
      </w:pPr>
      <w:r>
        <w:rPr>
          <w:rFonts w:ascii="Times New Roman" w:cs="Times New Roman" w:eastAsia="Times New Roman" w:hAnsi="Times New Roman"/>
          <w:sz w:val="18"/>
          <w:szCs w:val="18"/>
          <w:color w:val="auto"/>
        </w:rPr>
        <w:t>RESOLVED: That Article Four of the Second Restated Certificate of Incorporation of the Corporation be and hereby is deleted in its entirety and the following is inserted in lieu thereof:</w:t>
      </w:r>
    </w:p>
    <w:p>
      <w:pPr>
        <w:spacing w:after="0" w:line="1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FOUR</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CAPITAL STRUCTURE</w:t>
      </w:r>
    </w:p>
    <w:p>
      <w:pPr>
        <w:spacing w:after="0" w:line="207"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The total number of shares of capital stock which the corporation shall have the authority to issue is 11,500,000,000 shares, consisting of three classes of capital stock:</w:t>
      </w:r>
    </w:p>
    <w:p>
      <w:pPr>
        <w:spacing w:after="0" w:line="67" w:lineRule="exact"/>
        <w:rPr>
          <w:sz w:val="20"/>
          <w:szCs w:val="20"/>
          <w:color w:val="auto"/>
        </w:rPr>
      </w:pPr>
    </w:p>
    <w:p>
      <w:pPr>
        <w:ind w:left="960" w:hanging="532"/>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10,330,000,000 shares of Class A Common Stock, par value $0.001 per share (the “Class A Common Stock”);</w:t>
      </w:r>
    </w:p>
    <w:p>
      <w:pPr>
        <w:spacing w:after="0" w:line="130" w:lineRule="exact"/>
        <w:rPr>
          <w:rFonts w:ascii="Times New Roman" w:cs="Times New Roman" w:eastAsia="Times New Roman" w:hAnsi="Times New Roman"/>
          <w:sz w:val="18"/>
          <w:szCs w:val="18"/>
          <w:color w:val="auto"/>
        </w:rPr>
      </w:pPr>
    </w:p>
    <w:p>
      <w:pPr>
        <w:ind w:left="960" w:right="300" w:hanging="532"/>
        <w:spacing w:after="0" w:line="282"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7"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1,005,000,000 shares of Preferred Stock, par value $0.001 per share (the “Preferred Stock”).”</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p>
    <w:p>
      <w:pPr>
        <w:sectPr>
          <w:pgSz w:w="11900" w:h="16838" w:orient="portrait"/>
          <w:cols w:equalWidth="0" w:num="1">
            <w:col w:w="11020"/>
          </w:cols>
          <w:pgMar w:left="440" w:top="117" w:right="439" w:bottom="1440" w:gutter="0" w:footer="0" w:header="0"/>
        </w:sectPr>
      </w:pPr>
    </w:p>
    <w:bookmarkStart w:id="6" w:name="page7"/>
    <w:bookmarkEnd w:id="6"/>
    <w:p>
      <w:pPr>
        <w:ind w:firstLine="440"/>
        <w:spacing w:after="0" w:line="21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this Certificate of Amendment has been executed by a duly authorized officer of the Corporation on this 22</w:t>
      </w:r>
      <w:r>
        <w:rPr>
          <w:rFonts w:ascii="Times New Roman" w:cs="Times New Roman" w:eastAsia="Times New Roman" w:hAnsi="Times New Roman"/>
          <w:sz w:val="26"/>
          <w:szCs w:val="26"/>
          <w:color w:val="auto"/>
          <w:vertAlign w:val="superscript"/>
        </w:rPr>
        <w:t>nd</w:t>
      </w:r>
      <w:r>
        <w:rPr>
          <w:rFonts w:ascii="Times New Roman" w:cs="Times New Roman" w:eastAsia="Times New Roman" w:hAnsi="Times New Roman"/>
          <w:sz w:val="18"/>
          <w:szCs w:val="18"/>
          <w:color w:val="auto"/>
        </w:rPr>
        <w:t xml:space="preserve"> day of January, 2025.</w:t>
      </w:r>
    </w:p>
    <w:p>
      <w:pPr>
        <w:spacing w:after="0" w:line="222"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b w:val="1"/>
          <w:bCs w:val="1"/>
          <w:color w:val="auto"/>
        </w:rPr>
        <w:t>MICROSTRATEGY INCORPORATED</w:t>
      </w:r>
    </w:p>
    <w:p>
      <w:pPr>
        <w:spacing w:after="0" w:line="22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 /s/ Phong 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17145</wp:posOffset>
            </wp:positionV>
            <wp:extent cx="25628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Name: Phong Le</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Title: President &amp; Chief Executive Officer</w:t>
      </w:r>
    </w:p>
    <w:sectPr>
      <w:pgSz w:w="11900" w:h="16838" w:orient="portrait"/>
      <w:cols w:equalWidth="0" w:num="1">
        <w:col w:w="10800"/>
      </w:cols>
      <w:pgMar w:left="440" w:top="270" w:right="6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2025-01-23T15:15:12Z</dcterms:created>
  <dcterms:modified xsi:type="dcterms:W3CDTF">2025-01-23T15:15:12Z</dcterms:modified>
</cp:coreProperties>
</file>