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December 23,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1"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11"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4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19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213360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87"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39"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39"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128270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171450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MicroStrategy Incorporated (“MicroStrategy” or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ind w:right="20"/>
        <w:spacing w:after="0" w:line="261" w:lineRule="auto"/>
        <w:rPr>
          <w:sz w:val="20"/>
          <w:szCs w:val="20"/>
          <w:color w:val="auto"/>
        </w:rPr>
      </w:pPr>
      <w:r>
        <w:rPr>
          <w:rFonts w:ascii="Times New Roman" w:cs="Times New Roman" w:eastAsia="Times New Roman" w:hAnsi="Times New Roman"/>
          <w:sz w:val="18"/>
          <w:szCs w:val="18"/>
          <w:color w:val="auto"/>
        </w:rPr>
        <w:t>On December 23, 2024, the Company announced that, during the period between December 16, 2024 and December 22, 2024, the Company had sold an aggregate of 1,317,841 Shares under the Sales Agreement for aggregate net proceeds to the Company (less sales commissions) of approximately</w:t>
      </w:r>
    </w:p>
    <w:p>
      <w:pPr>
        <w:ind w:right="840"/>
        <w:spacing w:after="0" w:line="260" w:lineRule="auto"/>
        <w:rPr>
          <w:sz w:val="20"/>
          <w:szCs w:val="20"/>
          <w:color w:val="auto"/>
        </w:rPr>
      </w:pPr>
      <w:r>
        <w:rPr>
          <w:rFonts w:ascii="Times New Roman" w:cs="Times New Roman" w:eastAsia="Times New Roman" w:hAnsi="Times New Roman"/>
          <w:sz w:val="18"/>
          <w:szCs w:val="18"/>
          <w:color w:val="auto"/>
        </w:rPr>
        <w:t>$561 million. As of December 22, 2024, approximately $7.08 billion of Shares remained available for issuance and sale pursuant to the Sales Agreement.</w:t>
      </w:r>
    </w:p>
    <w:p>
      <w:pPr>
        <w:spacing w:after="0" w:line="28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jc w:val="both"/>
        <w:ind w:right="200"/>
        <w:spacing w:after="0" w:line="266" w:lineRule="auto"/>
        <w:rPr>
          <w:sz w:val="20"/>
          <w:szCs w:val="20"/>
          <w:color w:val="auto"/>
        </w:rPr>
      </w:pPr>
      <w:r>
        <w:rPr>
          <w:rFonts w:ascii="Times New Roman" w:cs="Times New Roman" w:eastAsia="Times New Roman" w:hAnsi="Times New Roman"/>
          <w:sz w:val="18"/>
          <w:szCs w:val="18"/>
          <w:color w:val="auto"/>
        </w:rPr>
        <w:t>On December 23, 2024, the Company announced that, during the period between December 16, 2024 and December 22, 2024, the Company acquired approximately 5,262 bitcoins for approximately $561 million in cash, at an average price of approximately $106,662 per bitcoin, inclusive of fees and expenses. The bitcoin purchases were made using proceeds from the issuance and sale of Shares under the Sales Agreement.</w:t>
      </w:r>
    </w:p>
    <w:p>
      <w:pPr>
        <w:spacing w:after="0" w:line="176" w:lineRule="exact"/>
        <w:rPr>
          <w:sz w:val="20"/>
          <w:szCs w:val="20"/>
          <w:color w:val="auto"/>
        </w:rPr>
      </w:pPr>
    </w:p>
    <w:p>
      <w:pPr>
        <w:ind w:right="100"/>
        <w:spacing w:after="0" w:line="266" w:lineRule="auto"/>
        <w:rPr>
          <w:sz w:val="20"/>
          <w:szCs w:val="20"/>
          <w:color w:val="auto"/>
        </w:rPr>
      </w:pPr>
      <w:r>
        <w:rPr>
          <w:rFonts w:ascii="Times New Roman" w:cs="Times New Roman" w:eastAsia="Times New Roman" w:hAnsi="Times New Roman"/>
          <w:sz w:val="18"/>
          <w:szCs w:val="18"/>
          <w:color w:val="auto"/>
        </w:rPr>
        <w:t>As of December 22, 2024, the Company, together with its subsidiaries, held an aggregate of approximately 444,262 bitcoins, which were acquired at an aggregate purchase price of approximately $27.7 billion and an average purchase price of approximately $62,257 per bitcoin, inclusive of fees and expenses.</w:t>
      </w:r>
    </w:p>
    <w:p>
      <w:pPr>
        <w:spacing w:after="0" w:line="32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ind w:right="40"/>
        <w:spacing w:after="0" w:line="282" w:lineRule="auto"/>
        <w:rPr>
          <w:sz w:val="20"/>
          <w:szCs w:val="20"/>
          <w:color w:val="auto"/>
        </w:rPr>
      </w:pPr>
      <w:r>
        <w:rPr>
          <w:rFonts w:ascii="Times New Roman" w:cs="Times New Roman" w:eastAsia="Times New Roman" w:hAnsi="Times New Roman"/>
          <w:sz w:val="18"/>
          <w:szCs w:val="18"/>
          <w:color w:val="auto"/>
        </w:rPr>
        <w:t>From October 1, 2024 to December 22, 2024, the Company’s BTC Yield was 47.4%. From January 1, 2024 to December 22, 2024, the Company’s BTC Yield was 73.7%.</w:t>
      </w:r>
    </w:p>
    <w:p>
      <w:pPr>
        <w:spacing w:after="0" w:line="16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ectPr>
          <w:pgSz w:w="11900" w:h="16838" w:orient="portrait"/>
          <w:cols w:equalWidth="0" w:num="1">
            <w:col w:w="11000"/>
          </w:cols>
          <w:pgMar w:left="440" w:top="293" w:right="459" w:bottom="1440" w:gutter="0" w:footer="0" w:header="0"/>
        </w:sectPr>
      </w:pPr>
    </w:p>
    <w:bookmarkStart w:id="2" w:name="page3"/>
    <w:bookmarkEnd w:id="2"/>
    <w:p>
      <w:pPr>
        <w:ind w:left="4"/>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BTC Yield and Basic and Assumed Diluted Shares Outstanding</w:t>
      </w:r>
    </w:p>
    <w:p>
      <w:pPr>
        <w:spacing w:after="0" w:line="248" w:lineRule="exact"/>
        <w:rPr>
          <w:sz w:val="20"/>
          <w:szCs w:val="20"/>
          <w:color w:val="auto"/>
        </w:rPr>
      </w:pPr>
    </w:p>
    <w:tbl>
      <w:tblPr>
        <w:tblLayout w:type="fixed"/>
        <w:tblInd w:w="884" w:type="dxa"/>
        <w:tblCellMar>
          <w:top w:w="0" w:type="dxa"/>
          <w:left w:w="0" w:type="dxa"/>
          <w:bottom w:w="0" w:type="dxa"/>
          <w:right w:w="0" w:type="dxa"/>
        </w:tblCellMar>
      </w:tblPr>
      <w:tr>
        <w:trPr>
          <w:trHeight w:val="173"/>
        </w:trPr>
        <w:tc>
          <w:tcPr>
            <w:tcW w:w="740" w:type="dxa"/>
            <w:vAlign w:val="bottom"/>
          </w:tcPr>
          <w:p>
            <w:pPr>
              <w:spacing w:after="0"/>
              <w:rPr>
                <w:sz w:val="15"/>
                <w:szCs w:val="15"/>
                <w:color w:val="auto"/>
              </w:rPr>
            </w:pPr>
          </w:p>
        </w:tc>
        <w:tc>
          <w:tcPr>
            <w:tcW w:w="4200" w:type="dxa"/>
            <w:vAlign w:val="bottom"/>
          </w:tcPr>
          <w:p>
            <w:pPr>
              <w:spacing w:after="0"/>
              <w:rPr>
                <w:sz w:val="15"/>
                <w:szCs w:val="15"/>
                <w:color w:val="auto"/>
              </w:rPr>
            </w:pPr>
          </w:p>
        </w:tc>
        <w:tc>
          <w:tcPr>
            <w:tcW w:w="216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12/31/2023</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9/30/2024</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12/22/2024</w:t>
            </w:r>
          </w:p>
        </w:tc>
        <w:tc>
          <w:tcPr>
            <w:tcW w:w="200" w:type="dxa"/>
            <w:vAlign w:val="bottom"/>
          </w:tcPr>
          <w:p>
            <w:pPr>
              <w:spacing w:after="0"/>
              <w:rPr>
                <w:sz w:val="15"/>
                <w:szCs w:val="15"/>
                <w:color w:val="auto"/>
              </w:rPr>
            </w:pPr>
          </w:p>
        </w:tc>
      </w:tr>
      <w:tr>
        <w:trPr>
          <w:trHeight w:val="209"/>
        </w:trPr>
        <w:tc>
          <w:tcPr>
            <w:tcW w:w="494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150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189,150</w:t>
            </w:r>
          </w:p>
        </w:tc>
        <w:tc>
          <w:tcPr>
            <w:tcW w:w="3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252,220</w:t>
            </w:r>
          </w:p>
        </w:tc>
        <w:tc>
          <w:tcPr>
            <w:tcW w:w="3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444,262</w:t>
            </w:r>
          </w:p>
        </w:tc>
        <w:tc>
          <w:tcPr>
            <w:tcW w:w="200" w:type="dxa"/>
            <w:vAlign w:val="bottom"/>
            <w:tcBorders>
              <w:top w:val="single" w:sz="8" w:color="CCEEFF"/>
            </w:tcBorders>
            <w:shd w:val="clear" w:color="auto" w:fill="CCEEFF"/>
          </w:tcPr>
          <w:p>
            <w:pPr>
              <w:spacing w:after="0"/>
              <w:rPr>
                <w:sz w:val="18"/>
                <w:szCs w:val="18"/>
                <w:color w:val="auto"/>
              </w:rPr>
            </w:pPr>
          </w:p>
        </w:tc>
      </w:tr>
      <w:tr>
        <w:trPr>
          <w:trHeight w:val="432"/>
        </w:trPr>
        <w:tc>
          <w:tcPr>
            <w:tcW w:w="494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 xml:space="preserve">Shares Outstanding (in ‘000s) </w:t>
            </w:r>
            <w:r>
              <w:rPr>
                <w:rFonts w:ascii="Times New Roman" w:cs="Times New Roman" w:eastAsia="Times New Roman" w:hAnsi="Times New Roman"/>
                <w:sz w:val="26"/>
                <w:szCs w:val="26"/>
                <w:b w:val="1"/>
                <w:bCs w:val="1"/>
                <w:color w:val="auto"/>
                <w:vertAlign w:val="superscript"/>
              </w:rPr>
              <w:t>(1)</w:t>
            </w:r>
          </w:p>
        </w:tc>
        <w:tc>
          <w:tcPr>
            <w:tcW w:w="15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200" w:type="dxa"/>
            <w:vAlign w:val="bottom"/>
          </w:tcPr>
          <w:p>
            <w:pPr>
              <w:spacing w:after="0"/>
              <w:rPr>
                <w:sz w:val="24"/>
                <w:szCs w:val="24"/>
                <w:color w:val="auto"/>
              </w:rPr>
            </w:pPr>
          </w:p>
        </w:tc>
      </w:tr>
      <w:tr>
        <w:trPr>
          <w:trHeight w:val="216"/>
        </w:trPr>
        <w:tc>
          <w:tcPr>
            <w:tcW w:w="494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149,041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182,995</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225,218</w:t>
            </w:r>
          </w:p>
        </w:tc>
        <w:tc>
          <w:tcPr>
            <w:tcW w:w="200" w:type="dxa"/>
            <w:vAlign w:val="bottom"/>
            <w:shd w:val="clear" w:color="auto" w:fill="CCEEFF"/>
          </w:tcPr>
          <w:p>
            <w:pPr>
              <w:spacing w:after="0"/>
              <w:rPr>
                <w:sz w:val="18"/>
                <w:szCs w:val="18"/>
                <w:color w:val="auto"/>
              </w:rPr>
            </w:pPr>
          </w:p>
        </w:tc>
      </w:tr>
      <w:tr>
        <w:trPr>
          <w:trHeight w:val="223"/>
        </w:trPr>
        <w:tc>
          <w:tcPr>
            <w:tcW w:w="49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150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4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200" w:type="dxa"/>
            <w:vAlign w:val="bottom"/>
          </w:tcPr>
          <w:p>
            <w:pPr>
              <w:spacing w:after="0"/>
              <w:rPr>
                <w:sz w:val="19"/>
                <w:szCs w:val="19"/>
                <w:color w:val="auto"/>
              </w:rPr>
            </w:pPr>
          </w:p>
        </w:tc>
      </w:tr>
      <w:tr>
        <w:trPr>
          <w:trHeight w:val="216"/>
        </w:trPr>
        <w:tc>
          <w:tcPr>
            <w:tcW w:w="494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(2)</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168,681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202,635</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244,858</w:t>
            </w:r>
          </w:p>
        </w:tc>
        <w:tc>
          <w:tcPr>
            <w:tcW w:w="200" w:type="dxa"/>
            <w:vAlign w:val="bottom"/>
            <w:shd w:val="clear" w:color="auto" w:fill="CCEEFF"/>
          </w:tcPr>
          <w:p>
            <w:pPr>
              <w:spacing w:after="0"/>
              <w:rPr>
                <w:sz w:val="18"/>
                <w:szCs w:val="18"/>
                <w:color w:val="auto"/>
              </w:rPr>
            </w:pPr>
          </w:p>
        </w:tc>
      </w:tr>
      <w:tr>
        <w:trPr>
          <w:trHeight w:val="324"/>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2025</w:t>
            </w:r>
          </w:p>
        </w:tc>
        <w:tc>
          <w:tcPr>
            <w:tcW w:w="42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@$39.80</w:t>
            </w:r>
          </w:p>
        </w:tc>
        <w:tc>
          <w:tcPr>
            <w:tcW w:w="21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16,330</w:t>
            </w:r>
          </w:p>
        </w:tc>
        <w:tc>
          <w:tcPr>
            <w:tcW w:w="320" w:type="dxa"/>
            <w:vAlign w:val="bottom"/>
          </w:tcPr>
          <w:p>
            <w:pPr>
              <w:spacing w:after="0"/>
              <w:rPr>
                <w:sz w:val="24"/>
                <w:szCs w:val="24"/>
                <w:color w:val="auto"/>
              </w:rPr>
            </w:pP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40" w:type="dxa"/>
            <w:vAlign w:val="bottom"/>
          </w:tcPr>
          <w:p>
            <w:pPr>
              <w:spacing w:after="0"/>
              <w:rPr>
                <w:sz w:val="24"/>
                <w:szCs w:val="24"/>
                <w:color w:val="auto"/>
              </w:rPr>
            </w:pPr>
          </w:p>
        </w:tc>
        <w:tc>
          <w:tcPr>
            <w:tcW w:w="860" w:type="dxa"/>
            <w:vAlign w:val="bottom"/>
            <w:gridSpan w:val="2"/>
          </w:tcPr>
          <w:p>
            <w:pPr>
              <w:jc w:val="right"/>
              <w:ind w:right="26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420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@$143.25</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2028</w:t>
            </w:r>
          </w:p>
        </w:tc>
        <w:tc>
          <w:tcPr>
            <w:tcW w:w="42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@$183.19</w:t>
            </w:r>
          </w:p>
        </w:tc>
        <w:tc>
          <w:tcPr>
            <w:tcW w:w="15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20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2029</w:t>
            </w:r>
          </w:p>
        </w:tc>
        <w:tc>
          <w:tcPr>
            <w:tcW w:w="420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@$672.40</w:t>
            </w:r>
          </w:p>
        </w:tc>
        <w:tc>
          <w:tcPr>
            <w:tcW w:w="15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4,462</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42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15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20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420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150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20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420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150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10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200" w:type="dxa"/>
            <w:vAlign w:val="bottom"/>
          </w:tcPr>
          <w:p>
            <w:pPr>
              <w:spacing w:after="0"/>
              <w:rPr>
                <w:sz w:val="18"/>
                <w:szCs w:val="18"/>
                <w:color w:val="auto"/>
              </w:rPr>
            </w:pPr>
          </w:p>
        </w:tc>
      </w:tr>
      <w:tr>
        <w:trPr>
          <w:trHeight w:val="216"/>
        </w:trPr>
        <w:tc>
          <w:tcPr>
            <w:tcW w:w="494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12,936</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5,678</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4,964</w:t>
            </w:r>
          </w:p>
        </w:tc>
        <w:tc>
          <w:tcPr>
            <w:tcW w:w="200" w:type="dxa"/>
            <w:vAlign w:val="bottom"/>
            <w:shd w:val="clear" w:color="auto" w:fill="CCEEFF"/>
          </w:tcPr>
          <w:p>
            <w:pPr>
              <w:spacing w:after="0"/>
              <w:rPr>
                <w:sz w:val="18"/>
                <w:szCs w:val="18"/>
                <w:color w:val="auto"/>
              </w:rPr>
            </w:pPr>
          </w:p>
        </w:tc>
      </w:tr>
      <w:tr>
        <w:trPr>
          <w:trHeight w:val="223"/>
        </w:trPr>
        <w:tc>
          <w:tcPr>
            <w:tcW w:w="49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150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2,359</w:t>
            </w:r>
          </w:p>
        </w:tc>
        <w:tc>
          <w:tcPr>
            <w:tcW w:w="3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2,034</w:t>
            </w:r>
          </w:p>
        </w:tc>
        <w:tc>
          <w:tcPr>
            <w:tcW w:w="34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1,850</w:t>
            </w:r>
          </w:p>
        </w:tc>
        <w:tc>
          <w:tcPr>
            <w:tcW w:w="200" w:type="dxa"/>
            <w:vAlign w:val="bottom"/>
          </w:tcPr>
          <w:p>
            <w:pPr>
              <w:spacing w:after="0"/>
              <w:rPr>
                <w:sz w:val="19"/>
                <w:szCs w:val="19"/>
                <w:color w:val="auto"/>
              </w:rPr>
            </w:pPr>
          </w:p>
        </w:tc>
      </w:tr>
      <w:tr>
        <w:trPr>
          <w:trHeight w:val="216"/>
        </w:trPr>
        <w:tc>
          <w:tcPr>
            <w:tcW w:w="494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(3)</w:t>
            </w:r>
          </w:p>
        </w:tc>
        <w:tc>
          <w:tcPr>
            <w:tcW w:w="21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207,636</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235,042</w:t>
            </w:r>
          </w:p>
        </w:tc>
        <w:tc>
          <w:tcPr>
            <w:tcW w:w="10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280,828</w:t>
            </w:r>
          </w:p>
        </w:tc>
        <w:tc>
          <w:tcPr>
            <w:tcW w:w="200" w:type="dxa"/>
            <w:vAlign w:val="bottom"/>
            <w:shd w:val="clear" w:color="auto" w:fill="CCEEFF"/>
          </w:tcPr>
          <w:p>
            <w:pPr>
              <w:spacing w:after="0"/>
              <w:rPr>
                <w:sz w:val="18"/>
                <w:szCs w:val="18"/>
                <w:color w:val="auto"/>
              </w:rPr>
            </w:pPr>
          </w:p>
        </w:tc>
      </w:tr>
      <w:tr>
        <w:trPr>
          <w:trHeight w:val="324"/>
        </w:trPr>
        <w:tc>
          <w:tcPr>
            <w:tcW w:w="494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BTC Yield % (Quarter to Date)</w:t>
            </w:r>
          </w:p>
        </w:tc>
        <w:tc>
          <w:tcPr>
            <w:tcW w:w="150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1200" w:type="dxa"/>
            <w:vAlign w:val="bottom"/>
            <w:gridSpan w:val="3"/>
          </w:tcPr>
          <w:p>
            <w:pPr>
              <w:jc w:val="right"/>
              <w:ind w:right="60"/>
              <w:spacing w:after="0"/>
              <w:rPr>
                <w:sz w:val="20"/>
                <w:szCs w:val="20"/>
                <w:color w:val="auto"/>
              </w:rPr>
            </w:pPr>
            <w:r>
              <w:rPr>
                <w:rFonts w:ascii="Times New Roman" w:cs="Times New Roman" w:eastAsia="Times New Roman" w:hAnsi="Times New Roman"/>
                <w:sz w:val="18"/>
                <w:szCs w:val="18"/>
                <w:color w:val="auto"/>
              </w:rPr>
              <w:t>47.4%</w:t>
            </w:r>
          </w:p>
        </w:tc>
      </w:tr>
      <w:tr>
        <w:trPr>
          <w:trHeight w:val="216"/>
        </w:trPr>
        <w:tc>
          <w:tcPr>
            <w:tcW w:w="494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150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1200" w:type="dxa"/>
            <w:vAlign w:val="bottom"/>
            <w:gridSpan w:val="3"/>
            <w:shd w:val="clear" w:color="auto" w:fill="CCEEFF"/>
          </w:tcPr>
          <w:p>
            <w:pPr>
              <w:jc w:val="right"/>
              <w:ind w:right="60"/>
              <w:spacing w:after="0"/>
              <w:rPr>
                <w:sz w:val="20"/>
                <w:szCs w:val="20"/>
                <w:color w:val="auto"/>
              </w:rPr>
            </w:pPr>
            <w:r>
              <w:rPr>
                <w:rFonts w:ascii="Times New Roman" w:cs="Times New Roman" w:eastAsia="Times New Roman" w:hAnsi="Times New Roman"/>
                <w:sz w:val="18"/>
                <w:szCs w:val="18"/>
                <w:color w:val="auto"/>
              </w:rPr>
              <w:t>73.7%</w:t>
            </w:r>
          </w:p>
        </w:tc>
      </w:tr>
    </w:tbl>
    <w:p>
      <w:pPr>
        <w:spacing w:after="0" w:line="225" w:lineRule="exact"/>
        <w:rPr>
          <w:sz w:val="20"/>
          <w:szCs w:val="20"/>
          <w:color w:val="auto"/>
        </w:rPr>
      </w:pPr>
    </w:p>
    <w:p>
      <w:pPr>
        <w:ind w:left="424" w:hanging="424"/>
        <w:spacing w:after="0" w:line="254"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The dividend was distributed after the close of trading on August 7, 2024 and trading commenced on a split-adjusted basis at market open on August 8, 2024. As a result of the stock split, all applicable share and equity award information has been retroactively adjusted to reflect the stock split for all periods presented.</w:t>
      </w:r>
    </w:p>
    <w:p>
      <w:pPr>
        <w:spacing w:after="0" w:line="3" w:lineRule="exact"/>
        <w:rPr>
          <w:rFonts w:ascii="Times New Roman" w:cs="Times New Roman" w:eastAsia="Times New Roman" w:hAnsi="Times New Roman"/>
          <w:sz w:val="18"/>
          <w:szCs w:val="18"/>
          <w:color w:val="auto"/>
        </w:rPr>
      </w:pPr>
    </w:p>
    <w:p>
      <w:pPr>
        <w:ind w:left="424" w:right="60" w:hanging="424"/>
        <w:spacing w:after="0" w:line="250"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common stock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pacing w:after="0" w:line="1" w:lineRule="exact"/>
        <w:rPr>
          <w:rFonts w:ascii="Times New Roman" w:cs="Times New Roman" w:eastAsia="Times New Roman" w:hAnsi="Times New Roman"/>
          <w:sz w:val="18"/>
          <w:szCs w:val="18"/>
          <w:color w:val="auto"/>
        </w:rPr>
      </w:pPr>
    </w:p>
    <w:p>
      <w:pPr>
        <w:ind w:left="424" w:right="20" w:hanging="424"/>
        <w:spacing w:after="0" w:line="253"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93"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87"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ectPr>
          <w:pgSz w:w="11900" w:h="16838" w:orient="portrait"/>
          <w:cols w:equalWidth="0" w:num="1">
            <w:col w:w="11004"/>
          </w:cols>
          <w:pgMar w:left="436" w:top="295" w:right="459" w:bottom="1440" w:gutter="0" w:footer="0" w:header="0"/>
        </w:sectPr>
      </w:pPr>
    </w:p>
    <w:bookmarkStart w:id="3" w:name="page4"/>
    <w:bookmarkEnd w:id="3"/>
    <w:p>
      <w:pPr>
        <w:ind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183"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 of its 6.125% Senior Secured Notes due 2028 (which the Company has since redeemed), which were not convertible to shares of the Company’s common stock, as well as from the offerings of its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pacing w:after="0" w:line="162"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Furnished Information</w:t>
      </w:r>
    </w:p>
    <w:p>
      <w:pPr>
        <w:spacing w:after="0" w:line="119" w:lineRule="exact"/>
        <w:rPr>
          <w:sz w:val="20"/>
          <w:szCs w:val="20"/>
          <w:color w:val="auto"/>
        </w:rPr>
      </w:pPr>
    </w:p>
    <w:p>
      <w:pPr>
        <w:ind w:right="34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0940"/>
          </w:cols>
          <w:pgMar w:left="440" w:top="297" w:right="519" w:bottom="1440" w:gutter="0" w:footer="0" w:header="0"/>
        </w:sectPr>
      </w:pPr>
    </w:p>
    <w:bookmarkStart w:id="4" w:name="page5"/>
    <w:bookmarkEnd w:id="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80" w:type="dxa"/>
            <w:vAlign w:val="bottom"/>
          </w:tcPr>
          <w:p>
            <w:pPr>
              <w:spacing w:after="0"/>
              <w:rPr>
                <w:sz w:val="20"/>
                <w:szCs w:val="20"/>
                <w:color w:val="auto"/>
              </w:rPr>
            </w:pPr>
            <w:r>
              <w:rPr>
                <w:rFonts w:ascii="Times New Roman" w:cs="Times New Roman" w:eastAsia="Times New Roman" w:hAnsi="Times New Roman"/>
                <w:sz w:val="18"/>
                <w:szCs w:val="18"/>
                <w:color w:val="auto"/>
              </w:rPr>
              <w:t>Date: December 23, 2024</w:t>
            </w:r>
          </w:p>
        </w:tc>
        <w:tc>
          <w:tcPr>
            <w:tcW w:w="7340" w:type="dxa"/>
            <w:vAlign w:val="bottom"/>
            <w:gridSpan w:val="2"/>
          </w:tcPr>
          <w:p>
            <w:pPr>
              <w:ind w:left="184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680" w:type="dxa"/>
            <w:vAlign w:val="bottom"/>
          </w:tcPr>
          <w:p>
            <w:pPr>
              <w:spacing w:after="0"/>
              <w:rPr>
                <w:sz w:val="20"/>
                <w:szCs w:val="20"/>
                <w:color w:val="auto"/>
              </w:rPr>
            </w:pPr>
          </w:p>
        </w:tc>
        <w:tc>
          <w:tcPr>
            <w:tcW w:w="7340" w:type="dxa"/>
            <w:vAlign w:val="bottom"/>
            <w:gridSpan w:val="2"/>
          </w:tcPr>
          <w:p>
            <w:pPr>
              <w:ind w:left="184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680" w:type="dxa"/>
            <w:vAlign w:val="bottom"/>
          </w:tcPr>
          <w:p>
            <w:pPr>
              <w:spacing w:after="0"/>
              <w:rPr>
                <w:sz w:val="24"/>
                <w:szCs w:val="24"/>
                <w:color w:val="auto"/>
              </w:rPr>
            </w:pPr>
          </w:p>
        </w:tc>
        <w:tc>
          <w:tcPr>
            <w:tcW w:w="2480" w:type="dxa"/>
            <w:vAlign w:val="bottom"/>
          </w:tcPr>
          <w:p>
            <w:pPr>
              <w:ind w:left="184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80" w:type="dxa"/>
            <w:vAlign w:val="bottom"/>
          </w:tcPr>
          <w:p>
            <w:pPr>
              <w:spacing w:after="0"/>
              <w:rPr>
                <w:sz w:val="17"/>
                <w:szCs w:val="17"/>
                <w:color w:val="auto"/>
              </w:rPr>
            </w:pPr>
          </w:p>
        </w:tc>
        <w:tc>
          <w:tcPr>
            <w:tcW w:w="2480" w:type="dxa"/>
            <w:vAlign w:val="bottom"/>
          </w:tcPr>
          <w:p>
            <w:pPr>
              <w:ind w:left="184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80" w:type="dxa"/>
            <w:vAlign w:val="bottom"/>
          </w:tcPr>
          <w:p>
            <w:pPr>
              <w:spacing w:after="0"/>
              <w:rPr>
                <w:sz w:val="20"/>
                <w:szCs w:val="20"/>
                <w:color w:val="auto"/>
              </w:rPr>
            </w:pPr>
          </w:p>
        </w:tc>
        <w:tc>
          <w:tcPr>
            <w:tcW w:w="2480" w:type="dxa"/>
            <w:vAlign w:val="bottom"/>
          </w:tcPr>
          <w:p>
            <w:pPr>
              <w:ind w:left="184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2024-12-23T07:09:01Z</dcterms:created>
  <dcterms:modified xsi:type="dcterms:W3CDTF">2024-12-23T07:09:01Z</dcterms:modified>
</cp:coreProperties>
</file>