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190500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1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9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January 24, 2025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184785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6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175895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244"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4"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4"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34"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0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14"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304"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170815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92"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right="2020" w:firstLine="428"/>
        <w:spacing w:after="0" w:line="411" w:lineRule="auto"/>
        <w:tabs>
          <w:tab w:leader="none" w:pos="972"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 Securities registered pursuant to Section 12(b) of the Act:</w:t>
      </w:r>
    </w:p>
    <w:tbl>
      <w:tblPr>
        <w:tblLayout w:type="fixed"/>
        <w:tblInd w:w="0" w:type="dxa"/>
        <w:tblCellMar>
          <w:top w:w="0" w:type="dxa"/>
          <w:left w:w="0" w:type="dxa"/>
          <w:bottom w:w="0" w:type="dxa"/>
          <w:right w:w="0" w:type="dxa"/>
        </w:tblCellMar>
      </w:tblPr>
      <w:tr>
        <w:trPr>
          <w:trHeight w:val="149"/>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line="149" w:lineRule="exact"/>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12"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53"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185"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93980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137160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2027 Notes Redemption</w:t>
      </w:r>
    </w:p>
    <w:p>
      <w:pPr>
        <w:spacing w:after="0" w:line="119" w:lineRule="exact"/>
        <w:rPr>
          <w:sz w:val="20"/>
          <w:szCs w:val="20"/>
          <w:color w:val="auto"/>
        </w:rPr>
      </w:pPr>
    </w:p>
    <w:p>
      <w:pPr>
        <w:ind w:right="20"/>
        <w:spacing w:after="0" w:line="256" w:lineRule="auto"/>
        <w:rPr>
          <w:sz w:val="20"/>
          <w:szCs w:val="20"/>
          <w:color w:val="auto"/>
        </w:rPr>
      </w:pPr>
      <w:r>
        <w:rPr>
          <w:rFonts w:ascii="Times New Roman" w:cs="Times New Roman" w:eastAsia="Times New Roman" w:hAnsi="Times New Roman"/>
          <w:sz w:val="18"/>
          <w:szCs w:val="18"/>
          <w:color w:val="auto"/>
        </w:rPr>
        <w:t>On January 24, 2025, MicroStrategy Incorporated (the “Company”) announced that it delivered a notice of full redemption (the “Notice”) to the trustee of the Company’s outstanding 0.0% Convertible Senior Notes due 2027 (the “2027 Notes”). The aggregate principal amount of the 2027 Notes being redeemed is approximately $1.05 billion, which is equal to the current aggregate principal amount of 2027 Notes outstanding and held by investors. The Notice calls for the redemption of all of the outstanding 2027 Notes (the “Redemption”) on February 24, 2025 (the “Redemption Date”), at a redemption price equal to 100% of the principal amount of the 2025 Notes to be redeemed, plus accrued and unpaid special interest, if any, to but excluding the Redemption Date, unless earlier converted.</w:t>
      </w:r>
    </w:p>
    <w:p>
      <w:pPr>
        <w:spacing w:after="0" w:line="187" w:lineRule="exact"/>
        <w:rPr>
          <w:sz w:val="20"/>
          <w:szCs w:val="20"/>
          <w:color w:val="auto"/>
        </w:rPr>
      </w:pPr>
    </w:p>
    <w:p>
      <w:pPr>
        <w:jc w:val="both"/>
        <w:spacing w:after="0" w:line="266" w:lineRule="auto"/>
        <w:rPr>
          <w:sz w:val="20"/>
          <w:szCs w:val="20"/>
          <w:color w:val="auto"/>
        </w:rPr>
      </w:pPr>
      <w:r>
        <w:rPr>
          <w:rFonts w:ascii="Times New Roman" w:cs="Times New Roman" w:eastAsia="Times New Roman" w:hAnsi="Times New Roman"/>
          <w:sz w:val="18"/>
          <w:szCs w:val="18"/>
          <w:color w:val="auto"/>
        </w:rPr>
        <w:t>As a result of the delivery of the Notice, at any time prior to 5:00 p.m., New York City time, on February 20, 2025, the 2027 Notes are convertible, at the option of the holders of the 2027 Notes, at the applicable conversion rate of 7.0234 shares of the Company’s class A common stock per $1,000 principal amount (reflecting a conversion price of $142.38 per share).</w:t>
      </w:r>
    </w:p>
    <w:p>
      <w:pPr>
        <w:spacing w:after="0" w:line="176"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In the event that any holder delivers a conversion notice as provided in the indenture related to the 2027 Notes, the Company has elected to satisfy its conversion obligation with respect to each $1,000 principal amount of 2027 Notes by delivering solely shares of its class A common stock, together with cash in lieu of any fractional shares.</w:t>
      </w:r>
    </w:p>
    <w:p>
      <w:pPr>
        <w:spacing w:after="0" w:line="176"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The information contained in Item 8.01 of this Current Report on Form 8-K is for informational purposes only and does not constitute an offer to buy or a solicitation of an offer to sell any 2027 Notes and shall not constitute an offer, solicitation, or sale in any jurisdiction in which such offering, solicitation or sale would be unlawful.</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Cautionary Note Regarding Forward-Looking Statements</w:t>
      </w:r>
    </w:p>
    <w:p>
      <w:pPr>
        <w:spacing w:after="0" w:line="121"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Statements in this Current Report on Form 8-K about future expectations, plans, and prospects, as well as any other statements regarding matters that are not historical facts, may constitute “forward-looking statements” within the meaning of The Private Securities Litigation Reform Act of 1995. These statements include, but are not limited to, statements relating to the Redemption. The words “anticipate,” “believe,” “continue,” “could,” “estimate,” “expect,” “intend,” “may,” “plan,” “potential,” “predict,” “project,” “should,” “target,” “will,” “would,” and similar expressions are intended to identify forward-looking statements, although not all forward-looking statements contain these identifying words. Actual results may differ materially from those indicated by such forward-looking statements as a result of various important factors, including the uncertainties related to market conditions and the completion of the Redemption and other factors discussed in the “Risk Factors” section of the Company’s Quarterly Report on Form 10-Q filed with the Securities and Exchange Commission October 31, 2024 and in the Company’s Current Report on Form 8-K filed with the Securities and Exchange Commission on January 6, 2025, and the risks described in other filings that the Company may make with the Securities and Exchange Commission. Any forward-looking statements contained in this Current Report on Form 8-K speak only as of the date hereof, and the Company specifically disclaims any obligation to update any forward-looking statement, whether as a result of new information, future events, or otherwise.</w:t>
      </w:r>
    </w:p>
    <w:p>
      <w:pPr>
        <w:sectPr>
          <w:pgSz w:w="11900" w:h="16838" w:orient="portrait"/>
          <w:cols w:equalWidth="0" w:num="1">
            <w:col w:w="11020"/>
          </w:cols>
          <w:pgMar w:left="440" w:top="293" w:right="439" w:bottom="1440" w:gutter="0" w:footer="0" w:header="0"/>
        </w:sectPr>
      </w:pPr>
    </w:p>
    <w:bookmarkStart w:id="2" w:name="page3"/>
    <w:bookmarkEnd w:id="2"/>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00" w:type="dxa"/>
            <w:vAlign w:val="bottom"/>
          </w:tcPr>
          <w:p>
            <w:pPr>
              <w:spacing w:after="0"/>
              <w:rPr>
                <w:sz w:val="20"/>
                <w:szCs w:val="20"/>
                <w:color w:val="auto"/>
              </w:rPr>
            </w:pPr>
            <w:r>
              <w:rPr>
                <w:rFonts w:ascii="Times New Roman" w:cs="Times New Roman" w:eastAsia="Times New Roman" w:hAnsi="Times New Roman"/>
                <w:sz w:val="18"/>
                <w:szCs w:val="18"/>
                <w:color w:val="auto"/>
              </w:rPr>
              <w:t>Date: January 24, 2025</w:t>
            </w:r>
          </w:p>
        </w:tc>
        <w:tc>
          <w:tcPr>
            <w:tcW w:w="7420" w:type="dxa"/>
            <w:vAlign w:val="bottom"/>
            <w:gridSpan w:val="2"/>
          </w:tcPr>
          <w:p>
            <w:pPr>
              <w:ind w:left="192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600" w:type="dxa"/>
            <w:vAlign w:val="bottom"/>
          </w:tcPr>
          <w:p>
            <w:pPr>
              <w:spacing w:after="0"/>
              <w:rPr>
                <w:sz w:val="20"/>
                <w:szCs w:val="20"/>
                <w:color w:val="auto"/>
              </w:rPr>
            </w:pPr>
          </w:p>
        </w:tc>
        <w:tc>
          <w:tcPr>
            <w:tcW w:w="7420" w:type="dxa"/>
            <w:vAlign w:val="bottom"/>
            <w:gridSpan w:val="2"/>
          </w:tcPr>
          <w:p>
            <w:pPr>
              <w:ind w:left="1920"/>
              <w:spacing w:after="0"/>
              <w:rPr>
                <w:sz w:val="20"/>
                <w:szCs w:val="20"/>
                <w:color w:val="auto"/>
              </w:rPr>
            </w:pPr>
            <w:r>
              <w:rPr>
                <w:rFonts w:ascii="Times New Roman" w:cs="Times New Roman" w:eastAsia="Times New Roman" w:hAnsi="Times New Roman"/>
                <w:sz w:val="18"/>
                <w:szCs w:val="18"/>
                <w:color w:val="auto"/>
              </w:rPr>
              <w:t>(Registrant)</w:t>
            </w:r>
          </w:p>
        </w:tc>
      </w:tr>
      <w:tr>
        <w:trPr>
          <w:trHeight w:val="432"/>
        </w:trPr>
        <w:tc>
          <w:tcPr>
            <w:tcW w:w="3600" w:type="dxa"/>
            <w:vAlign w:val="bottom"/>
          </w:tcPr>
          <w:p>
            <w:pPr>
              <w:spacing w:after="0"/>
              <w:rPr>
                <w:sz w:val="24"/>
                <w:szCs w:val="24"/>
                <w:color w:val="auto"/>
              </w:rPr>
            </w:pPr>
          </w:p>
        </w:tc>
        <w:tc>
          <w:tcPr>
            <w:tcW w:w="2560" w:type="dxa"/>
            <w:vAlign w:val="bottom"/>
          </w:tcPr>
          <w:p>
            <w:pPr>
              <w:ind w:left="192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600" w:type="dxa"/>
            <w:vAlign w:val="bottom"/>
          </w:tcPr>
          <w:p>
            <w:pPr>
              <w:spacing w:after="0"/>
              <w:rPr>
                <w:sz w:val="17"/>
                <w:szCs w:val="17"/>
                <w:color w:val="auto"/>
              </w:rPr>
            </w:pPr>
          </w:p>
        </w:tc>
        <w:tc>
          <w:tcPr>
            <w:tcW w:w="2560" w:type="dxa"/>
            <w:vAlign w:val="bottom"/>
          </w:tcPr>
          <w:p>
            <w:pPr>
              <w:ind w:left="192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600" w:type="dxa"/>
            <w:vAlign w:val="bottom"/>
          </w:tcPr>
          <w:p>
            <w:pPr>
              <w:spacing w:after="0"/>
              <w:rPr>
                <w:sz w:val="20"/>
                <w:szCs w:val="20"/>
                <w:color w:val="auto"/>
              </w:rPr>
            </w:pPr>
          </w:p>
        </w:tc>
        <w:tc>
          <w:tcPr>
            <w:tcW w:w="2560" w:type="dxa"/>
            <w:vAlign w:val="bottom"/>
          </w:tcPr>
          <w:p>
            <w:pPr>
              <w:ind w:left="192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2025-01-24T07:18:27Z</dcterms:created>
  <dcterms:modified xsi:type="dcterms:W3CDTF">2025-01-24T07:18:27Z</dcterms:modified>
</cp:coreProperties>
</file>