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193040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12"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233680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92"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24"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Date of Report (Date of earliest event reported): December 30, 2024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210820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36"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42"/>
          <w:szCs w:val="42"/>
          <w:b w:val="1"/>
          <w:bCs w:val="1"/>
          <w:color w:val="auto"/>
        </w:rPr>
        <w:t>MICROSTRATEGY INCORPORATED</w:t>
      </w:r>
    </w:p>
    <w:p>
      <w:pPr>
        <w:spacing w:after="0" w:line="70"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201930</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ectPr>
          <w:pgSz w:w="11900" w:h="16838" w:orient="portrait"/>
          <w:cols w:equalWidth="0" w:num="1">
            <w:col w:w="11020"/>
          </w:cols>
          <w:pgMar w:left="440" w:top="443" w:right="439" w:bottom="1440" w:gutter="0" w:footer="0" w:header="0"/>
        </w:sectPr>
      </w:pPr>
    </w:p>
    <w:p>
      <w:pPr>
        <w:spacing w:after="0" w:line="200" w:lineRule="exact"/>
        <w:rPr>
          <w:sz w:val="24"/>
          <w:szCs w:val="24"/>
          <w:color w:val="auto"/>
        </w:rPr>
      </w:pPr>
    </w:p>
    <w:p>
      <w:pPr>
        <w:spacing w:after="0" w:line="352" w:lineRule="exact"/>
        <w:rPr>
          <w:sz w:val="24"/>
          <w:szCs w:val="24"/>
          <w:color w:val="auto"/>
        </w:rPr>
      </w:pPr>
    </w:p>
    <w:p>
      <w:pPr>
        <w:ind w:left="1500"/>
        <w:spacing w:after="0"/>
        <w:rPr>
          <w:sz w:val="20"/>
          <w:szCs w:val="20"/>
          <w:color w:val="auto"/>
        </w:rPr>
      </w:pPr>
      <w:r>
        <w:rPr>
          <w:rFonts w:ascii="Times New Roman" w:cs="Times New Roman" w:eastAsia="Times New Roman" w:hAnsi="Times New Roman"/>
          <w:sz w:val="17"/>
          <w:szCs w:val="17"/>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32" w:lineRule="exact"/>
        <w:rPr>
          <w:sz w:val="24"/>
          <w:szCs w:val="24"/>
          <w:color w:val="auto"/>
        </w:rPr>
      </w:pPr>
    </w:p>
    <w:p>
      <w:pPr>
        <w:jc w:val="center"/>
        <w:ind w:right="2180"/>
        <w:spacing w:after="0"/>
        <w:rPr>
          <w:sz w:val="20"/>
          <w:szCs w:val="20"/>
          <w:color w:val="auto"/>
        </w:rPr>
      </w:pPr>
      <w:r>
        <w:rPr>
          <w:rFonts w:ascii="Times New Roman" w:cs="Times New Roman" w:eastAsia="Times New Roman" w:hAnsi="Times New Roman"/>
          <w:sz w:val="17"/>
          <w:szCs w:val="17"/>
          <w:b w:val="1"/>
          <w:bCs w:val="1"/>
          <w:color w:val="auto"/>
        </w:rPr>
        <w:t>0-24435</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32"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51-0323571</w:t>
      </w:r>
    </w:p>
    <w:p>
      <w:pPr>
        <w:spacing w:after="0" w:line="24" w:lineRule="exact"/>
        <w:rPr>
          <w:sz w:val="24"/>
          <w:szCs w:val="24"/>
          <w:color w:val="auto"/>
        </w:rPr>
      </w:pPr>
    </w:p>
    <w:p>
      <w:pPr>
        <w:sectPr>
          <w:pgSz w:w="11900" w:h="16838" w:orient="portrait"/>
          <w:cols w:equalWidth="0" w:num="3">
            <w:col w:w="4600" w:space="720"/>
            <w:col w:w="2780" w:space="720"/>
            <w:col w:w="2200"/>
          </w:cols>
          <w:pgMar w:left="440" w:top="443" w:right="439" w:bottom="1440" w:gutter="0" w:footer="0" w:header="0"/>
          <w:type w:val="continuous"/>
        </w:sectPr>
      </w:pP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ind w:left="60"/>
        <w:spacing w:after="0"/>
        <w:rPr>
          <w:sz w:val="20"/>
          <w:szCs w:val="20"/>
          <w:color w:val="auto"/>
        </w:rPr>
      </w:pPr>
      <w:r>
        <w:rPr>
          <w:rFonts w:ascii="Times New Roman" w:cs="Times New Roman" w:eastAsia="Times New Roman" w:hAnsi="Times New Roman"/>
          <w:sz w:val="14"/>
          <w:szCs w:val="14"/>
          <w:b w:val="1"/>
          <w:bCs w:val="1"/>
          <w:color w:val="auto"/>
        </w:rPr>
        <w:t>(I.R.S. Employer</w:t>
      </w:r>
    </w:p>
    <w:p>
      <w:pPr>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188" w:lineRule="exact"/>
        <w:rPr>
          <w:sz w:val="24"/>
          <w:szCs w:val="24"/>
          <w:color w:val="auto"/>
        </w:rPr>
      </w:pPr>
    </w:p>
    <w:p>
      <w:pPr>
        <w:sectPr>
          <w:pgSz w:w="11900" w:h="16838" w:orient="portrait"/>
          <w:cols w:equalWidth="0" w:num="3">
            <w:col w:w="4480" w:space="720"/>
            <w:col w:w="2760" w:space="720"/>
            <w:col w:w="2340"/>
          </w:cols>
          <w:pgMar w:left="440" w:top="443" w:right="439" w:bottom="1440" w:gutter="0" w:footer="0" w:header="0"/>
          <w:type w:val="continuous"/>
        </w:sectPr>
      </w:pPr>
    </w:p>
    <w:p>
      <w:pPr>
        <w:jc w:val="center"/>
        <w:ind w:right="1860"/>
        <w:spacing w:after="0"/>
        <w:rPr>
          <w:sz w:val="20"/>
          <w:szCs w:val="20"/>
          <w:color w:val="auto"/>
        </w:rPr>
      </w:pPr>
      <w:r>
        <w:rPr>
          <w:rFonts w:ascii="Times New Roman" w:cs="Times New Roman" w:eastAsia="Times New Roman" w:hAnsi="Times New Roman"/>
          <w:sz w:val="17"/>
          <w:szCs w:val="17"/>
          <w:b w:val="1"/>
          <w:bCs w:val="1"/>
          <w:color w:val="auto"/>
        </w:rPr>
        <w:t>1850 Towers Crescent Plaza</w:t>
      </w:r>
    </w:p>
    <w:p>
      <w:pPr>
        <w:spacing w:after="0" w:line="43" w:lineRule="exact"/>
        <w:rPr>
          <w:sz w:val="24"/>
          <w:szCs w:val="24"/>
          <w:color w:val="auto"/>
        </w:rPr>
      </w:pPr>
    </w:p>
    <w:p>
      <w:pPr>
        <w:jc w:val="center"/>
        <w:ind w:right="1860"/>
        <w:spacing w:after="0"/>
        <w:rPr>
          <w:sz w:val="20"/>
          <w:szCs w:val="20"/>
          <w:color w:val="auto"/>
        </w:rPr>
      </w:pPr>
      <w:r>
        <w:rPr>
          <w:rFonts w:ascii="Times New Roman" w:cs="Times New Roman" w:eastAsia="Times New Roman" w:hAnsi="Times New Roman"/>
          <w:sz w:val="18"/>
          <w:szCs w:val="18"/>
          <w:b w:val="1"/>
          <w:bCs w:val="1"/>
          <w:color w:val="auto"/>
        </w:rPr>
        <w:t>Tysons Corner, Virginia</w:t>
      </w:r>
    </w:p>
    <w:p>
      <w:pPr>
        <w:spacing w:after="0" w:line="20" w:lineRule="exact"/>
        <w:rPr>
          <w:sz w:val="24"/>
          <w:szCs w:val="24"/>
          <w:color w:val="auto"/>
        </w:rPr>
      </w:pPr>
      <w:r>
        <w:rPr>
          <w:sz w:val="24"/>
          <w:szCs w:val="24"/>
          <w:color w:val="auto"/>
        </w:rPr>
        <w:br w:type="column"/>
      </w:r>
    </w:p>
    <w:p>
      <w:pPr>
        <w:spacing w:after="0" w:line="209"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22182</w:t>
      </w:r>
    </w:p>
    <w:p>
      <w:pPr>
        <w:spacing w:after="0" w:line="43" w:lineRule="exact"/>
        <w:rPr>
          <w:sz w:val="24"/>
          <w:szCs w:val="24"/>
          <w:color w:val="auto"/>
        </w:rPr>
      </w:pPr>
    </w:p>
    <w:p>
      <w:pPr>
        <w:sectPr>
          <w:pgSz w:w="11900" w:h="16838" w:orient="portrait"/>
          <w:cols w:equalWidth="0" w:num="2">
            <w:col w:w="7400" w:space="720"/>
            <w:col w:w="2900"/>
          </w:cols>
          <w:pgMar w:left="440" w:top="443" w:right="439" w:bottom="1440" w:gutter="0" w:footer="0" w:header="0"/>
          <w:type w:val="continuous"/>
        </w:sectPr>
      </w:pPr>
    </w:p>
    <w:p>
      <w:pPr>
        <w:ind w:left="1580"/>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Times New Roman" w:cs="Times New Roman" w:eastAsia="Times New Roman" w:hAnsi="Times New Roman"/>
          <w:sz w:val="14"/>
          <w:szCs w:val="14"/>
          <w:b w:val="1"/>
          <w:bCs w:val="1"/>
          <w:color w:val="auto"/>
        </w:rPr>
        <w:t>(Zip Code)</w:t>
      </w:r>
    </w:p>
    <w:p>
      <w:pPr>
        <w:spacing w:after="0" w:line="127" w:lineRule="exact"/>
        <w:rPr>
          <w:sz w:val="24"/>
          <w:szCs w:val="24"/>
          <w:color w:val="auto"/>
        </w:rPr>
      </w:pPr>
    </w:p>
    <w:p>
      <w:pPr>
        <w:sectPr>
          <w:pgSz w:w="11900" w:h="16838" w:orient="portrait"/>
          <w:cols w:equalWidth="0" w:num="2">
            <w:col w:w="7280" w:space="720"/>
            <w:col w:w="3020"/>
          </w:cols>
          <w:pgMar w:left="440" w:top="443" w:right="439" w:bottom="1440" w:gutter="0" w:footer="0" w:header="0"/>
          <w:type w:val="continuous"/>
        </w:sectPr>
      </w:pPr>
    </w:p>
    <w:p>
      <w:pPr>
        <w:jc w:val="center"/>
        <w:spacing w:after="0"/>
        <w:rPr>
          <w:sz w:val="20"/>
          <w:szCs w:val="20"/>
          <w:color w:val="auto"/>
        </w:rPr>
      </w:pPr>
      <w:r>
        <w:rPr>
          <w:rFonts w:ascii="Times New Roman" w:cs="Times New Roman" w:eastAsia="Times New Roman" w:hAnsi="Times New Roman"/>
          <w:sz w:val="18"/>
          <w:szCs w:val="18"/>
          <w:b w:val="1"/>
          <w:bCs w:val="1"/>
          <w:color w:val="auto"/>
        </w:rPr>
        <w:t>Registrant’s telephone number, including area code: (703) 848-8600</w:t>
      </w:r>
    </w:p>
    <w:p>
      <w:pPr>
        <w:spacing w:after="0" w:line="371"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205105</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60" w:lineRule="exact"/>
        <w:rPr>
          <w:sz w:val="24"/>
          <w:szCs w:val="24"/>
          <w:color w:val="auto"/>
        </w:rPr>
      </w:pPr>
    </w:p>
    <w:p>
      <w:pPr>
        <w:ind w:right="48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 (</w:t>
      </w:r>
      <w:r>
        <w:rPr>
          <w:rFonts w:ascii="Times New Roman" w:cs="Times New Roman" w:eastAsia="Times New Roman" w:hAnsi="Times New Roman"/>
          <w:sz w:val="18"/>
          <w:szCs w:val="18"/>
          <w:u w:val="single" w:color="auto"/>
          <w:color w:val="auto"/>
        </w:rPr>
        <w:t>see</w:t>
      </w:r>
      <w:r>
        <w:rPr>
          <w:rFonts w:ascii="Times New Roman" w:cs="Times New Roman" w:eastAsia="Times New Roman" w:hAnsi="Times New Roman"/>
          <w:sz w:val="18"/>
          <w:szCs w:val="18"/>
          <w:color w:val="auto"/>
        </w:rPr>
        <w:t xml:space="preserve"> General Instruction A.2. below):</w:t>
      </w:r>
    </w:p>
    <w:p>
      <w:pPr>
        <w:spacing w:after="0" w:line="67"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right="2020" w:firstLine="428"/>
        <w:spacing w:after="0" w:line="458" w:lineRule="auto"/>
        <w:tabs>
          <w:tab w:leader="none" w:pos="972"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 Securities registered pursuant to Section 12(b) of the Act:</w:t>
      </w:r>
    </w:p>
    <w:tbl>
      <w:tblPr>
        <w:tblLayout w:type="fixed"/>
        <w:tblInd w:w="0" w:type="dxa"/>
        <w:tblCellMar>
          <w:top w:w="0" w:type="dxa"/>
          <w:left w:w="0" w:type="dxa"/>
          <w:bottom w:w="0" w:type="dxa"/>
          <w:right w:w="0" w:type="dxa"/>
        </w:tblCellMar>
      </w:tblPr>
      <w:tr>
        <w:trPr>
          <w:trHeight w:val="149"/>
        </w:trPr>
        <w:tc>
          <w:tcPr>
            <w:tcW w:w="386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ind w:left="1520"/>
              <w:spacing w:after="0" w:line="149" w:lineRule="exact"/>
              <w:rPr>
                <w:sz w:val="20"/>
                <w:szCs w:val="20"/>
                <w:color w:val="auto"/>
              </w:rPr>
            </w:pPr>
            <w:r>
              <w:rPr>
                <w:rFonts w:ascii="Times New Roman" w:cs="Times New Roman" w:eastAsia="Times New Roman" w:hAnsi="Times New Roman"/>
                <w:sz w:val="14"/>
                <w:szCs w:val="14"/>
                <w:b w:val="1"/>
                <w:bCs w:val="1"/>
                <w:color w:val="auto"/>
              </w:rPr>
              <w:t>Trading</w:t>
            </w:r>
          </w:p>
        </w:tc>
        <w:tc>
          <w:tcPr>
            <w:tcW w:w="354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ind w:left="1520"/>
              <w:spacing w:after="0"/>
              <w:rPr>
                <w:sz w:val="20"/>
                <w:szCs w:val="20"/>
                <w:color w:val="auto"/>
              </w:rPr>
            </w:pPr>
            <w:r>
              <w:rPr>
                <w:rFonts w:ascii="Times New Roman" w:cs="Times New Roman" w:eastAsia="Times New Roman" w:hAnsi="Times New Roman"/>
                <w:sz w:val="14"/>
                <w:szCs w:val="14"/>
                <w:b w:val="1"/>
                <w:bCs w:val="1"/>
                <w:color w:val="auto"/>
              </w:rPr>
              <w:t>Symbol</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Class A common stock, par value $0.001 per share</w:t>
            </w:r>
          </w:p>
        </w:tc>
        <w:tc>
          <w:tcPr>
            <w:tcW w:w="120" w:type="dxa"/>
            <w:vAlign w:val="bottom"/>
          </w:tcPr>
          <w:p>
            <w:pPr>
              <w:spacing w:after="0"/>
              <w:rPr>
                <w:sz w:val="19"/>
                <w:szCs w:val="19"/>
                <w:color w:val="auto"/>
              </w:rPr>
            </w:pPr>
          </w:p>
        </w:tc>
        <w:tc>
          <w:tcPr>
            <w:tcW w:w="3520" w:type="dxa"/>
            <w:vAlign w:val="bottom"/>
            <w:tcBorders>
              <w:top w:val="single" w:sz="8" w:color="auto"/>
            </w:tcBorders>
          </w:tcPr>
          <w:p>
            <w:pPr>
              <w:ind w:left="1520"/>
              <w:spacing w:after="0"/>
              <w:rPr>
                <w:sz w:val="20"/>
                <w:szCs w:val="20"/>
                <w:color w:val="auto"/>
              </w:rPr>
            </w:pPr>
            <w:r>
              <w:rPr>
                <w:rFonts w:ascii="Times New Roman" w:cs="Times New Roman" w:eastAsia="Times New Roman" w:hAnsi="Times New Roman"/>
                <w:sz w:val="18"/>
                <w:szCs w:val="18"/>
                <w:color w:val="auto"/>
              </w:rPr>
              <w:t>MSTR</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The Nasdaq Global Select Market</w:t>
            </w:r>
          </w:p>
        </w:tc>
        <w:tc>
          <w:tcPr>
            <w:tcW w:w="0" w:type="dxa"/>
            <w:vAlign w:val="bottom"/>
          </w:tcPr>
          <w:p>
            <w:pPr>
              <w:spacing w:after="0"/>
              <w:rPr>
                <w:sz w:val="1"/>
                <w:szCs w:val="1"/>
                <w:color w:val="auto"/>
              </w:rPr>
            </w:pPr>
          </w:p>
        </w:tc>
      </w:tr>
    </w:tbl>
    <w:p>
      <w:pPr>
        <w:spacing w:after="0" w:line="125" w:lineRule="exact"/>
        <w:rPr>
          <w:sz w:val="24"/>
          <w:szCs w:val="24"/>
          <w:color w:val="auto"/>
        </w:rPr>
      </w:pPr>
    </w:p>
    <w:p>
      <w:pPr>
        <w:ind w:right="300"/>
        <w:spacing w:after="0" w:line="282" w:lineRule="auto"/>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67" w:lineRule="exact"/>
        <w:rPr>
          <w:sz w:val="24"/>
          <w:szCs w:val="24"/>
          <w:color w:val="auto"/>
        </w:rPr>
      </w:pPr>
    </w:p>
    <w:p>
      <w:pPr>
        <w:spacing w:after="0" w:line="207" w:lineRule="exact"/>
        <w:rPr>
          <w:sz w:val="20"/>
          <w:szCs w:val="20"/>
          <w:color w:val="auto"/>
        </w:rPr>
      </w:pPr>
      <w:r>
        <w:rPr>
          <w:rFonts w:ascii="Times New Roman" w:cs="Times New Roman" w:eastAsia="Times New Roman" w:hAnsi="Times New Roman"/>
          <w:sz w:val="18"/>
          <w:szCs w:val="18"/>
          <w:color w:val="auto"/>
        </w:rPr>
        <w:t xml:space="preserve">Emerging growth company  </w:t>
      </w:r>
      <w:r>
        <w:rPr>
          <w:rFonts w:ascii="MS PGothic" w:cs="MS PGothic" w:eastAsia="MS PGothic" w:hAnsi="MS PGothic"/>
          <w:sz w:val="18"/>
          <w:szCs w:val="18"/>
          <w:color w:val="auto"/>
        </w:rPr>
        <w:t>☐</w:t>
      </w:r>
    </w:p>
    <w:p>
      <w:pPr>
        <w:spacing w:after="0" w:line="212" w:lineRule="exact"/>
        <w:rPr>
          <w:sz w:val="24"/>
          <w:szCs w:val="24"/>
          <w:color w:val="auto"/>
        </w:rPr>
      </w:pPr>
    </w:p>
    <w:p>
      <w:pPr>
        <w:ind w:right="300"/>
        <w:spacing w:after="0" w:line="239"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137160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179705</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443"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8.01.</w:t>
      </w:r>
      <w:r>
        <w:rPr>
          <w:sz w:val="20"/>
          <w:szCs w:val="20"/>
          <w:color w:val="auto"/>
        </w:rPr>
        <w:tab/>
      </w:r>
      <w:r>
        <w:rPr>
          <w:rFonts w:ascii="Times New Roman" w:cs="Times New Roman" w:eastAsia="Times New Roman" w:hAnsi="Times New Roman"/>
          <w:sz w:val="18"/>
          <w:szCs w:val="18"/>
          <w:b w:val="1"/>
          <w:bCs w:val="1"/>
          <w:color w:val="auto"/>
        </w:rPr>
        <w:t>Other Events.</w:t>
      </w:r>
    </w:p>
    <w:p>
      <w:pPr>
        <w:spacing w:after="0" w:line="11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ATM Update</w:t>
      </w:r>
    </w:p>
    <w:p>
      <w:pPr>
        <w:spacing w:after="0" w:line="119" w:lineRule="exact"/>
        <w:rPr>
          <w:sz w:val="20"/>
          <w:szCs w:val="20"/>
          <w:color w:val="auto"/>
        </w:rPr>
      </w:pPr>
    </w:p>
    <w:p>
      <w:pPr>
        <w:ind w:right="40"/>
        <w:spacing w:after="0" w:line="258" w:lineRule="auto"/>
        <w:rPr>
          <w:sz w:val="20"/>
          <w:szCs w:val="20"/>
          <w:color w:val="auto"/>
        </w:rPr>
      </w:pPr>
      <w:r>
        <w:rPr>
          <w:rFonts w:ascii="Times New Roman" w:cs="Times New Roman" w:eastAsia="Times New Roman" w:hAnsi="Times New Roman"/>
          <w:sz w:val="18"/>
          <w:szCs w:val="18"/>
          <w:color w:val="auto"/>
        </w:rPr>
        <w:t>As previously disclosed, on October 30, 2024, MicroStrategy Incorporated (“MicroStrategy” or the “Company”) entered into a Sales Agreement (the “Sales Agreement”) with TD Securities (USA) LLC, Barclays Capital Inc., The Benchmark Company, LLC, BTIG, LLC, Canaccord Genuity LLC, Cantor Fitzgerald &amp; Co., Maxim Group LLC, Mizuho Securities USA LLC, and SG Americas Securities, LLC, as agents (the “Sales Agents”), pursuant to which the Company may issue and sell shares of its class A common stock, par value $0.001 per share (“Shares”), having an aggregate offering price of up to $21 billion from time to time through the Sales Agents.</w:t>
      </w:r>
    </w:p>
    <w:p>
      <w:pPr>
        <w:spacing w:after="0" w:line="183" w:lineRule="exact"/>
        <w:rPr>
          <w:sz w:val="20"/>
          <w:szCs w:val="20"/>
          <w:color w:val="auto"/>
        </w:rPr>
      </w:pPr>
    </w:p>
    <w:p>
      <w:pPr>
        <w:ind w:right="20"/>
        <w:spacing w:after="0" w:line="261" w:lineRule="auto"/>
        <w:rPr>
          <w:sz w:val="20"/>
          <w:szCs w:val="20"/>
          <w:color w:val="auto"/>
        </w:rPr>
      </w:pPr>
      <w:r>
        <w:rPr>
          <w:rFonts w:ascii="Times New Roman" w:cs="Times New Roman" w:eastAsia="Times New Roman" w:hAnsi="Times New Roman"/>
          <w:sz w:val="18"/>
          <w:szCs w:val="18"/>
          <w:color w:val="auto"/>
        </w:rPr>
        <w:t>On December 30, 2024, the Company announced that, during the period between December 23, 2024 and December 29, 2024, the Company had sold an aggregate of 592,987 Shares under the Sales Agreement for aggregate net proceeds to the Company (less sales commissions) of approximately</w:t>
      </w:r>
    </w:p>
    <w:p>
      <w:pPr>
        <w:ind w:right="840"/>
        <w:spacing w:after="0" w:line="260" w:lineRule="auto"/>
        <w:rPr>
          <w:sz w:val="20"/>
          <w:szCs w:val="20"/>
          <w:color w:val="auto"/>
        </w:rPr>
      </w:pPr>
      <w:r>
        <w:rPr>
          <w:rFonts w:ascii="Times New Roman" w:cs="Times New Roman" w:eastAsia="Times New Roman" w:hAnsi="Times New Roman"/>
          <w:sz w:val="18"/>
          <w:szCs w:val="18"/>
          <w:color w:val="auto"/>
        </w:rPr>
        <w:t>$209 million. As of December 29, 2024, approximately $6.88 billion of Shares remained available for issuance and sale pursuant to the Sales Agreement.</w:t>
      </w:r>
    </w:p>
    <w:p>
      <w:pPr>
        <w:spacing w:after="0" w:line="28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Bitcoin Holdings Update</w:t>
      </w:r>
    </w:p>
    <w:p>
      <w:pPr>
        <w:spacing w:after="0" w:line="119" w:lineRule="exact"/>
        <w:rPr>
          <w:sz w:val="20"/>
          <w:szCs w:val="20"/>
          <w:color w:val="auto"/>
        </w:rPr>
      </w:pPr>
    </w:p>
    <w:p>
      <w:pPr>
        <w:jc w:val="both"/>
        <w:ind w:right="220"/>
        <w:spacing w:after="0" w:line="266" w:lineRule="auto"/>
        <w:rPr>
          <w:sz w:val="20"/>
          <w:szCs w:val="20"/>
          <w:color w:val="auto"/>
        </w:rPr>
      </w:pPr>
      <w:r>
        <w:rPr>
          <w:rFonts w:ascii="Times New Roman" w:cs="Times New Roman" w:eastAsia="Times New Roman" w:hAnsi="Times New Roman"/>
          <w:sz w:val="18"/>
          <w:szCs w:val="18"/>
          <w:color w:val="auto"/>
        </w:rPr>
        <w:t>On December 30, 2024, the Company announced that, during the period between December 23, 2024 and December 29, 2024, the Company acquired approximately 2,138 bitcoins for approximately $209 million in cash, at an average price of approximately $97,837 per bitcoin, inclusive of fees and expenses. The bitcoin purchases were made using proceeds from the issuance and sale of Shares under the Sales Agreement.</w:t>
      </w:r>
    </w:p>
    <w:p>
      <w:pPr>
        <w:spacing w:after="0" w:line="176" w:lineRule="exact"/>
        <w:rPr>
          <w:sz w:val="20"/>
          <w:szCs w:val="20"/>
          <w:color w:val="auto"/>
        </w:rPr>
      </w:pPr>
    </w:p>
    <w:p>
      <w:pPr>
        <w:ind w:right="100"/>
        <w:spacing w:after="0" w:line="266" w:lineRule="auto"/>
        <w:rPr>
          <w:sz w:val="20"/>
          <w:szCs w:val="20"/>
          <w:color w:val="auto"/>
        </w:rPr>
      </w:pPr>
      <w:r>
        <w:rPr>
          <w:rFonts w:ascii="Times New Roman" w:cs="Times New Roman" w:eastAsia="Times New Roman" w:hAnsi="Times New Roman"/>
          <w:sz w:val="18"/>
          <w:szCs w:val="18"/>
          <w:color w:val="auto"/>
        </w:rPr>
        <w:t>As of December 29, 2024, the Company, together with its subsidiaries, held an aggregate of approximately 446,400 bitcoins, which were acquired at an aggregate purchase price of approximately $27.9 billion and an average purchase price of approximately $62,428 per bitcoin, inclusive of fees and expenses.</w:t>
      </w:r>
    </w:p>
    <w:p>
      <w:pPr>
        <w:spacing w:after="0" w:line="320" w:lineRule="exact"/>
        <w:rPr>
          <w:sz w:val="20"/>
          <w:szCs w:val="20"/>
          <w:color w:val="auto"/>
        </w:rPr>
      </w:pPr>
    </w:p>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t>Item 7.01</w:t>
      </w:r>
      <w:r>
        <w:rPr>
          <w:sz w:val="20"/>
          <w:szCs w:val="20"/>
          <w:color w:val="auto"/>
        </w:rPr>
        <w:tab/>
      </w:r>
      <w:r>
        <w:rPr>
          <w:rFonts w:ascii="Times New Roman" w:cs="Times New Roman" w:eastAsia="Times New Roman" w:hAnsi="Times New Roman"/>
          <w:sz w:val="18"/>
          <w:szCs w:val="18"/>
          <w:b w:val="1"/>
          <w:bCs w:val="1"/>
          <w:color w:val="auto"/>
        </w:rPr>
        <w:t>Regulation FD Disclosure.</w:t>
      </w:r>
    </w:p>
    <w:p>
      <w:pPr>
        <w:spacing w:after="0" w:line="11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BTC Yield KPI</w:t>
      </w:r>
    </w:p>
    <w:p>
      <w:pPr>
        <w:spacing w:after="0" w:line="119" w:lineRule="exact"/>
        <w:rPr>
          <w:sz w:val="20"/>
          <w:szCs w:val="20"/>
          <w:color w:val="auto"/>
        </w:rPr>
      </w:pPr>
    </w:p>
    <w:p>
      <w:pPr>
        <w:ind w:right="40"/>
        <w:spacing w:after="0" w:line="282" w:lineRule="auto"/>
        <w:rPr>
          <w:sz w:val="20"/>
          <w:szCs w:val="20"/>
          <w:color w:val="auto"/>
        </w:rPr>
      </w:pPr>
      <w:r>
        <w:rPr>
          <w:rFonts w:ascii="Times New Roman" w:cs="Times New Roman" w:eastAsia="Times New Roman" w:hAnsi="Times New Roman"/>
          <w:sz w:val="18"/>
          <w:szCs w:val="18"/>
          <w:color w:val="auto"/>
        </w:rPr>
        <w:t>From October 1, 2024 to December 29, 2024, the Company’s BTC Yield was 47.8%. From January 1, 2024 to December 29, 2024, the Company’s BTC Yield was 74.1%.</w:t>
      </w:r>
    </w:p>
    <w:p>
      <w:pPr>
        <w:spacing w:after="0" w:line="162"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BTC Yield is a key performance indicator (“KPI”) that represents the percentage change period-to-period of the ratio between the Company’s bitcoin holdings and its Assumed Diluted Shares Outstanding. Assumed Diluted Shares Outstanding refers to the aggregate of the Company’s actual shares of common stock outstanding as of the end of the applicable period plus all additional shares that would result from the assumed conversion of all outstanding convertible notes, exercise of all outstanding stock option awards, and settlement of all outstanding restricted stock units and performance stock units. The Company uses BTC Yield as a KPI to help assess the performance of its strategy of acquiring bitcoin in a manner the Company believes is accretive to shareholders. The Company believes this KPI can be used to supplement an investor’s understanding of the Company’s decision to fund the purchase of bitcoin by issuing additional shares of its common stock or instruments convertible to common stock.</w:t>
      </w:r>
    </w:p>
    <w:p>
      <w:pPr>
        <w:sectPr>
          <w:pgSz w:w="11900" w:h="16838" w:orient="portrait"/>
          <w:cols w:equalWidth="0" w:num="1">
            <w:col w:w="11000"/>
          </w:cols>
          <w:pgMar w:left="440" w:top="293" w:right="459" w:bottom="1440" w:gutter="0" w:footer="0" w:header="0"/>
        </w:sectPr>
      </w:pPr>
    </w:p>
    <w:bookmarkStart w:id="2" w:name="page3"/>
    <w:bookmarkEnd w:id="2"/>
    <w:p>
      <w:pPr>
        <w:ind w:left="4"/>
        <w:spacing w:after="0"/>
        <w:rPr>
          <w:sz w:val="20"/>
          <w:szCs w:val="20"/>
          <w:color w:val="auto"/>
        </w:rPr>
      </w:pPr>
      <w:r>
        <w:rPr>
          <w:rFonts w:ascii="Times New Roman" w:cs="Times New Roman" w:eastAsia="Times New Roman" w:hAnsi="Times New Roman"/>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BTC Yield and Basic and Assumed Diluted Shares Outstanding</w:t>
      </w:r>
    </w:p>
    <w:p>
      <w:pPr>
        <w:spacing w:after="0" w:line="248" w:lineRule="exact"/>
        <w:rPr>
          <w:sz w:val="20"/>
          <w:szCs w:val="20"/>
          <w:color w:val="auto"/>
        </w:rPr>
      </w:pPr>
    </w:p>
    <w:tbl>
      <w:tblPr>
        <w:tblLayout w:type="fixed"/>
        <w:tblInd w:w="884" w:type="dxa"/>
        <w:tblCellMar>
          <w:top w:w="0" w:type="dxa"/>
          <w:left w:w="0" w:type="dxa"/>
          <w:bottom w:w="0" w:type="dxa"/>
          <w:right w:w="0" w:type="dxa"/>
        </w:tblCellMar>
      </w:tblPr>
      <w:tr>
        <w:trPr>
          <w:trHeight w:val="173"/>
        </w:trPr>
        <w:tc>
          <w:tcPr>
            <w:tcW w:w="740" w:type="dxa"/>
            <w:vAlign w:val="bottom"/>
          </w:tcPr>
          <w:p>
            <w:pPr>
              <w:spacing w:after="0"/>
              <w:rPr>
                <w:sz w:val="15"/>
                <w:szCs w:val="15"/>
                <w:color w:val="auto"/>
              </w:rPr>
            </w:pPr>
          </w:p>
        </w:tc>
        <w:tc>
          <w:tcPr>
            <w:tcW w:w="4200" w:type="dxa"/>
            <w:vAlign w:val="bottom"/>
          </w:tcPr>
          <w:p>
            <w:pPr>
              <w:spacing w:after="0"/>
              <w:rPr>
                <w:sz w:val="15"/>
                <w:szCs w:val="15"/>
                <w:color w:val="auto"/>
              </w:rPr>
            </w:pPr>
          </w:p>
        </w:tc>
        <w:tc>
          <w:tcPr>
            <w:tcW w:w="216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12/31/2023</w:t>
            </w:r>
          </w:p>
        </w:tc>
        <w:tc>
          <w:tcPr>
            <w:tcW w:w="96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9/30/2024</w:t>
            </w:r>
          </w:p>
        </w:tc>
        <w:tc>
          <w:tcPr>
            <w:tcW w:w="100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12/29/2024</w:t>
            </w:r>
          </w:p>
        </w:tc>
        <w:tc>
          <w:tcPr>
            <w:tcW w:w="200" w:type="dxa"/>
            <w:vAlign w:val="bottom"/>
          </w:tcPr>
          <w:p>
            <w:pPr>
              <w:spacing w:after="0"/>
              <w:rPr>
                <w:sz w:val="15"/>
                <w:szCs w:val="15"/>
                <w:color w:val="auto"/>
              </w:rPr>
            </w:pPr>
          </w:p>
        </w:tc>
      </w:tr>
      <w:tr>
        <w:trPr>
          <w:trHeight w:val="209"/>
        </w:trPr>
        <w:tc>
          <w:tcPr>
            <w:tcW w:w="4940" w:type="dxa"/>
            <w:vAlign w:val="bottom"/>
            <w:tcBorders>
              <w:top w:val="single" w:sz="8" w:color="CCEEFF"/>
            </w:tcBorders>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Bitcoin Holdings</w:t>
            </w:r>
          </w:p>
        </w:tc>
        <w:tc>
          <w:tcPr>
            <w:tcW w:w="150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189,150</w:t>
            </w:r>
          </w:p>
        </w:tc>
        <w:tc>
          <w:tcPr>
            <w:tcW w:w="32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252,220</w:t>
            </w:r>
          </w:p>
        </w:tc>
        <w:tc>
          <w:tcPr>
            <w:tcW w:w="34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446,400</w:t>
            </w:r>
          </w:p>
        </w:tc>
        <w:tc>
          <w:tcPr>
            <w:tcW w:w="200" w:type="dxa"/>
            <w:vAlign w:val="bottom"/>
            <w:tcBorders>
              <w:top w:val="single" w:sz="8" w:color="CCEEFF"/>
            </w:tcBorders>
            <w:shd w:val="clear" w:color="auto" w:fill="CCEEFF"/>
          </w:tcPr>
          <w:p>
            <w:pPr>
              <w:spacing w:after="0"/>
              <w:rPr>
                <w:sz w:val="18"/>
                <w:szCs w:val="18"/>
                <w:color w:val="auto"/>
              </w:rPr>
            </w:pPr>
          </w:p>
        </w:tc>
      </w:tr>
      <w:tr>
        <w:trPr>
          <w:trHeight w:val="216"/>
        </w:trPr>
        <w:tc>
          <w:tcPr>
            <w:tcW w:w="4940" w:type="dxa"/>
            <w:vAlign w:val="bottom"/>
            <w:gridSpan w:val="2"/>
          </w:tcPr>
          <w:p>
            <w:pPr>
              <w:spacing w:after="0" w:line="216" w:lineRule="exact"/>
              <w:rPr>
                <w:sz w:val="20"/>
                <w:szCs w:val="20"/>
                <w:color w:val="auto"/>
              </w:rPr>
            </w:pPr>
            <w:r>
              <w:rPr>
                <w:rFonts w:ascii="Times New Roman" w:cs="Times New Roman" w:eastAsia="Times New Roman" w:hAnsi="Times New Roman"/>
                <w:sz w:val="17"/>
                <w:szCs w:val="17"/>
                <w:b w:val="1"/>
                <w:bCs w:val="1"/>
                <w:color w:val="auto"/>
              </w:rPr>
              <w:t xml:space="preserve">Shares Outstanding (in ‘000s) </w:t>
            </w:r>
            <w:r>
              <w:rPr>
                <w:rFonts w:ascii="Times New Roman" w:cs="Times New Roman" w:eastAsia="Times New Roman" w:hAnsi="Times New Roman"/>
                <w:sz w:val="25"/>
                <w:szCs w:val="25"/>
                <w:b w:val="1"/>
                <w:bCs w:val="1"/>
                <w:color w:val="auto"/>
                <w:vertAlign w:val="superscript"/>
              </w:rPr>
              <w:t>(1)</w:t>
            </w:r>
          </w:p>
        </w:tc>
        <w:tc>
          <w:tcPr>
            <w:tcW w:w="15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4940" w:type="dxa"/>
            <w:vAlign w:val="bottom"/>
            <w:gridSpan w:val="2"/>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Class A</w:t>
            </w:r>
          </w:p>
        </w:tc>
        <w:tc>
          <w:tcPr>
            <w:tcW w:w="21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149,041</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182,995</w:t>
            </w:r>
          </w:p>
        </w:tc>
        <w:tc>
          <w:tcPr>
            <w:tcW w:w="10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225,819</w:t>
            </w:r>
          </w:p>
        </w:tc>
        <w:tc>
          <w:tcPr>
            <w:tcW w:w="200" w:type="dxa"/>
            <w:vAlign w:val="bottom"/>
            <w:shd w:val="clear" w:color="auto" w:fill="CCEEFF"/>
          </w:tcPr>
          <w:p>
            <w:pPr>
              <w:spacing w:after="0"/>
              <w:rPr>
                <w:sz w:val="18"/>
                <w:szCs w:val="18"/>
                <w:color w:val="auto"/>
              </w:rPr>
            </w:pPr>
          </w:p>
        </w:tc>
      </w:tr>
      <w:tr>
        <w:trPr>
          <w:trHeight w:val="223"/>
        </w:trPr>
        <w:tc>
          <w:tcPr>
            <w:tcW w:w="49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Class B</w:t>
            </w:r>
          </w:p>
        </w:tc>
        <w:tc>
          <w:tcPr>
            <w:tcW w:w="150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19,640</w:t>
            </w:r>
          </w:p>
        </w:tc>
        <w:tc>
          <w:tcPr>
            <w:tcW w:w="320" w:type="dxa"/>
            <w:vAlign w:val="bottom"/>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19,640</w:t>
            </w:r>
          </w:p>
        </w:tc>
        <w:tc>
          <w:tcPr>
            <w:tcW w:w="34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19,640</w:t>
            </w:r>
          </w:p>
        </w:tc>
        <w:tc>
          <w:tcPr>
            <w:tcW w:w="200" w:type="dxa"/>
            <w:vAlign w:val="bottom"/>
          </w:tcPr>
          <w:p>
            <w:pPr>
              <w:spacing w:after="0"/>
              <w:rPr>
                <w:sz w:val="19"/>
                <w:szCs w:val="19"/>
                <w:color w:val="auto"/>
              </w:rPr>
            </w:pPr>
          </w:p>
        </w:tc>
      </w:tr>
      <w:tr>
        <w:trPr>
          <w:trHeight w:val="216"/>
        </w:trPr>
        <w:tc>
          <w:tcPr>
            <w:tcW w:w="4940" w:type="dxa"/>
            <w:vAlign w:val="bottom"/>
            <w:gridSpan w:val="2"/>
            <w:shd w:val="clear" w:color="auto" w:fill="CCEEFF"/>
          </w:tcPr>
          <w:p>
            <w:pPr>
              <w:ind w:left="360"/>
              <w:spacing w:after="0" w:line="216" w:lineRule="exact"/>
              <w:rPr>
                <w:sz w:val="20"/>
                <w:szCs w:val="20"/>
                <w:color w:val="auto"/>
              </w:rPr>
            </w:pPr>
            <w:r>
              <w:rPr>
                <w:rFonts w:ascii="Times New Roman" w:cs="Times New Roman" w:eastAsia="Times New Roman" w:hAnsi="Times New Roman"/>
                <w:sz w:val="17"/>
                <w:szCs w:val="17"/>
                <w:b w:val="1"/>
                <w:bCs w:val="1"/>
                <w:color w:val="auto"/>
              </w:rPr>
              <w:t xml:space="preserve">Basic Shares Outstanding </w:t>
            </w:r>
            <w:r>
              <w:rPr>
                <w:rFonts w:ascii="Times New Roman" w:cs="Times New Roman" w:eastAsia="Times New Roman" w:hAnsi="Times New Roman"/>
                <w:sz w:val="25"/>
                <w:szCs w:val="25"/>
                <w:b w:val="1"/>
                <w:bCs w:val="1"/>
                <w:color w:val="auto"/>
                <w:vertAlign w:val="superscript"/>
              </w:rPr>
              <w:t>(2)</w:t>
            </w:r>
          </w:p>
        </w:tc>
        <w:tc>
          <w:tcPr>
            <w:tcW w:w="21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168,681</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202,635</w:t>
            </w:r>
          </w:p>
        </w:tc>
        <w:tc>
          <w:tcPr>
            <w:tcW w:w="10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245,459</w:t>
            </w:r>
          </w:p>
        </w:tc>
        <w:tc>
          <w:tcPr>
            <w:tcW w:w="200" w:type="dxa"/>
            <w:vAlign w:val="bottom"/>
            <w:shd w:val="clear" w:color="auto" w:fill="CCEEFF"/>
          </w:tcPr>
          <w:p>
            <w:pPr>
              <w:spacing w:after="0"/>
              <w:rPr>
                <w:sz w:val="18"/>
                <w:szCs w:val="18"/>
                <w:color w:val="auto"/>
              </w:rPr>
            </w:pP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2025</w:t>
            </w:r>
          </w:p>
        </w:tc>
        <w:tc>
          <w:tcPr>
            <w:tcW w:w="420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@$39.80</w:t>
            </w:r>
          </w:p>
        </w:tc>
        <w:tc>
          <w:tcPr>
            <w:tcW w:w="21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16,330</w:t>
            </w:r>
          </w:p>
        </w:tc>
        <w:tc>
          <w:tcPr>
            <w:tcW w:w="320" w:type="dxa"/>
            <w:vAlign w:val="bottom"/>
          </w:tcPr>
          <w:p>
            <w:pPr>
              <w:spacing w:after="0"/>
              <w:rPr>
                <w:sz w:val="18"/>
                <w:szCs w:val="18"/>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340" w:type="dxa"/>
            <w:vAlign w:val="bottom"/>
          </w:tcPr>
          <w:p>
            <w:pPr>
              <w:spacing w:after="0"/>
              <w:rPr>
                <w:sz w:val="18"/>
                <w:szCs w:val="18"/>
                <w:color w:val="auto"/>
              </w:rPr>
            </w:pPr>
          </w:p>
        </w:tc>
        <w:tc>
          <w:tcPr>
            <w:tcW w:w="86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— </w:t>
            </w: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2027</w:t>
            </w:r>
          </w:p>
        </w:tc>
        <w:tc>
          <w:tcPr>
            <w:tcW w:w="420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@$143.25</w:t>
            </w:r>
          </w:p>
        </w:tc>
        <w:tc>
          <w:tcPr>
            <w:tcW w:w="21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7,330</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7,330</w:t>
            </w:r>
          </w:p>
        </w:tc>
        <w:tc>
          <w:tcPr>
            <w:tcW w:w="10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7,330</w:t>
            </w:r>
          </w:p>
        </w:tc>
        <w:tc>
          <w:tcPr>
            <w:tcW w:w="200" w:type="dxa"/>
            <w:vAlign w:val="bottom"/>
            <w:shd w:val="clear" w:color="auto" w:fill="CCEEFF"/>
          </w:tcPr>
          <w:p>
            <w:pPr>
              <w:spacing w:after="0"/>
              <w:rPr>
                <w:sz w:val="18"/>
                <w:szCs w:val="18"/>
                <w:color w:val="auto"/>
              </w:rPr>
            </w:pP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2028</w:t>
            </w:r>
          </w:p>
        </w:tc>
        <w:tc>
          <w:tcPr>
            <w:tcW w:w="420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@$183.19</w:t>
            </w:r>
          </w:p>
        </w:tc>
        <w:tc>
          <w:tcPr>
            <w:tcW w:w="150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5,513</w:t>
            </w:r>
          </w:p>
        </w:tc>
        <w:tc>
          <w:tcPr>
            <w:tcW w:w="10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5,513</w:t>
            </w:r>
          </w:p>
        </w:tc>
        <w:tc>
          <w:tcPr>
            <w:tcW w:w="200" w:type="dxa"/>
            <w:vAlign w:val="bottom"/>
          </w:tcPr>
          <w:p>
            <w:pPr>
              <w:spacing w:after="0"/>
              <w:rPr>
                <w:sz w:val="18"/>
                <w:szCs w:val="18"/>
                <w:color w:val="auto"/>
              </w:rPr>
            </w:pP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2029</w:t>
            </w:r>
          </w:p>
        </w:tc>
        <w:tc>
          <w:tcPr>
            <w:tcW w:w="420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@$672.40</w:t>
            </w:r>
          </w:p>
        </w:tc>
        <w:tc>
          <w:tcPr>
            <w:tcW w:w="150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3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10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4,462</w:t>
            </w:r>
          </w:p>
        </w:tc>
        <w:tc>
          <w:tcPr>
            <w:tcW w:w="200" w:type="dxa"/>
            <w:vAlign w:val="bottom"/>
            <w:shd w:val="clear" w:color="auto" w:fill="CCEEFF"/>
          </w:tcPr>
          <w:p>
            <w:pPr>
              <w:spacing w:after="0"/>
              <w:rPr>
                <w:sz w:val="18"/>
                <w:szCs w:val="18"/>
                <w:color w:val="auto"/>
              </w:rPr>
            </w:pP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2030</w:t>
            </w:r>
          </w:p>
        </w:tc>
        <w:tc>
          <w:tcPr>
            <w:tcW w:w="420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@$149.77</w:t>
            </w:r>
          </w:p>
        </w:tc>
        <w:tc>
          <w:tcPr>
            <w:tcW w:w="150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5,342</w:t>
            </w:r>
          </w:p>
        </w:tc>
        <w:tc>
          <w:tcPr>
            <w:tcW w:w="10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5,342</w:t>
            </w:r>
          </w:p>
        </w:tc>
        <w:tc>
          <w:tcPr>
            <w:tcW w:w="200" w:type="dxa"/>
            <w:vAlign w:val="bottom"/>
          </w:tcPr>
          <w:p>
            <w:pPr>
              <w:spacing w:after="0"/>
              <w:rPr>
                <w:sz w:val="18"/>
                <w:szCs w:val="18"/>
                <w:color w:val="auto"/>
              </w:rPr>
            </w:pP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2031</w:t>
            </w:r>
          </w:p>
        </w:tc>
        <w:tc>
          <w:tcPr>
            <w:tcW w:w="420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@$232.72</w:t>
            </w:r>
          </w:p>
        </w:tc>
        <w:tc>
          <w:tcPr>
            <w:tcW w:w="150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2,594</w:t>
            </w:r>
          </w:p>
        </w:tc>
        <w:tc>
          <w:tcPr>
            <w:tcW w:w="10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2,594</w:t>
            </w:r>
          </w:p>
        </w:tc>
        <w:tc>
          <w:tcPr>
            <w:tcW w:w="200" w:type="dxa"/>
            <w:vAlign w:val="bottom"/>
            <w:shd w:val="clear" w:color="auto" w:fill="CCEEFF"/>
          </w:tcPr>
          <w:p>
            <w:pPr>
              <w:spacing w:after="0"/>
              <w:rPr>
                <w:sz w:val="18"/>
                <w:szCs w:val="18"/>
                <w:color w:val="auto"/>
              </w:rPr>
            </w:pP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2032</w:t>
            </w:r>
          </w:p>
        </w:tc>
        <w:tc>
          <w:tcPr>
            <w:tcW w:w="420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@$204.33</w:t>
            </w:r>
          </w:p>
        </w:tc>
        <w:tc>
          <w:tcPr>
            <w:tcW w:w="150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3,915</w:t>
            </w:r>
          </w:p>
        </w:tc>
        <w:tc>
          <w:tcPr>
            <w:tcW w:w="10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3,915</w:t>
            </w:r>
          </w:p>
        </w:tc>
        <w:tc>
          <w:tcPr>
            <w:tcW w:w="200" w:type="dxa"/>
            <w:vAlign w:val="bottom"/>
          </w:tcPr>
          <w:p>
            <w:pPr>
              <w:spacing w:after="0"/>
              <w:rPr>
                <w:sz w:val="18"/>
                <w:szCs w:val="18"/>
                <w:color w:val="auto"/>
              </w:rPr>
            </w:pPr>
          </w:p>
        </w:tc>
      </w:tr>
      <w:tr>
        <w:trPr>
          <w:trHeight w:val="216"/>
        </w:trPr>
        <w:tc>
          <w:tcPr>
            <w:tcW w:w="4940" w:type="dxa"/>
            <w:vAlign w:val="bottom"/>
            <w:gridSpan w:val="2"/>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Options Outstanding</w:t>
            </w:r>
          </w:p>
        </w:tc>
        <w:tc>
          <w:tcPr>
            <w:tcW w:w="21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12,936</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5,678</w:t>
            </w:r>
          </w:p>
        </w:tc>
        <w:tc>
          <w:tcPr>
            <w:tcW w:w="10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4,956</w:t>
            </w:r>
          </w:p>
        </w:tc>
        <w:tc>
          <w:tcPr>
            <w:tcW w:w="200" w:type="dxa"/>
            <w:vAlign w:val="bottom"/>
            <w:shd w:val="clear" w:color="auto" w:fill="CCEEFF"/>
          </w:tcPr>
          <w:p>
            <w:pPr>
              <w:spacing w:after="0"/>
              <w:rPr>
                <w:sz w:val="18"/>
                <w:szCs w:val="18"/>
                <w:color w:val="auto"/>
              </w:rPr>
            </w:pPr>
          </w:p>
        </w:tc>
      </w:tr>
      <w:tr>
        <w:trPr>
          <w:trHeight w:val="223"/>
        </w:trPr>
        <w:tc>
          <w:tcPr>
            <w:tcW w:w="49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RSU/PSU Unvested</w:t>
            </w:r>
          </w:p>
        </w:tc>
        <w:tc>
          <w:tcPr>
            <w:tcW w:w="150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2,359</w:t>
            </w:r>
          </w:p>
        </w:tc>
        <w:tc>
          <w:tcPr>
            <w:tcW w:w="320" w:type="dxa"/>
            <w:vAlign w:val="bottom"/>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2,034</w:t>
            </w:r>
          </w:p>
        </w:tc>
        <w:tc>
          <w:tcPr>
            <w:tcW w:w="34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1,847</w:t>
            </w:r>
          </w:p>
        </w:tc>
        <w:tc>
          <w:tcPr>
            <w:tcW w:w="200" w:type="dxa"/>
            <w:vAlign w:val="bottom"/>
          </w:tcPr>
          <w:p>
            <w:pPr>
              <w:spacing w:after="0"/>
              <w:rPr>
                <w:sz w:val="19"/>
                <w:szCs w:val="19"/>
                <w:color w:val="auto"/>
              </w:rPr>
            </w:pPr>
          </w:p>
        </w:tc>
      </w:tr>
      <w:tr>
        <w:trPr>
          <w:trHeight w:val="216"/>
        </w:trPr>
        <w:tc>
          <w:tcPr>
            <w:tcW w:w="4940" w:type="dxa"/>
            <w:vAlign w:val="bottom"/>
            <w:gridSpan w:val="2"/>
            <w:shd w:val="clear" w:color="auto" w:fill="CCEEFF"/>
          </w:tcPr>
          <w:p>
            <w:pPr>
              <w:ind w:left="360"/>
              <w:spacing w:after="0" w:line="216" w:lineRule="exact"/>
              <w:rPr>
                <w:sz w:val="20"/>
                <w:szCs w:val="20"/>
                <w:color w:val="auto"/>
              </w:rPr>
            </w:pPr>
            <w:r>
              <w:rPr>
                <w:rFonts w:ascii="Times New Roman" w:cs="Times New Roman" w:eastAsia="Times New Roman" w:hAnsi="Times New Roman"/>
                <w:sz w:val="17"/>
                <w:szCs w:val="17"/>
                <w:b w:val="1"/>
                <w:bCs w:val="1"/>
                <w:color w:val="auto"/>
              </w:rPr>
              <w:t xml:space="preserve">Assumed Diluted Shares Outstanding </w:t>
            </w:r>
            <w:r>
              <w:rPr>
                <w:rFonts w:ascii="Times New Roman" w:cs="Times New Roman" w:eastAsia="Times New Roman" w:hAnsi="Times New Roman"/>
                <w:sz w:val="25"/>
                <w:szCs w:val="25"/>
                <w:b w:val="1"/>
                <w:bCs w:val="1"/>
                <w:color w:val="auto"/>
                <w:vertAlign w:val="superscript"/>
              </w:rPr>
              <w:t>(3)</w:t>
            </w:r>
          </w:p>
        </w:tc>
        <w:tc>
          <w:tcPr>
            <w:tcW w:w="21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207,636</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235,042</w:t>
            </w:r>
          </w:p>
        </w:tc>
        <w:tc>
          <w:tcPr>
            <w:tcW w:w="10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281,418</w:t>
            </w:r>
          </w:p>
        </w:tc>
        <w:tc>
          <w:tcPr>
            <w:tcW w:w="200" w:type="dxa"/>
            <w:vAlign w:val="bottom"/>
            <w:shd w:val="clear" w:color="auto" w:fill="CCEEFF"/>
          </w:tcPr>
          <w:p>
            <w:pPr>
              <w:spacing w:after="0"/>
              <w:rPr>
                <w:sz w:val="18"/>
                <w:szCs w:val="18"/>
                <w:color w:val="auto"/>
              </w:rPr>
            </w:pPr>
          </w:p>
        </w:tc>
      </w:tr>
      <w:tr>
        <w:trPr>
          <w:trHeight w:val="216"/>
        </w:trPr>
        <w:tc>
          <w:tcPr>
            <w:tcW w:w="4940" w:type="dxa"/>
            <w:vAlign w:val="bottom"/>
            <w:gridSpan w:val="2"/>
          </w:tcPr>
          <w:p>
            <w:pPr>
              <w:spacing w:after="0"/>
              <w:rPr>
                <w:sz w:val="20"/>
                <w:szCs w:val="20"/>
                <w:color w:val="auto"/>
              </w:rPr>
            </w:pPr>
            <w:r>
              <w:rPr>
                <w:rFonts w:ascii="Times New Roman" w:cs="Times New Roman" w:eastAsia="Times New Roman" w:hAnsi="Times New Roman"/>
                <w:sz w:val="18"/>
                <w:szCs w:val="18"/>
                <w:b w:val="1"/>
                <w:bCs w:val="1"/>
                <w:color w:val="auto"/>
              </w:rPr>
              <w:t>BTC Yield % (Quarter to Date)</w:t>
            </w:r>
          </w:p>
        </w:tc>
        <w:tc>
          <w:tcPr>
            <w:tcW w:w="15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1200" w:type="dxa"/>
            <w:vAlign w:val="bottom"/>
            <w:gridSpan w:val="3"/>
          </w:tcPr>
          <w:p>
            <w:pPr>
              <w:jc w:val="right"/>
              <w:ind w:right="60"/>
              <w:spacing w:after="0"/>
              <w:rPr>
                <w:sz w:val="20"/>
                <w:szCs w:val="20"/>
                <w:color w:val="auto"/>
              </w:rPr>
            </w:pPr>
            <w:r>
              <w:rPr>
                <w:rFonts w:ascii="Times New Roman" w:cs="Times New Roman" w:eastAsia="Times New Roman" w:hAnsi="Times New Roman"/>
                <w:sz w:val="18"/>
                <w:szCs w:val="18"/>
                <w:color w:val="auto"/>
              </w:rPr>
              <w:t>47.8%</w:t>
            </w:r>
          </w:p>
        </w:tc>
      </w:tr>
      <w:tr>
        <w:trPr>
          <w:trHeight w:val="216"/>
        </w:trPr>
        <w:tc>
          <w:tcPr>
            <w:tcW w:w="494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BTC Yield % (Year to Date)</w:t>
            </w:r>
          </w:p>
        </w:tc>
        <w:tc>
          <w:tcPr>
            <w:tcW w:w="150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200" w:type="dxa"/>
            <w:vAlign w:val="bottom"/>
            <w:gridSpan w:val="3"/>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74.1%</w:t>
            </w:r>
          </w:p>
        </w:tc>
      </w:tr>
    </w:tbl>
    <w:p>
      <w:pPr>
        <w:spacing w:after="0" w:line="225" w:lineRule="exact"/>
        <w:rPr>
          <w:sz w:val="20"/>
          <w:szCs w:val="20"/>
          <w:color w:val="auto"/>
        </w:rPr>
      </w:pPr>
    </w:p>
    <w:p>
      <w:pPr>
        <w:ind w:left="424" w:hanging="424"/>
        <w:spacing w:after="0" w:line="254" w:lineRule="auto"/>
        <w:tabs>
          <w:tab w:leader="none" w:pos="424"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July 11, 2024, the Company announced a 10-for-1 stock split of the Company’s class A common stock and class B common stock. The stock split was effected by means of a stock dividend to the holders of record of the Company’s class A common stock and class B common stock as of the close of business on August 1, 2024, the record date for the dividend. The dividend was distributed after the close of trading on August 7, 2024 and trading commenced on a split-adjusted basis at market open on August 8, 2024. As a result of the stock split, all applicable share and equity award information has been retroactively adjusted to reflect the stock split for all periods presented.</w:t>
      </w:r>
    </w:p>
    <w:p>
      <w:pPr>
        <w:spacing w:after="0" w:line="3" w:lineRule="exact"/>
        <w:rPr>
          <w:rFonts w:ascii="Times New Roman" w:cs="Times New Roman" w:eastAsia="Times New Roman" w:hAnsi="Times New Roman"/>
          <w:sz w:val="18"/>
          <w:szCs w:val="18"/>
          <w:color w:val="auto"/>
        </w:rPr>
      </w:pPr>
    </w:p>
    <w:p>
      <w:pPr>
        <w:ind w:left="424" w:right="60" w:hanging="424"/>
        <w:spacing w:after="0" w:line="250" w:lineRule="auto"/>
        <w:tabs>
          <w:tab w:leader="none" w:pos="424"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Basic Shares Outstanding reflects the actual class A common stock and class B common stock outstanding as of the dates presented. For purposes of this calculation, outstanding shares of such stock are deemed to include shares, if any, that were sold under at-the-market equity offering programs or that were to be issued pursuant to options that had been exercised or restricted stock units that have vested, but which in each case were pending issuance as of the dates presented.</w:t>
      </w:r>
    </w:p>
    <w:p>
      <w:pPr>
        <w:spacing w:after="0" w:line="1" w:lineRule="exact"/>
        <w:rPr>
          <w:rFonts w:ascii="Times New Roman" w:cs="Times New Roman" w:eastAsia="Times New Roman" w:hAnsi="Times New Roman"/>
          <w:sz w:val="18"/>
          <w:szCs w:val="18"/>
          <w:color w:val="auto"/>
        </w:rPr>
      </w:pPr>
    </w:p>
    <w:p>
      <w:pPr>
        <w:ind w:left="424" w:right="20" w:hanging="424"/>
        <w:spacing w:after="0" w:line="253" w:lineRule="auto"/>
        <w:tabs>
          <w:tab w:leader="none" w:pos="424"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Assumed Diluted Shares Outstanding refers to the aggregate of our Basic Shares Outstanding as of the end of each period plus all additional shares that would result from the assumed conversion of all outstanding convertible notes, exercise of all outstanding stock option awards, and settlement of all outstanding restricted stock units and performance stock units. Assumed Diluted Shares Outstanding is not calculated using the treasury method and does not take into account any vesting conditions (in the case of equity awards), the exercise price of any stock option awards or any contractual conditions limiting convertibility of convertible debt instruments.</w:t>
      </w:r>
    </w:p>
    <w:p>
      <w:pPr>
        <w:spacing w:after="0" w:line="293"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i w:val="1"/>
          <w:iCs w:val="1"/>
          <w:color w:val="auto"/>
        </w:rPr>
        <w:t>Important Information about BTC Yield KPI</w:t>
      </w:r>
    </w:p>
    <w:p>
      <w:pPr>
        <w:spacing w:after="0" w:line="119" w:lineRule="exact"/>
        <w:rPr>
          <w:sz w:val="20"/>
          <w:szCs w:val="20"/>
          <w:color w:val="auto"/>
        </w:rPr>
      </w:pPr>
    </w:p>
    <w:p>
      <w:pPr>
        <w:ind w:left="4"/>
        <w:spacing w:after="0" w:line="256" w:lineRule="auto"/>
        <w:rPr>
          <w:sz w:val="20"/>
          <w:szCs w:val="20"/>
          <w:color w:val="auto"/>
        </w:rPr>
      </w:pPr>
      <w:r>
        <w:rPr>
          <w:rFonts w:ascii="Times New Roman" w:cs="Times New Roman" w:eastAsia="Times New Roman" w:hAnsi="Times New Roman"/>
          <w:sz w:val="18"/>
          <w:szCs w:val="18"/>
          <w:color w:val="auto"/>
        </w:rPr>
        <w:t>BTC Yield is a KPI that represents the percentage change period-to-period of the ratio between the Company’s bitcoin holdings and its Assumed Diluted Shares Outstanding. Assumed Diluted Shares Outstanding refers to the aggregate of the Company’s actual shares of common stock outstanding as of the end of each period plus all additional shares that would result from the assumed conversion of all outstanding convertible notes, exercise of all outstanding stock option awards, and settlement of all outstanding restricted stock units and performance stock units. Assumed Diluted Shares Outstanding is not calculated using the treasury method and does not take into account any vesting conditions (in the case of equity awards), the exercise price of any stock option awards or any contractual conditions limiting convertibility of convertible debt instruments.</w:t>
      </w:r>
    </w:p>
    <w:p>
      <w:pPr>
        <w:spacing w:after="0" w:line="187" w:lineRule="exact"/>
        <w:rPr>
          <w:sz w:val="20"/>
          <w:szCs w:val="20"/>
          <w:color w:val="auto"/>
        </w:rPr>
      </w:pPr>
    </w:p>
    <w:p>
      <w:pPr>
        <w:ind w:left="4"/>
        <w:spacing w:after="0" w:line="256" w:lineRule="auto"/>
        <w:rPr>
          <w:sz w:val="20"/>
          <w:szCs w:val="20"/>
          <w:color w:val="auto"/>
        </w:rPr>
      </w:pPr>
      <w:r>
        <w:rPr>
          <w:rFonts w:ascii="Times New Roman" w:cs="Times New Roman" w:eastAsia="Times New Roman" w:hAnsi="Times New Roman"/>
          <w:sz w:val="18"/>
          <w:szCs w:val="18"/>
          <w:color w:val="auto"/>
        </w:rPr>
        <w:t>The Company uses BTC Yield as a KPI to help assess the performance of its strategy of acquiring bitcoin in a manner the Company believes is accretive to shareholders. The Company believes this KPI can be used to supplement an investor’s understanding of its decision to fund the purchase of bitcoin by issuing additional shares of its common stock or instruments convertible to common stock. When the Company uses this KPI, management also takes into account the various limitations of this metric, including that it does not take into account debt and other liabilities and claims on company assets that would be senior to common equity and that it assumes that all indebtedness will be refinanced or, in the case of the Company’s senior convertible debt instruments, converted into shares of common stock in accordance with their respective terms.</w:t>
      </w:r>
    </w:p>
    <w:p>
      <w:pPr>
        <w:sectPr>
          <w:pgSz w:w="11900" w:h="16838" w:orient="portrait"/>
          <w:cols w:equalWidth="0" w:num="1">
            <w:col w:w="11004"/>
          </w:cols>
          <w:pgMar w:left="436" w:top="295" w:right="459" w:bottom="1440" w:gutter="0" w:footer="0" w:header="0"/>
        </w:sectPr>
      </w:pPr>
    </w:p>
    <w:bookmarkStart w:id="3" w:name="page4"/>
    <w:bookmarkEnd w:id="3"/>
    <w:p>
      <w:pPr>
        <w:ind w:right="4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5880"/>
                    </a:xfrm>
                    <a:prstGeom prst="rect">
                      <a:avLst/>
                    </a:prstGeom>
                    <a:noFill/>
                  </pic:spPr>
                </pic:pic>
              </a:graphicData>
            </a:graphic>
          </wp:anchor>
        </w:drawing>
        <w:t>Additionally, this KPI is not, and should not be understood as, an operating performance measure or a financial or liquidity measure. In particular, BTC Yield is not equivalent to “yield” in the traditional financial context. It is not a measure of the return on investment the Company’s shareholders may have achieved historically or can achieve in the future by purchasing stock of the Company, or a measure of income generated by the Company’s operations or its bitcoin holdings, return on investment on its bitcoin holdings, or any other similar financial measure of the performance of its business or assets.</w:t>
      </w:r>
    </w:p>
    <w:p>
      <w:pPr>
        <w:spacing w:after="0" w:line="183" w:lineRule="exact"/>
        <w:rPr>
          <w:sz w:val="20"/>
          <w:szCs w:val="20"/>
          <w:color w:val="auto"/>
        </w:rPr>
      </w:pPr>
    </w:p>
    <w:p>
      <w:pPr>
        <w:ind w:right="80"/>
        <w:spacing w:after="0" w:line="261" w:lineRule="auto"/>
        <w:rPr>
          <w:sz w:val="20"/>
          <w:szCs w:val="20"/>
          <w:color w:val="auto"/>
        </w:rPr>
      </w:pPr>
      <w:r>
        <w:rPr>
          <w:rFonts w:ascii="Times New Roman" w:cs="Times New Roman" w:eastAsia="Times New Roman" w:hAnsi="Times New Roman"/>
          <w:sz w:val="18"/>
          <w:szCs w:val="18"/>
          <w:color w:val="auto"/>
        </w:rPr>
        <w:t>The trading price of the Company’s class A common stock is informed by numerous factors in addition to the amount of bitcoins the Company holds and number of actual or potential shares of its stock outstanding, and as a result, the market value of the Company’s shares may trade at a discount or a premium relative to the market value of the bitcoin the Company holds, and BTC Yield is not indicative nor predictive of the trading price of the Company’s shares of class A common stock.</w:t>
      </w:r>
    </w:p>
    <w:p>
      <w:pPr>
        <w:spacing w:after="0" w:line="180" w:lineRule="exact"/>
        <w:rPr>
          <w:sz w:val="20"/>
          <w:szCs w:val="20"/>
          <w:color w:val="auto"/>
        </w:rPr>
      </w:pPr>
    </w:p>
    <w:p>
      <w:pPr>
        <w:ind w:right="140"/>
        <w:spacing w:after="0" w:line="282" w:lineRule="auto"/>
        <w:rPr>
          <w:sz w:val="20"/>
          <w:szCs w:val="20"/>
          <w:color w:val="auto"/>
        </w:rPr>
      </w:pPr>
      <w:r>
        <w:rPr>
          <w:rFonts w:ascii="Times New Roman" w:cs="Times New Roman" w:eastAsia="Times New Roman" w:hAnsi="Times New Roman"/>
          <w:sz w:val="18"/>
          <w:szCs w:val="18"/>
          <w:color w:val="auto"/>
        </w:rPr>
        <w:t>As noted above, this KPI is narrow in its purpose and is used by management to assist it in assessing whether the Company is using equity capital in a manner accretive to shareholders solely as it pertains to its bitcoin holdings.</w:t>
      </w:r>
    </w:p>
    <w:p>
      <w:pPr>
        <w:spacing w:after="0" w:line="162"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In calculating this KPI, the Company does not take into account the source of capital used for the acquisition of its bitcoin. The Company notes in particular, it has acquired bitcoin using proceeds from the offering of its 6.125% Senior Secured Notes due 2028 (which the Company has since redeemed), which were not convertible to shares of the Company’s common stock, as well as from the offerings of its convertible senior notes, which at the time of issuance had, and may from time-to-time thereafter have, conversion prices above the current trading prices of the Company’s common stock, or as to which the holders of such convertible notes may not then be entitled to exercise the conversion rights of the notes. Such offerings have had the effect of increasing the BTC Yield without taking into account the corresponding debt. Conversely, if any of the Company’s convertible senior notes mature or are redeemed without being converted into common stock, the Company may be required to sell shares in quantities greater than the shares such notes are convertible into or generate cash proceeds from the sale of bitcoin, either of which would have the effect of decreasing the BTC Yield due to changes in the Company’s bitcoin holdings and shares in ways that were not contemplated by the assumptions in calculating BTC Yield. Accordingly, this metric might overstate or understate the accretive nature of the Company’s use of equity capital to buy bitcoin because not all bitcoin may be acquired using proceeds of equity offerings and not all issuances of equity may involve the acquisition of bitcoin.</w:t>
      </w:r>
    </w:p>
    <w:p>
      <w:pPr>
        <w:spacing w:after="0" w:line="192" w:lineRule="exact"/>
        <w:rPr>
          <w:sz w:val="20"/>
          <w:szCs w:val="20"/>
          <w:color w:val="auto"/>
        </w:rPr>
      </w:pPr>
    </w:p>
    <w:p>
      <w:pPr>
        <w:spacing w:after="0" w:line="266" w:lineRule="auto"/>
        <w:rPr>
          <w:sz w:val="20"/>
          <w:szCs w:val="20"/>
          <w:color w:val="auto"/>
        </w:rPr>
      </w:pPr>
      <w:r>
        <w:rPr>
          <w:rFonts w:ascii="Times New Roman" w:cs="Times New Roman" w:eastAsia="Times New Roman" w:hAnsi="Times New Roman"/>
          <w:sz w:val="18"/>
          <w:szCs w:val="18"/>
          <w:color w:val="auto"/>
        </w:rPr>
        <w:t>The Company determines its KPI targets based on its history and future goals. The Company’s ability to achieve positive BTC Yield may depend on a variety of factors, including its ability to generate cash from operations in excess of its fixed charges and other expenses, as well as factors outside of its control, such as the availability of debt and equity financing on favorable terms. Past performance is not indicative of future results.</w:t>
      </w:r>
    </w:p>
    <w:p>
      <w:pPr>
        <w:spacing w:after="0" w:line="176" w:lineRule="exact"/>
        <w:rPr>
          <w:sz w:val="20"/>
          <w:szCs w:val="20"/>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The Company has historically not paid any dividends on its shares of common stock, and by presenting this KPI the Company makes no suggestion that it intends to do so in the future. Ownership of common stock does not represent an ownership interest in the bitcoin the Company holds.</w:t>
      </w:r>
    </w:p>
    <w:p>
      <w:pPr>
        <w:spacing w:after="0" w:line="162" w:lineRule="exact"/>
        <w:rPr>
          <w:sz w:val="20"/>
          <w:szCs w:val="20"/>
          <w:color w:val="auto"/>
        </w:rPr>
      </w:pPr>
    </w:p>
    <w:p>
      <w:pPr>
        <w:ind w:right="60"/>
        <w:spacing w:after="0" w:line="282" w:lineRule="auto"/>
        <w:rPr>
          <w:sz w:val="20"/>
          <w:szCs w:val="20"/>
          <w:color w:val="auto"/>
        </w:rPr>
      </w:pPr>
      <w:r>
        <w:rPr>
          <w:rFonts w:ascii="Times New Roman" w:cs="Times New Roman" w:eastAsia="Times New Roman" w:hAnsi="Times New Roman"/>
          <w:sz w:val="18"/>
          <w:szCs w:val="18"/>
          <w:color w:val="auto"/>
        </w:rPr>
        <w:t>Investors should rely on the financial statements and other disclosures contained in the Company’s SEC filings. This KPI is merely a supplement, not a substitute. It should be used only by sophisticated investors who understand its limited purpose and many limitations.</w:t>
      </w:r>
    </w:p>
    <w:p>
      <w:pPr>
        <w:spacing w:after="0" w:line="26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Furnished Information</w:t>
      </w:r>
    </w:p>
    <w:p>
      <w:pPr>
        <w:spacing w:after="0" w:line="119" w:lineRule="exact"/>
        <w:rPr>
          <w:sz w:val="20"/>
          <w:szCs w:val="20"/>
          <w:color w:val="auto"/>
        </w:rPr>
      </w:pPr>
    </w:p>
    <w:p>
      <w:pPr>
        <w:ind w:right="340"/>
        <w:spacing w:after="0" w:line="261" w:lineRule="auto"/>
        <w:rPr>
          <w:sz w:val="20"/>
          <w:szCs w:val="20"/>
          <w:color w:val="auto"/>
        </w:rPr>
      </w:pPr>
      <w:r>
        <w:rPr>
          <w:rFonts w:ascii="Times New Roman" w:cs="Times New Roman" w:eastAsia="Times New Roman" w:hAnsi="Times New Roman"/>
          <w:sz w:val="18"/>
          <w:szCs w:val="18"/>
          <w:color w:val="auto"/>
        </w:rPr>
        <w:t>The information disclosed pursuant to Item 7.01 in this Current Report on Form 8-K shall not be deemed “filed” for purposes of Section 18 of the Securities Exchange Act of 1934, as amended (the “Exchange Act”), or otherwise subject to the liabilities of that section, nor shall it be deemed incorporated by reference in any filing under the Securities Act of 1933, as amended, or the Exchange Act, except as expressly set forth by specific reference in such a filing.</w:t>
      </w:r>
    </w:p>
    <w:p>
      <w:pPr>
        <w:sectPr>
          <w:pgSz w:w="11900" w:h="16838" w:orient="portrait"/>
          <w:cols w:equalWidth="0" w:num="1">
            <w:col w:w="10940"/>
          </w:cols>
          <w:pgMar w:left="440" w:top="297" w:right="519" w:bottom="1440" w:gutter="0" w:footer="0" w:header="0"/>
        </w:sectPr>
      </w:pPr>
    </w:p>
    <w:bookmarkStart w:id="4" w:name="page5"/>
    <w:bookmarkEnd w:id="4"/>
    <w:p>
      <w:pPr>
        <w:jc w:val="cente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SIGNATURE</w:t>
      </w:r>
    </w:p>
    <w:p>
      <w:pPr>
        <w:spacing w:after="0" w:line="229" w:lineRule="exact"/>
        <w:rPr>
          <w:sz w:val="20"/>
          <w:szCs w:val="20"/>
          <w:color w:val="auto"/>
        </w:rPr>
      </w:pPr>
    </w:p>
    <w:p>
      <w:pPr>
        <w:ind w:right="2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680" w:type="dxa"/>
            <w:vAlign w:val="bottom"/>
          </w:tcPr>
          <w:p>
            <w:pPr>
              <w:spacing w:after="0"/>
              <w:rPr>
                <w:sz w:val="20"/>
                <w:szCs w:val="20"/>
                <w:color w:val="auto"/>
              </w:rPr>
            </w:pPr>
            <w:r>
              <w:rPr>
                <w:rFonts w:ascii="Times New Roman" w:cs="Times New Roman" w:eastAsia="Times New Roman" w:hAnsi="Times New Roman"/>
                <w:sz w:val="18"/>
                <w:szCs w:val="18"/>
                <w:color w:val="auto"/>
              </w:rPr>
              <w:t>Date: December 30, 2024</w:t>
            </w:r>
          </w:p>
        </w:tc>
        <w:tc>
          <w:tcPr>
            <w:tcW w:w="7340" w:type="dxa"/>
            <w:vAlign w:val="bottom"/>
            <w:gridSpan w:val="2"/>
          </w:tcPr>
          <w:p>
            <w:pPr>
              <w:ind w:left="1840"/>
              <w:spacing w:after="0"/>
              <w:rPr>
                <w:sz w:val="20"/>
                <w:szCs w:val="20"/>
                <w:color w:val="auto"/>
              </w:rPr>
            </w:pPr>
            <w:r>
              <w:rPr>
                <w:rFonts w:ascii="Times New Roman" w:cs="Times New Roman" w:eastAsia="Times New Roman" w:hAnsi="Times New Roman"/>
                <w:sz w:val="18"/>
                <w:szCs w:val="18"/>
                <w:color w:val="auto"/>
              </w:rPr>
              <w:t>MicroStrategy Incorporated</w:t>
            </w:r>
          </w:p>
        </w:tc>
      </w:tr>
      <w:tr>
        <w:trPr>
          <w:trHeight w:val="234"/>
        </w:trPr>
        <w:tc>
          <w:tcPr>
            <w:tcW w:w="3680" w:type="dxa"/>
            <w:vAlign w:val="bottom"/>
          </w:tcPr>
          <w:p>
            <w:pPr>
              <w:spacing w:after="0"/>
              <w:rPr>
                <w:sz w:val="20"/>
                <w:szCs w:val="20"/>
                <w:color w:val="auto"/>
              </w:rPr>
            </w:pPr>
          </w:p>
        </w:tc>
        <w:tc>
          <w:tcPr>
            <w:tcW w:w="7340" w:type="dxa"/>
            <w:vAlign w:val="bottom"/>
            <w:gridSpan w:val="2"/>
          </w:tcPr>
          <w:p>
            <w:pPr>
              <w:ind w:left="1840"/>
              <w:spacing w:after="0"/>
              <w:rPr>
                <w:sz w:val="20"/>
                <w:szCs w:val="20"/>
                <w:color w:val="auto"/>
              </w:rPr>
            </w:pPr>
            <w:r>
              <w:rPr>
                <w:rFonts w:ascii="Times New Roman" w:cs="Times New Roman" w:eastAsia="Times New Roman" w:hAnsi="Times New Roman"/>
                <w:sz w:val="18"/>
                <w:szCs w:val="18"/>
                <w:color w:val="auto"/>
              </w:rPr>
              <w:t>(Registrant)</w:t>
            </w:r>
          </w:p>
        </w:tc>
      </w:tr>
      <w:tr>
        <w:trPr>
          <w:trHeight w:val="445"/>
        </w:trPr>
        <w:tc>
          <w:tcPr>
            <w:tcW w:w="3680" w:type="dxa"/>
            <w:vAlign w:val="bottom"/>
          </w:tcPr>
          <w:p>
            <w:pPr>
              <w:spacing w:after="0"/>
              <w:rPr>
                <w:sz w:val="24"/>
                <w:szCs w:val="24"/>
                <w:color w:val="auto"/>
              </w:rPr>
            </w:pPr>
          </w:p>
        </w:tc>
        <w:tc>
          <w:tcPr>
            <w:tcW w:w="2480" w:type="dxa"/>
            <w:vAlign w:val="bottom"/>
          </w:tcPr>
          <w:p>
            <w:pPr>
              <w:ind w:left="1840"/>
              <w:spacing w:after="0"/>
              <w:rPr>
                <w:sz w:val="20"/>
                <w:szCs w:val="20"/>
                <w:color w:val="auto"/>
              </w:rPr>
            </w:pPr>
            <w:r>
              <w:rPr>
                <w:rFonts w:ascii="Times New Roman" w:cs="Times New Roman" w:eastAsia="Times New Roman" w:hAnsi="Times New Roman"/>
                <w:sz w:val="18"/>
                <w:szCs w:val="18"/>
                <w:color w:val="auto"/>
              </w:rPr>
              <w:t>By:</w:t>
            </w:r>
          </w:p>
        </w:tc>
        <w:tc>
          <w:tcPr>
            <w:tcW w:w="48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W. Ming Shao</w:t>
            </w:r>
          </w:p>
        </w:tc>
      </w:tr>
      <w:tr>
        <w:trPr>
          <w:trHeight w:val="205"/>
        </w:trPr>
        <w:tc>
          <w:tcPr>
            <w:tcW w:w="3680" w:type="dxa"/>
            <w:vAlign w:val="bottom"/>
          </w:tcPr>
          <w:p>
            <w:pPr>
              <w:spacing w:after="0"/>
              <w:rPr>
                <w:sz w:val="17"/>
                <w:szCs w:val="17"/>
                <w:color w:val="auto"/>
              </w:rPr>
            </w:pPr>
          </w:p>
        </w:tc>
        <w:tc>
          <w:tcPr>
            <w:tcW w:w="2480" w:type="dxa"/>
            <w:vAlign w:val="bottom"/>
          </w:tcPr>
          <w:p>
            <w:pPr>
              <w:ind w:left="1840"/>
              <w:spacing w:after="0" w:line="205" w:lineRule="exact"/>
              <w:rPr>
                <w:sz w:val="20"/>
                <w:szCs w:val="20"/>
                <w:color w:val="auto"/>
              </w:rPr>
            </w:pPr>
            <w:r>
              <w:rPr>
                <w:rFonts w:ascii="Times New Roman" w:cs="Times New Roman" w:eastAsia="Times New Roman" w:hAnsi="Times New Roman"/>
                <w:sz w:val="18"/>
                <w:szCs w:val="18"/>
                <w:color w:val="auto"/>
              </w:rPr>
              <w:t>Name:</w:t>
            </w:r>
          </w:p>
        </w:tc>
        <w:tc>
          <w:tcPr>
            <w:tcW w:w="4860" w:type="dxa"/>
            <w:vAlign w:val="bottom"/>
          </w:tcPr>
          <w:p>
            <w:pPr>
              <w:spacing w:after="0" w:line="205" w:lineRule="exact"/>
              <w:rPr>
                <w:sz w:val="20"/>
                <w:szCs w:val="20"/>
                <w:color w:val="auto"/>
              </w:rPr>
            </w:pPr>
            <w:r>
              <w:rPr>
                <w:rFonts w:ascii="Times New Roman" w:cs="Times New Roman" w:eastAsia="Times New Roman" w:hAnsi="Times New Roman"/>
                <w:sz w:val="18"/>
                <w:szCs w:val="18"/>
                <w:color w:val="auto"/>
              </w:rPr>
              <w:t>W. Ming Shao</w:t>
            </w:r>
          </w:p>
        </w:tc>
      </w:tr>
      <w:tr>
        <w:trPr>
          <w:trHeight w:val="234"/>
        </w:trPr>
        <w:tc>
          <w:tcPr>
            <w:tcW w:w="3680" w:type="dxa"/>
            <w:vAlign w:val="bottom"/>
          </w:tcPr>
          <w:p>
            <w:pPr>
              <w:spacing w:after="0"/>
              <w:rPr>
                <w:sz w:val="20"/>
                <w:szCs w:val="20"/>
                <w:color w:val="auto"/>
              </w:rPr>
            </w:pPr>
          </w:p>
        </w:tc>
        <w:tc>
          <w:tcPr>
            <w:tcW w:w="2480" w:type="dxa"/>
            <w:vAlign w:val="bottom"/>
          </w:tcPr>
          <w:p>
            <w:pPr>
              <w:ind w:left="1840"/>
              <w:spacing w:after="0"/>
              <w:rPr>
                <w:sz w:val="20"/>
                <w:szCs w:val="20"/>
                <w:color w:val="auto"/>
              </w:rPr>
            </w:pPr>
            <w:r>
              <w:rPr>
                <w:rFonts w:ascii="Times New Roman" w:cs="Times New Roman" w:eastAsia="Times New Roman" w:hAnsi="Times New Roman"/>
                <w:sz w:val="18"/>
                <w:szCs w:val="18"/>
                <w:color w:val="auto"/>
              </w:rPr>
              <w:t>Title:</w:t>
            </w:r>
          </w:p>
        </w:tc>
        <w:tc>
          <w:tcPr>
            <w:tcW w:w="4860" w:type="dxa"/>
            <w:vAlign w:val="bottom"/>
          </w:tcPr>
          <w:p>
            <w:pPr>
              <w:spacing w:after="0"/>
              <w:rPr>
                <w:sz w:val="20"/>
                <w:szCs w:val="20"/>
                <w:color w:val="auto"/>
              </w:rPr>
            </w:pPr>
            <w:r>
              <w:rPr>
                <w:rFonts w:ascii="Times New Roman" w:cs="Times New Roman" w:eastAsia="Times New Roman" w:hAnsi="Times New Roman"/>
                <w:sz w:val="18"/>
                <w:szCs w:val="18"/>
                <w:color w:val="auto"/>
              </w:rPr>
              <w:t>Executive Vice President &amp; General Counsel</w:t>
            </w:r>
          </w:p>
        </w:tc>
      </w:tr>
    </w:tbl>
    <w:p>
      <w:pPr>
        <w:spacing w:after="0" w:line="1" w:lineRule="exact"/>
        <w:rPr>
          <w:sz w:val="20"/>
          <w:szCs w:val="20"/>
          <w:color w:val="auto"/>
        </w:rPr>
      </w:pPr>
    </w:p>
    <w:sectPr>
      <w:pgSz w:w="11900" w:h="16838" w:orient="portrait"/>
      <w:cols w:equalWidth="0" w:num="1">
        <w:col w:w="11020"/>
      </w:cols>
      <w:pgMar w:left="440" w:top="293"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decimal"/>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2024-12-30T07:06:18Z</dcterms:created>
  <dcterms:modified xsi:type="dcterms:W3CDTF">2024-12-30T07:06:18Z</dcterms:modified>
</cp:coreProperties>
</file>