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8" w:type="dxa"/>
        <w:tblLook w:val="01E0" w:firstRow="1" w:lastRow="1" w:firstColumn="1" w:lastColumn="1" w:noHBand="0" w:noVBand="0"/>
      </w:tblPr>
      <w:tblGrid>
        <w:gridCol w:w="492"/>
        <w:gridCol w:w="1096"/>
        <w:gridCol w:w="3871"/>
        <w:gridCol w:w="492"/>
        <w:gridCol w:w="5067"/>
      </w:tblGrid>
      <w:tr w:rsidR="00232213" w:rsidTr="00510E64">
        <w:trPr>
          <w:cantSplit/>
        </w:trPr>
        <w:tc>
          <w:tcPr>
            <w:tcW w:w="11018" w:type="dxa"/>
            <w:gridSpan w:val="5"/>
          </w:tcPr>
          <w:p w:rsidR="00232213" w:rsidRDefault="00232213" w:rsidP="00154599">
            <w:pPr>
              <w:pStyle w:val="ChecklistBasis"/>
            </w:pPr>
            <w:bookmarkStart w:id="0" w:name="_GoBack"/>
            <w:bookmarkEnd w:id="0"/>
            <w:r>
              <w:t xml:space="preserve">The purpose of this </w:t>
            </w:r>
            <w:r w:rsidR="006D56D3">
              <w:t>worksheet</w:t>
            </w:r>
            <w:r>
              <w:t xml:space="preserve"> is to provide support for the IRB reviewing information items. Section 1 is completed by the </w:t>
            </w:r>
            <w:r w:rsidR="00154599">
              <w:t xml:space="preserve">HRPP </w:t>
            </w:r>
            <w:r>
              <w:t xml:space="preserve">staff. All other sections are </w:t>
            </w:r>
            <w:r w:rsidR="00421BE3">
              <w:t>used</w:t>
            </w:r>
            <w:r>
              <w:t xml:space="preserve"> by the convened IRB. </w:t>
            </w:r>
            <w:r w:rsidR="00421BE3">
              <w:t xml:space="preserve">This worksheet is to be used. </w:t>
            </w:r>
            <w:r>
              <w:t xml:space="preserve">This </w:t>
            </w:r>
            <w:r w:rsidR="006D56D3">
              <w:t>worksheet</w:t>
            </w:r>
            <w:r>
              <w:t xml:space="preserve"> does not need to be completed or retained.</w:t>
            </w:r>
            <w:r w:rsidR="00CF09F6">
              <w:t xml:space="preserve"> See figure on the reverse side.</w:t>
            </w:r>
          </w:p>
        </w:tc>
      </w:tr>
      <w:tr w:rsidR="00421BE3" w:rsidRPr="00421BE3" w:rsidTr="00421BE3">
        <w:trPr>
          <w:trHeight w:hRule="exact" w:val="72"/>
        </w:trPr>
        <w:tc>
          <w:tcPr>
            <w:tcW w:w="11018" w:type="dxa"/>
            <w:gridSpan w:val="5"/>
            <w:shd w:val="clear" w:color="auto" w:fill="000000"/>
          </w:tcPr>
          <w:p w:rsidR="00421BE3" w:rsidRPr="00421BE3" w:rsidRDefault="00421BE3" w:rsidP="00421BE3"/>
        </w:tc>
      </w:tr>
      <w:tr w:rsidR="008630EB" w:rsidTr="00510E64">
        <w:tc>
          <w:tcPr>
            <w:tcW w:w="11018" w:type="dxa"/>
            <w:gridSpan w:val="5"/>
          </w:tcPr>
          <w:p w:rsidR="008630EB" w:rsidRDefault="0021589A" w:rsidP="00DB4444">
            <w:pPr>
              <w:pStyle w:val="ChecklistLevel1"/>
            </w:pPr>
            <w:r>
              <w:t xml:space="preserve">Preliminary </w:t>
            </w:r>
            <w:r w:rsidR="00421BE3">
              <w:t xml:space="preserve">Determinations Made </w:t>
            </w:r>
            <w:r w:rsidR="00154599">
              <w:t xml:space="preserve">by the HRPP Staff, IRB Chair and/or IRB Director </w:t>
            </w:r>
            <w:proofErr w:type="gramStart"/>
            <w:r w:rsidR="00421BE3">
              <w:t>Before</w:t>
            </w:r>
            <w:proofErr w:type="gramEnd"/>
            <w:r w:rsidR="00421BE3">
              <w:t xml:space="preserve"> the IRB Meeting</w:t>
            </w:r>
            <w:r w:rsidR="00E667E8">
              <w:t xml:space="preserve"> </w:t>
            </w:r>
            <w:r w:rsidR="00E667E8" w:rsidRPr="00421BE3">
              <w:rPr>
                <w:b w:val="0"/>
              </w:rPr>
              <w:t>(Consider actions in Section 3 when any are checked</w:t>
            </w:r>
            <w:r w:rsidR="00583D59" w:rsidRPr="00421BE3">
              <w:rPr>
                <w:b w:val="0"/>
              </w:rPr>
              <w:t xml:space="preserve">. </w:t>
            </w:r>
            <w:r w:rsidR="00DB4444">
              <w:rPr>
                <w:b w:val="0"/>
              </w:rPr>
              <w:t>No individual may</w:t>
            </w:r>
            <w:r w:rsidR="00154599">
              <w:rPr>
                <w:b w:val="0"/>
              </w:rPr>
              <w:t xml:space="preserve"> </w:t>
            </w:r>
            <w:r w:rsidR="00583D59" w:rsidRPr="00421BE3">
              <w:rPr>
                <w:b w:val="0"/>
              </w:rPr>
              <w:t>reverse determinations made before the IRB meeting.)</w:t>
            </w:r>
          </w:p>
        </w:tc>
      </w:tr>
      <w:tr w:rsidR="00510E64" w:rsidRPr="00D22DBA" w:rsidTr="00177017">
        <w:trPr>
          <w:trHeight w:val="360"/>
        </w:trPr>
        <w:tc>
          <w:tcPr>
            <w:tcW w:w="1588" w:type="dxa"/>
            <w:gridSpan w:val="2"/>
          </w:tcPr>
          <w:p w:rsidR="00510E64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10E64" w:rsidRPr="00EB4707">
              <w:t xml:space="preserve"> Yes</w:t>
            </w:r>
            <w:r w:rsidR="00510E64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10E64" w:rsidRPr="00EB4707">
              <w:t xml:space="preserve"> No</w:t>
            </w:r>
          </w:p>
        </w:tc>
        <w:tc>
          <w:tcPr>
            <w:tcW w:w="9430" w:type="dxa"/>
            <w:gridSpan w:val="3"/>
          </w:tcPr>
          <w:p w:rsidR="00510E64" w:rsidRPr="00510E64" w:rsidRDefault="00510E64" w:rsidP="00510E64">
            <w:pPr>
              <w:pStyle w:val="StatementLevel1"/>
              <w:rPr>
                <w:u w:val="double"/>
              </w:rPr>
            </w:pPr>
            <w:r w:rsidRPr="00510E64">
              <w:rPr>
                <w:u w:val="double"/>
              </w:rPr>
              <w:t>Serious Non-Compliance</w:t>
            </w:r>
          </w:p>
        </w:tc>
      </w:tr>
      <w:tr w:rsidR="00510E64" w:rsidRPr="00D22DBA" w:rsidTr="00177017">
        <w:trPr>
          <w:trHeight w:val="360"/>
        </w:trPr>
        <w:tc>
          <w:tcPr>
            <w:tcW w:w="1588" w:type="dxa"/>
            <w:gridSpan w:val="2"/>
          </w:tcPr>
          <w:p w:rsidR="00510E64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10E64" w:rsidRPr="00EB4707">
              <w:t xml:space="preserve"> Yes</w:t>
            </w:r>
            <w:r w:rsidR="00510E64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10E64" w:rsidRPr="00EB4707">
              <w:t xml:space="preserve"> No</w:t>
            </w:r>
          </w:p>
        </w:tc>
        <w:tc>
          <w:tcPr>
            <w:tcW w:w="9430" w:type="dxa"/>
            <w:gridSpan w:val="3"/>
          </w:tcPr>
          <w:p w:rsidR="00510E64" w:rsidRPr="00510E64" w:rsidRDefault="00510E64" w:rsidP="00510E64">
            <w:pPr>
              <w:pStyle w:val="StatementLevel1"/>
              <w:rPr>
                <w:u w:val="double"/>
              </w:rPr>
            </w:pPr>
            <w:r w:rsidRPr="00510E64">
              <w:rPr>
                <w:u w:val="double"/>
              </w:rPr>
              <w:t>Continuing Non-Compliance</w:t>
            </w:r>
          </w:p>
        </w:tc>
      </w:tr>
      <w:tr w:rsidR="00510E64" w:rsidRPr="00D22DBA" w:rsidTr="00177017">
        <w:trPr>
          <w:trHeight w:val="360"/>
        </w:trPr>
        <w:tc>
          <w:tcPr>
            <w:tcW w:w="1588" w:type="dxa"/>
            <w:gridSpan w:val="2"/>
          </w:tcPr>
          <w:p w:rsidR="00510E64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10E64" w:rsidRPr="00EB4707">
              <w:t xml:space="preserve"> Yes</w:t>
            </w:r>
            <w:r w:rsidR="00510E64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10E64" w:rsidRPr="00EB4707">
              <w:t xml:space="preserve"> No</w:t>
            </w:r>
          </w:p>
        </w:tc>
        <w:tc>
          <w:tcPr>
            <w:tcW w:w="9430" w:type="dxa"/>
            <w:gridSpan w:val="3"/>
          </w:tcPr>
          <w:p w:rsidR="00510E64" w:rsidRPr="00510E64" w:rsidRDefault="00510E64" w:rsidP="00510E64">
            <w:pPr>
              <w:pStyle w:val="StatementLevel1"/>
              <w:rPr>
                <w:u w:val="double"/>
              </w:rPr>
            </w:pPr>
            <w:r w:rsidRPr="00510E64">
              <w:rPr>
                <w:u w:val="double"/>
              </w:rPr>
              <w:t xml:space="preserve">Unanticipated Problem Involving Risks to </w:t>
            </w:r>
            <w:r w:rsidR="001E63CE">
              <w:rPr>
                <w:u w:val="double"/>
              </w:rPr>
              <w:t>Subject</w:t>
            </w:r>
            <w:r w:rsidRPr="00510E64">
              <w:rPr>
                <w:u w:val="double"/>
              </w:rPr>
              <w:t>s or Others</w:t>
            </w:r>
          </w:p>
        </w:tc>
      </w:tr>
      <w:tr w:rsidR="00510E64" w:rsidTr="00177017">
        <w:trPr>
          <w:trHeight w:val="360"/>
        </w:trPr>
        <w:tc>
          <w:tcPr>
            <w:tcW w:w="1588" w:type="dxa"/>
            <w:gridSpan w:val="2"/>
          </w:tcPr>
          <w:p w:rsidR="00510E64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10E64" w:rsidRPr="00EB4707">
              <w:t xml:space="preserve"> Yes</w:t>
            </w:r>
            <w:r w:rsidR="00510E64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10E64" w:rsidRPr="00EB4707">
              <w:t xml:space="preserve"> No</w:t>
            </w:r>
          </w:p>
        </w:tc>
        <w:tc>
          <w:tcPr>
            <w:tcW w:w="9430" w:type="dxa"/>
            <w:gridSpan w:val="3"/>
          </w:tcPr>
          <w:p w:rsidR="00510E64" w:rsidRPr="00510E64" w:rsidRDefault="00510E64" w:rsidP="00510E64">
            <w:pPr>
              <w:pStyle w:val="StatementLevel1"/>
              <w:rPr>
                <w:u w:val="double"/>
              </w:rPr>
            </w:pPr>
            <w:r w:rsidRPr="00510E64">
              <w:rPr>
                <w:u w:val="double"/>
              </w:rPr>
              <w:t xml:space="preserve">Suspension of IRB Approval </w:t>
            </w:r>
          </w:p>
        </w:tc>
      </w:tr>
      <w:tr w:rsidR="00510E64" w:rsidTr="00177017">
        <w:trPr>
          <w:trHeight w:val="360"/>
        </w:trPr>
        <w:tc>
          <w:tcPr>
            <w:tcW w:w="1588" w:type="dxa"/>
            <w:gridSpan w:val="2"/>
          </w:tcPr>
          <w:p w:rsidR="00510E64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10E64" w:rsidRPr="00EB4707">
              <w:t xml:space="preserve"> Yes</w:t>
            </w:r>
            <w:r w:rsidR="00510E64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10E64" w:rsidRPr="00EB4707">
              <w:t xml:space="preserve"> No</w:t>
            </w:r>
          </w:p>
        </w:tc>
        <w:tc>
          <w:tcPr>
            <w:tcW w:w="9430" w:type="dxa"/>
            <w:gridSpan w:val="3"/>
          </w:tcPr>
          <w:p w:rsidR="00510E64" w:rsidRPr="00510E64" w:rsidRDefault="00E67A7C" w:rsidP="00510E64">
            <w:pPr>
              <w:pStyle w:val="StatementLevel1"/>
              <w:rPr>
                <w:u w:val="double"/>
              </w:rPr>
            </w:pPr>
            <w:r>
              <w:rPr>
                <w:u w:val="double"/>
              </w:rPr>
              <w:t>Termination</w:t>
            </w:r>
            <w:r w:rsidRPr="00510E64">
              <w:rPr>
                <w:u w:val="double"/>
              </w:rPr>
              <w:t xml:space="preserve"> </w:t>
            </w:r>
            <w:r w:rsidR="00520032" w:rsidRPr="00510E64">
              <w:rPr>
                <w:u w:val="double"/>
              </w:rPr>
              <w:t>of IRB Approval</w:t>
            </w:r>
          </w:p>
        </w:tc>
      </w:tr>
      <w:tr w:rsidR="00520032" w:rsidTr="00520032">
        <w:trPr>
          <w:trHeight w:val="360"/>
        </w:trPr>
        <w:tc>
          <w:tcPr>
            <w:tcW w:w="1588" w:type="dxa"/>
            <w:gridSpan w:val="2"/>
          </w:tcPr>
          <w:p w:rsidR="00520032" w:rsidRPr="00EB4707" w:rsidRDefault="006B2350" w:rsidP="00520032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0032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20032" w:rsidRPr="00EB4707">
              <w:t xml:space="preserve"> Yes</w:t>
            </w:r>
            <w:r w:rsidR="00520032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032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  <w:r w:rsidR="00520032" w:rsidRPr="00EB4707">
              <w:t xml:space="preserve"> No</w:t>
            </w:r>
          </w:p>
        </w:tc>
        <w:tc>
          <w:tcPr>
            <w:tcW w:w="9430" w:type="dxa"/>
            <w:gridSpan w:val="3"/>
          </w:tcPr>
          <w:p w:rsidR="00520032" w:rsidRPr="00510E64" w:rsidRDefault="000F5CD3" w:rsidP="00520032">
            <w:pPr>
              <w:pStyle w:val="StatementLevel1"/>
              <w:rPr>
                <w:u w:val="double"/>
              </w:rPr>
            </w:pPr>
            <w:r>
              <w:rPr>
                <w:u w:val="double"/>
              </w:rPr>
              <w:t xml:space="preserve">Undetermined </w:t>
            </w:r>
          </w:p>
        </w:tc>
      </w:tr>
      <w:tr w:rsidR="00421BE3" w:rsidRPr="00421BE3" w:rsidTr="002F31D3">
        <w:trPr>
          <w:trHeight w:hRule="exact" w:val="72"/>
        </w:trPr>
        <w:tc>
          <w:tcPr>
            <w:tcW w:w="11018" w:type="dxa"/>
            <w:gridSpan w:val="5"/>
            <w:shd w:val="clear" w:color="auto" w:fill="000000"/>
          </w:tcPr>
          <w:p w:rsidR="00421BE3" w:rsidRPr="00421BE3" w:rsidRDefault="00421BE3" w:rsidP="002F31D3"/>
        </w:tc>
      </w:tr>
      <w:tr w:rsidR="00BE54A6" w:rsidTr="00510E64">
        <w:tc>
          <w:tcPr>
            <w:tcW w:w="11018" w:type="dxa"/>
            <w:gridSpan w:val="5"/>
          </w:tcPr>
          <w:p w:rsidR="00BE54A6" w:rsidRDefault="00F25E4C" w:rsidP="00DB4444">
            <w:pPr>
              <w:pStyle w:val="ChecklistLevel1"/>
            </w:pPr>
            <w:r>
              <w:t xml:space="preserve">Final </w:t>
            </w:r>
            <w:r w:rsidR="00421BE3">
              <w:t>Determinations</w:t>
            </w:r>
            <w:r w:rsidR="00E2451A">
              <w:t xml:space="preserve"> Made By Convened IRB</w:t>
            </w:r>
            <w:r w:rsidR="00C23249">
              <w:t xml:space="preserve"> </w:t>
            </w:r>
            <w:r w:rsidR="008630EB" w:rsidRPr="00421BE3">
              <w:rPr>
                <w:b w:val="0"/>
              </w:rPr>
              <w:t>(Do not reverse determinations made before the IRB meeting.)</w:t>
            </w:r>
            <w:r w:rsidR="00421BE3">
              <w:t xml:space="preserve"> See figure on the reverse side.</w:t>
            </w:r>
          </w:p>
        </w:tc>
      </w:tr>
      <w:tr w:rsidR="00746AEB" w:rsidTr="00510E64">
        <w:tc>
          <w:tcPr>
            <w:tcW w:w="11018" w:type="dxa"/>
            <w:gridSpan w:val="5"/>
          </w:tcPr>
          <w:p w:rsidR="00583D59" w:rsidRDefault="004006FA" w:rsidP="00583D59">
            <w:pPr>
              <w:pStyle w:val="ChecklistLevel2"/>
            </w:pPr>
            <w:r>
              <w:t>Is</w:t>
            </w:r>
            <w:r w:rsidR="00BC13FD">
              <w:t xml:space="preserve"> </w:t>
            </w:r>
            <w:r w:rsidR="00C23249">
              <w:t xml:space="preserve">there any </w:t>
            </w:r>
            <w:r w:rsidR="00C23249" w:rsidRPr="008630EB">
              <w:rPr>
                <w:u w:val="double"/>
              </w:rPr>
              <w:t>Allegations of Non-Compliance</w:t>
            </w:r>
            <w:r w:rsidR="008630EB">
              <w:t xml:space="preserve"> </w:t>
            </w:r>
            <w:r w:rsidR="00E2451A">
              <w:t>where a determination has not been made about whether it has a basis in fact?</w:t>
            </w:r>
          </w:p>
          <w:p w:rsidR="00583D59" w:rsidRDefault="00C23249" w:rsidP="00583D59">
            <w:pPr>
              <w:pStyle w:val="ExplanationLevel2"/>
            </w:pPr>
            <w:r>
              <w:t xml:space="preserve">If yes, determine whether each </w:t>
            </w:r>
            <w:r w:rsidRPr="008630EB">
              <w:rPr>
                <w:u w:val="double"/>
              </w:rPr>
              <w:t>Allegation of Non-Compliance</w:t>
            </w:r>
            <w:r w:rsidR="008630EB">
              <w:t xml:space="preserve"> has </w:t>
            </w:r>
            <w:r w:rsidR="00DE4F2B">
              <w:t>a basis in fact</w:t>
            </w:r>
            <w:r w:rsidR="008630EB">
              <w:t xml:space="preserve">, i.e., is a </w:t>
            </w:r>
            <w:r w:rsidR="008630EB" w:rsidRPr="008630EB">
              <w:rPr>
                <w:u w:val="double"/>
              </w:rPr>
              <w:t>Finding of Non-Compliance</w:t>
            </w:r>
            <w:r>
              <w:t xml:space="preserve">. Take no action on </w:t>
            </w:r>
            <w:r w:rsidRPr="008630EB">
              <w:rPr>
                <w:u w:val="double"/>
              </w:rPr>
              <w:t>Allegations of Non-Compliance</w:t>
            </w:r>
            <w:r>
              <w:t xml:space="preserve"> that </w:t>
            </w:r>
            <w:r w:rsidR="00DB4444">
              <w:t>has</w:t>
            </w:r>
            <w:r w:rsidR="00BC13FD">
              <w:t xml:space="preserve"> </w:t>
            </w:r>
            <w:r w:rsidR="00DE4F2B">
              <w:t>no basis in fact</w:t>
            </w:r>
            <w:r>
              <w:t xml:space="preserve">. Follow </w:t>
            </w:r>
            <w:r w:rsidR="00E667E8">
              <w:t>2</w:t>
            </w:r>
            <w:r>
              <w:t xml:space="preserve">.2 for all that are </w:t>
            </w:r>
            <w:r w:rsidRPr="008630EB">
              <w:rPr>
                <w:u w:val="double"/>
              </w:rPr>
              <w:t>Findings of Non-Compliance</w:t>
            </w:r>
            <w:r>
              <w:t>.</w:t>
            </w:r>
          </w:p>
          <w:p w:rsidR="00583D59" w:rsidRDefault="004006FA" w:rsidP="00583D59">
            <w:pPr>
              <w:pStyle w:val="ChecklistLevel2"/>
            </w:pPr>
            <w:r>
              <w:t>Is</w:t>
            </w:r>
            <w:r w:rsidR="00BC13FD">
              <w:t xml:space="preserve"> </w:t>
            </w:r>
            <w:r w:rsidR="00C23249">
              <w:t xml:space="preserve">there any </w:t>
            </w:r>
            <w:r w:rsidR="00C23249" w:rsidRPr="008630EB">
              <w:rPr>
                <w:u w:val="double"/>
              </w:rPr>
              <w:t>Findings of Non-Compliance</w:t>
            </w:r>
            <w:r w:rsidR="00C23249">
              <w:t xml:space="preserve"> where a </w:t>
            </w:r>
            <w:r w:rsidR="008630EB">
              <w:t xml:space="preserve">determination </w:t>
            </w:r>
            <w:r w:rsidR="00C23249">
              <w:t xml:space="preserve">has not been made whether the </w:t>
            </w:r>
            <w:r w:rsidR="00C23249" w:rsidRPr="008630EB">
              <w:rPr>
                <w:u w:val="double"/>
              </w:rPr>
              <w:t>Non-Compliance</w:t>
            </w:r>
            <w:r w:rsidR="00C23249">
              <w:t xml:space="preserve"> is </w:t>
            </w:r>
            <w:r w:rsidR="00C23249" w:rsidRPr="008630EB">
              <w:rPr>
                <w:u w:val="double"/>
              </w:rPr>
              <w:t>Serious Non-Compliance</w:t>
            </w:r>
            <w:r w:rsidR="00C23249">
              <w:t xml:space="preserve"> or </w:t>
            </w:r>
            <w:r w:rsidR="00C23249" w:rsidRPr="008630EB">
              <w:rPr>
                <w:u w:val="double"/>
              </w:rPr>
              <w:t>Continuing Non-Compliance</w:t>
            </w:r>
            <w:r w:rsidR="00C23249">
              <w:t>?</w:t>
            </w:r>
          </w:p>
          <w:p w:rsidR="00583D59" w:rsidRDefault="00C23249" w:rsidP="00583D59">
            <w:pPr>
              <w:pStyle w:val="ExplanationLevel2"/>
            </w:pPr>
            <w:r>
              <w:t xml:space="preserve">If yes, determine whether each </w:t>
            </w:r>
            <w:r w:rsidRPr="008630EB">
              <w:t>Finding of Non-Compliance</w:t>
            </w:r>
            <w:r>
              <w:t xml:space="preserve"> is </w:t>
            </w:r>
            <w:r w:rsidRPr="008630EB">
              <w:t>Serious Non-Compliance</w:t>
            </w:r>
            <w:r>
              <w:t xml:space="preserve"> or </w:t>
            </w:r>
            <w:r w:rsidRPr="008630EB">
              <w:t>Continuing Non-Compliance</w:t>
            </w:r>
            <w:r>
              <w:t xml:space="preserve">. </w:t>
            </w:r>
            <w:proofErr w:type="gramStart"/>
            <w:r>
              <w:t xml:space="preserve">Refer </w:t>
            </w:r>
            <w:r w:rsidRPr="008630EB">
              <w:t>Non</w:t>
            </w:r>
            <w:proofErr w:type="gramEnd"/>
            <w:r w:rsidRPr="008630EB">
              <w:t xml:space="preserve">-Compliance </w:t>
            </w:r>
            <w:r>
              <w:t xml:space="preserve">that is neither </w:t>
            </w:r>
            <w:r w:rsidRPr="008630EB">
              <w:t>Serious Non-Compliance</w:t>
            </w:r>
            <w:r>
              <w:t xml:space="preserve"> nor </w:t>
            </w:r>
            <w:r w:rsidRPr="008630EB">
              <w:t>Continuing Non-Compliance</w:t>
            </w:r>
            <w:r w:rsidRPr="00C23249">
              <w:t xml:space="preserve"> </w:t>
            </w:r>
            <w:r>
              <w:t xml:space="preserve">to IRB staff for management. </w:t>
            </w:r>
            <w:r w:rsidR="00E667E8">
              <w:t>Consider actions in Section 3</w:t>
            </w:r>
            <w:r>
              <w:t xml:space="preserve"> for all </w:t>
            </w:r>
            <w:r w:rsidRPr="008630EB">
              <w:t>Serious Non-Compliance</w:t>
            </w:r>
            <w:r>
              <w:t xml:space="preserve"> and </w:t>
            </w:r>
            <w:r w:rsidRPr="008630EB">
              <w:t>Continuing Non-Compliance</w:t>
            </w:r>
            <w:r>
              <w:t>.</w:t>
            </w:r>
          </w:p>
          <w:p w:rsidR="00583D59" w:rsidRDefault="00C23249" w:rsidP="00583D59">
            <w:pPr>
              <w:pStyle w:val="ChecklistLevel2"/>
            </w:pPr>
            <w:r>
              <w:t xml:space="preserve">Is there any information for which a determination has not been made whether it represents an </w:t>
            </w:r>
            <w:r w:rsidRPr="008630EB">
              <w:rPr>
                <w:u w:val="double"/>
              </w:rPr>
              <w:t xml:space="preserve">Unanticipated Problem Involving Risks to </w:t>
            </w:r>
            <w:r w:rsidR="001E63CE">
              <w:rPr>
                <w:u w:val="double"/>
              </w:rPr>
              <w:t>Subject</w:t>
            </w:r>
            <w:r w:rsidRPr="008630EB">
              <w:rPr>
                <w:u w:val="double"/>
              </w:rPr>
              <w:t>s or Others</w:t>
            </w:r>
            <w:r>
              <w:t>?</w:t>
            </w:r>
          </w:p>
          <w:p w:rsidR="000954C3" w:rsidRDefault="00C23249" w:rsidP="00583D59">
            <w:pPr>
              <w:pStyle w:val="ExplanationLevel2"/>
            </w:pPr>
            <w:r>
              <w:t xml:space="preserve">If yes, determine whether each information item is an </w:t>
            </w:r>
            <w:r w:rsidRPr="008630EB">
              <w:rPr>
                <w:u w:val="double"/>
              </w:rPr>
              <w:t xml:space="preserve">Unanticipated Problem Involving Risks to </w:t>
            </w:r>
            <w:r w:rsidR="001E63CE">
              <w:rPr>
                <w:u w:val="double"/>
              </w:rPr>
              <w:t>Subject</w:t>
            </w:r>
            <w:r w:rsidRPr="008630EB">
              <w:rPr>
                <w:u w:val="double"/>
              </w:rPr>
              <w:t>s or Others</w:t>
            </w:r>
            <w:r>
              <w:t xml:space="preserve">. Take no action on information that is not an </w:t>
            </w:r>
            <w:r w:rsidRPr="008630EB">
              <w:rPr>
                <w:u w:val="double"/>
              </w:rPr>
              <w:t xml:space="preserve">Unanticipated Problem Involving Risks to </w:t>
            </w:r>
            <w:r w:rsidR="001E63CE">
              <w:rPr>
                <w:u w:val="double"/>
              </w:rPr>
              <w:t>Subject</w:t>
            </w:r>
            <w:r w:rsidRPr="008630EB">
              <w:rPr>
                <w:u w:val="double"/>
              </w:rPr>
              <w:t>s or Others</w:t>
            </w:r>
            <w:r>
              <w:t xml:space="preserve">. </w:t>
            </w:r>
            <w:r w:rsidR="00E667E8">
              <w:t>Consider actions in Section 3</w:t>
            </w:r>
            <w:r>
              <w:t xml:space="preserve"> for all information items that are</w:t>
            </w:r>
            <w:r w:rsidR="008630EB">
              <w:t xml:space="preserve"> an</w:t>
            </w:r>
            <w:r>
              <w:t xml:space="preserve"> </w:t>
            </w:r>
            <w:r w:rsidRPr="008630EB">
              <w:rPr>
                <w:u w:val="double"/>
              </w:rPr>
              <w:t xml:space="preserve">Unanticipated Problem Involving Risks to </w:t>
            </w:r>
            <w:r w:rsidR="001E63CE">
              <w:rPr>
                <w:u w:val="double"/>
              </w:rPr>
              <w:t>Subject</w:t>
            </w:r>
            <w:r w:rsidRPr="008630EB">
              <w:rPr>
                <w:u w:val="double"/>
              </w:rPr>
              <w:t>s or Others</w:t>
            </w:r>
            <w:r>
              <w:t>.</w:t>
            </w:r>
          </w:p>
          <w:p w:rsidR="0021589A" w:rsidRPr="00F25E4C" w:rsidRDefault="00566443">
            <w:pPr>
              <w:pStyle w:val="ChecklistLevel2"/>
              <w:rPr>
                <w:sz w:val="24"/>
              </w:rPr>
            </w:pPr>
            <w:r>
              <w:t xml:space="preserve">If </w:t>
            </w:r>
            <w:r w:rsidR="00D61DB8">
              <w:t xml:space="preserve">the convened IRB determines that the New Information does not meet Serious Non-Compliance, Continuing Non-Compliance, Unanticipated Problem Involving Risks to Subjects or Others, Suspension of IRB Approval or Termination of IRB Approval then </w:t>
            </w:r>
            <w:r>
              <w:t>the IRB can acknowledge the New Information Form</w:t>
            </w:r>
            <w:r w:rsidR="006502FE">
              <w:t xml:space="preserve"> and investigator</w:t>
            </w:r>
            <w:r w:rsidR="00BC13FD">
              <w:t>’</w:t>
            </w:r>
            <w:r w:rsidR="006502FE">
              <w:t>s recommendations, if any.</w:t>
            </w:r>
          </w:p>
          <w:p w:rsidR="00F25E4C" w:rsidRDefault="00F25E4C">
            <w:pPr>
              <w:pStyle w:val="ChecklistLevel2"/>
              <w:rPr>
                <w:sz w:val="24"/>
              </w:rPr>
            </w:pPr>
            <w:r>
              <w:t>If the convened IRB determines Serious Non-Compliance; Continuing Non-compliance; Suspension of IRB Approval; Termination of IRB Approval; Unanticipated Problem Involving Risks to Subjects or Others then follow 5.7.4</w:t>
            </w:r>
            <w:r w:rsidR="00CB1FE9">
              <w:t>.3</w:t>
            </w:r>
            <w:r w:rsidR="0091533F">
              <w:t xml:space="preserve"> in SOP HRP-024.</w:t>
            </w:r>
          </w:p>
        </w:tc>
      </w:tr>
      <w:tr w:rsidR="00421BE3" w:rsidRPr="00421BE3" w:rsidTr="002F31D3">
        <w:trPr>
          <w:trHeight w:hRule="exact" w:val="72"/>
        </w:trPr>
        <w:tc>
          <w:tcPr>
            <w:tcW w:w="11018" w:type="dxa"/>
            <w:gridSpan w:val="5"/>
            <w:shd w:val="clear" w:color="auto" w:fill="000000"/>
          </w:tcPr>
          <w:p w:rsidR="00421BE3" w:rsidRPr="00421BE3" w:rsidRDefault="00421BE3" w:rsidP="002F31D3"/>
        </w:tc>
      </w:tr>
      <w:tr w:rsidR="00076A61" w:rsidTr="00510E64">
        <w:tc>
          <w:tcPr>
            <w:tcW w:w="11018" w:type="dxa"/>
            <w:gridSpan w:val="5"/>
          </w:tcPr>
          <w:p w:rsidR="00076A61" w:rsidRDefault="00566443" w:rsidP="00076A61">
            <w:pPr>
              <w:pStyle w:val="ChecklistLevel1"/>
            </w:pPr>
            <w:r>
              <w:t>Actions</w:t>
            </w:r>
          </w:p>
        </w:tc>
      </w:tr>
      <w:tr w:rsidR="00510E64" w:rsidRPr="00510E64" w:rsidTr="00080C24">
        <w:trPr>
          <w:trHeight w:val="360"/>
        </w:trPr>
        <w:tc>
          <w:tcPr>
            <w:tcW w:w="492" w:type="dxa"/>
          </w:tcPr>
          <w:p w:rsidR="00510E64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4967" w:type="dxa"/>
            <w:gridSpan w:val="2"/>
            <w:shd w:val="clear" w:color="auto" w:fill="auto"/>
          </w:tcPr>
          <w:p w:rsidR="00510E64" w:rsidRPr="00510E64" w:rsidRDefault="00510E64" w:rsidP="00583D59">
            <w:pPr>
              <w:pStyle w:val="StatementLevel1"/>
              <w:rPr>
                <w:u w:val="double"/>
              </w:rPr>
            </w:pPr>
            <w:r>
              <w:t>Modify the protocol.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6B2350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:rsidR="00510E64" w:rsidRPr="00510E64" w:rsidRDefault="00510E64" w:rsidP="00583D59">
            <w:pPr>
              <w:pStyle w:val="StatementLevel1"/>
              <w:rPr>
                <w:u w:val="double"/>
              </w:rPr>
            </w:pPr>
            <w:r>
              <w:t>Terminate IRB approval</w:t>
            </w:r>
            <w:r w:rsidR="00177017">
              <w:t>.</w:t>
            </w:r>
          </w:p>
        </w:tc>
      </w:tr>
      <w:tr w:rsidR="00510E64" w:rsidRPr="00510E64" w:rsidTr="00080C24">
        <w:trPr>
          <w:trHeight w:val="360"/>
        </w:trPr>
        <w:tc>
          <w:tcPr>
            <w:tcW w:w="492" w:type="dxa"/>
          </w:tcPr>
          <w:p w:rsidR="00510E64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4967" w:type="dxa"/>
            <w:gridSpan w:val="2"/>
            <w:shd w:val="clear" w:color="auto" w:fill="auto"/>
          </w:tcPr>
          <w:p w:rsidR="00510E64" w:rsidRPr="00510E64" w:rsidRDefault="00510E64" w:rsidP="00583D59">
            <w:pPr>
              <w:pStyle w:val="StatementLevel1"/>
              <w:rPr>
                <w:u w:val="double"/>
              </w:rPr>
            </w:pPr>
            <w:r>
              <w:t>Modify the information disclosed during the consent process.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6B2350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:rsidR="00510E64" w:rsidRPr="00510E64" w:rsidRDefault="00510E64" w:rsidP="00583D59">
            <w:pPr>
              <w:pStyle w:val="StatementLevel1"/>
              <w:rPr>
                <w:u w:val="double"/>
              </w:rPr>
            </w:pPr>
            <w:r>
              <w:t>Suspend IRB approval.</w:t>
            </w:r>
          </w:p>
        </w:tc>
      </w:tr>
      <w:tr w:rsidR="00510E64" w:rsidRPr="00510E64" w:rsidTr="00080C24">
        <w:trPr>
          <w:trHeight w:val="360"/>
        </w:trPr>
        <w:tc>
          <w:tcPr>
            <w:tcW w:w="492" w:type="dxa"/>
          </w:tcPr>
          <w:p w:rsidR="00510E64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4967" w:type="dxa"/>
            <w:gridSpan w:val="2"/>
            <w:shd w:val="clear" w:color="auto" w:fill="auto"/>
          </w:tcPr>
          <w:p w:rsidR="00510E64" w:rsidRPr="00510E64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Provide additional information to current </w:t>
            </w:r>
            <w:r w:rsidR="001E63CE">
              <w:t>subject</w:t>
            </w:r>
            <w:r>
              <w:t xml:space="preserve">s (Whenever the information may relate to the </w:t>
            </w:r>
            <w:r w:rsidR="001E63CE">
              <w:t>subject</w:t>
            </w:r>
            <w:r>
              <w:t>’s willingness to continue.)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6B2350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:rsidR="00510E64" w:rsidRPr="00510E64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Transfer </w:t>
            </w:r>
            <w:r w:rsidR="001E63CE">
              <w:t>subject</w:t>
            </w:r>
            <w:r>
              <w:t>s to another investigator</w:t>
            </w:r>
          </w:p>
        </w:tc>
      </w:tr>
      <w:tr w:rsidR="00510E64" w:rsidRPr="00510E64" w:rsidTr="00080C24">
        <w:trPr>
          <w:trHeight w:val="360"/>
        </w:trPr>
        <w:tc>
          <w:tcPr>
            <w:tcW w:w="492" w:type="dxa"/>
          </w:tcPr>
          <w:p w:rsidR="00510E64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4967" w:type="dxa"/>
            <w:gridSpan w:val="2"/>
            <w:shd w:val="clear" w:color="auto" w:fill="auto"/>
          </w:tcPr>
          <w:p w:rsidR="00510E64" w:rsidRPr="00510E64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Provide additional information to past </w:t>
            </w:r>
            <w:r w:rsidR="001E63CE">
              <w:t>subject</w:t>
            </w:r>
            <w:r>
              <w:t>s.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6B2350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:rsidR="00510E64" w:rsidRPr="00510E64" w:rsidRDefault="00510E64" w:rsidP="00583D59">
            <w:pPr>
              <w:pStyle w:val="StatementLevel1"/>
              <w:rPr>
                <w:u w:val="double"/>
              </w:rPr>
            </w:pPr>
            <w:r>
              <w:t>Make arrangements for clinical care outside the research</w:t>
            </w:r>
          </w:p>
        </w:tc>
      </w:tr>
      <w:tr w:rsidR="00510E64" w:rsidRPr="00510E64" w:rsidTr="00080C24">
        <w:trPr>
          <w:trHeight w:val="360"/>
        </w:trPr>
        <w:tc>
          <w:tcPr>
            <w:tcW w:w="492" w:type="dxa"/>
          </w:tcPr>
          <w:p w:rsidR="00510E64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4967" w:type="dxa"/>
            <w:gridSpan w:val="2"/>
            <w:shd w:val="clear" w:color="auto" w:fill="auto"/>
          </w:tcPr>
          <w:p w:rsidR="00510E64" w:rsidRPr="00510E64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Have current </w:t>
            </w:r>
            <w:r w:rsidR="001E63CE">
              <w:t>subject</w:t>
            </w:r>
            <w:r>
              <w:t>s to re-consent.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6B2350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E64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:rsidR="00510E64" w:rsidRPr="00510E64" w:rsidRDefault="00510E64" w:rsidP="00583D59">
            <w:pPr>
              <w:pStyle w:val="StatementLevel1"/>
              <w:rPr>
                <w:u w:val="double"/>
              </w:rPr>
            </w:pPr>
            <w:r>
              <w:t>Allow continuation of some research activities under the supervision of an independent monitor</w:t>
            </w:r>
            <w:r w:rsidR="00080C24">
              <w:t>.</w:t>
            </w:r>
          </w:p>
        </w:tc>
      </w:tr>
      <w:tr w:rsidR="00583D59" w:rsidRPr="00510E64" w:rsidTr="00080C24">
        <w:trPr>
          <w:trHeight w:val="360"/>
        </w:trPr>
        <w:tc>
          <w:tcPr>
            <w:tcW w:w="492" w:type="dxa"/>
          </w:tcPr>
          <w:p w:rsidR="00583D59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D59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4967" w:type="dxa"/>
            <w:gridSpan w:val="2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Increase the frequency of continuing review.</w:t>
            </w:r>
          </w:p>
        </w:tc>
        <w:tc>
          <w:tcPr>
            <w:tcW w:w="492" w:type="dxa"/>
            <w:shd w:val="clear" w:color="auto" w:fill="auto"/>
          </w:tcPr>
          <w:p w:rsidR="00583D59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D59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:rsidR="00583D59" w:rsidRPr="00510E64" w:rsidRDefault="00583D59" w:rsidP="00583D59">
            <w:pPr>
              <w:pStyle w:val="StatementLevel1"/>
              <w:rPr>
                <w:u w:val="double"/>
              </w:rPr>
            </w:pPr>
            <w:r>
              <w:t xml:space="preserve">Require follow-up of </w:t>
            </w:r>
            <w:r w:rsidR="001E63CE">
              <w:t>subject</w:t>
            </w:r>
            <w:r>
              <w:t>s for safety reasons.</w:t>
            </w:r>
          </w:p>
        </w:tc>
      </w:tr>
      <w:tr w:rsidR="00583D59" w:rsidRPr="00510E64" w:rsidTr="00080C24">
        <w:trPr>
          <w:trHeight w:val="360"/>
        </w:trPr>
        <w:tc>
          <w:tcPr>
            <w:tcW w:w="492" w:type="dxa"/>
          </w:tcPr>
          <w:p w:rsidR="00583D59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D59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4967" w:type="dxa"/>
            <w:gridSpan w:val="2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Observe the research.</w:t>
            </w:r>
          </w:p>
        </w:tc>
        <w:tc>
          <w:tcPr>
            <w:tcW w:w="492" w:type="dxa"/>
            <w:shd w:val="clear" w:color="auto" w:fill="auto"/>
          </w:tcPr>
          <w:p w:rsidR="00583D59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D59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:rsidR="00583D59" w:rsidRPr="00510E64" w:rsidRDefault="00583D59" w:rsidP="00583D59">
            <w:pPr>
              <w:pStyle w:val="StatementLevel1"/>
              <w:rPr>
                <w:u w:val="double"/>
              </w:rPr>
            </w:pPr>
            <w:r>
              <w:t>Require adverse events or outcomes to be reported to the IRB and the sponsor</w:t>
            </w:r>
          </w:p>
        </w:tc>
      </w:tr>
      <w:tr w:rsidR="00583D59" w:rsidRPr="00510E64" w:rsidTr="00080C24">
        <w:trPr>
          <w:trHeight w:val="360"/>
        </w:trPr>
        <w:tc>
          <w:tcPr>
            <w:tcW w:w="492" w:type="dxa"/>
          </w:tcPr>
          <w:p w:rsidR="00583D59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D59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4967" w:type="dxa"/>
            <w:gridSpan w:val="2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Observe the consent process.</w:t>
            </w:r>
          </w:p>
        </w:tc>
        <w:tc>
          <w:tcPr>
            <w:tcW w:w="492" w:type="dxa"/>
            <w:shd w:val="clear" w:color="auto" w:fill="auto"/>
          </w:tcPr>
          <w:p w:rsidR="00583D59" w:rsidRPr="00EB4707" w:rsidRDefault="006B2350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D59"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:rsidR="00583D59" w:rsidRPr="00510E64" w:rsidRDefault="00583D59" w:rsidP="00583D59">
            <w:pPr>
              <w:pStyle w:val="StatementLevel1"/>
              <w:rPr>
                <w:u w:val="double"/>
              </w:rPr>
            </w:pPr>
            <w:r>
              <w:t>Obtain additional information.</w:t>
            </w:r>
          </w:p>
        </w:tc>
      </w:tr>
      <w:tr w:rsidR="00052AF4" w:rsidRPr="00510E64" w:rsidTr="00C93A6C">
        <w:trPr>
          <w:trHeight w:val="360"/>
        </w:trPr>
        <w:tc>
          <w:tcPr>
            <w:tcW w:w="492" w:type="dxa"/>
          </w:tcPr>
          <w:p w:rsidR="00052AF4" w:rsidRPr="00EB4707" w:rsidRDefault="00052AF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4967" w:type="dxa"/>
            <w:gridSpan w:val="2"/>
            <w:shd w:val="clear" w:color="auto" w:fill="auto"/>
          </w:tcPr>
          <w:p w:rsidR="00052AF4" w:rsidRDefault="00052AF4" w:rsidP="00583D59">
            <w:pPr>
              <w:pStyle w:val="StatementLevel1"/>
            </w:pPr>
            <w:r>
              <w:t>Require additional training of the investigator.</w:t>
            </w:r>
          </w:p>
        </w:tc>
        <w:tc>
          <w:tcPr>
            <w:tcW w:w="492" w:type="dxa"/>
            <w:shd w:val="clear" w:color="auto" w:fill="auto"/>
          </w:tcPr>
          <w:p w:rsidR="00052AF4" w:rsidRPr="00EB4707" w:rsidRDefault="00052AF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:rsidR="00052AF4" w:rsidRDefault="00052AF4" w:rsidP="00583D59">
            <w:pPr>
              <w:pStyle w:val="StatementLevel1"/>
            </w:pPr>
            <w:r>
              <w:t xml:space="preserve"> Consider whether changes without prior IRB review and approval were consistent with ensuring the subject’s continued welfare.</w:t>
            </w:r>
          </w:p>
        </w:tc>
      </w:tr>
      <w:tr w:rsidR="00052AF4" w:rsidRPr="00510E64" w:rsidTr="00C93A6C">
        <w:trPr>
          <w:trHeight w:val="360"/>
        </w:trPr>
        <w:tc>
          <w:tcPr>
            <w:tcW w:w="492" w:type="dxa"/>
          </w:tcPr>
          <w:p w:rsidR="00052AF4" w:rsidRPr="00EB4707" w:rsidRDefault="00052AF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4967" w:type="dxa"/>
            <w:gridSpan w:val="2"/>
            <w:shd w:val="clear" w:color="auto" w:fill="auto"/>
          </w:tcPr>
          <w:p w:rsidR="00052AF4" w:rsidRDefault="00052AF4" w:rsidP="00583D59">
            <w:pPr>
              <w:pStyle w:val="StatementLevel1"/>
            </w:pPr>
            <w:r>
              <w:t>Notify investigators at other sites.</w:t>
            </w:r>
          </w:p>
        </w:tc>
        <w:tc>
          <w:tcPr>
            <w:tcW w:w="492" w:type="dxa"/>
            <w:shd w:val="clear" w:color="auto" w:fill="auto"/>
          </w:tcPr>
          <w:p w:rsidR="00052AF4" w:rsidRPr="00510E64" w:rsidRDefault="00052AF4" w:rsidP="00583D59">
            <w:pPr>
              <w:pStyle w:val="StatementLevel1"/>
              <w:rPr>
                <w:u w:val="double"/>
              </w:rPr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93A6C">
              <w:fldChar w:fldCharType="separate"/>
            </w:r>
            <w:r w:rsidRPr="00EB4707">
              <w:fldChar w:fldCharType="end"/>
            </w:r>
          </w:p>
        </w:tc>
        <w:tc>
          <w:tcPr>
            <w:tcW w:w="5067" w:type="dxa"/>
            <w:shd w:val="clear" w:color="auto" w:fill="auto"/>
          </w:tcPr>
          <w:p w:rsidR="00052AF4" w:rsidRPr="00510E64" w:rsidRDefault="00052AF4" w:rsidP="00583D59">
            <w:pPr>
              <w:pStyle w:val="StatementLevel1"/>
              <w:rPr>
                <w:u w:val="double"/>
              </w:rPr>
            </w:pPr>
            <w:r>
              <w:t>Other:</w:t>
            </w:r>
          </w:p>
        </w:tc>
      </w:tr>
    </w:tbl>
    <w:p w:rsidR="001B56EF" w:rsidRDefault="00052AF4" w:rsidP="00CF09F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3482975</wp:posOffset>
                </wp:positionV>
                <wp:extent cx="715645" cy="9525"/>
                <wp:effectExtent l="19050" t="53975" r="8255" b="508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56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72pt;margin-top:274.25pt;width:56.35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3244850</wp:posOffset>
                </wp:positionV>
                <wp:extent cx="1189355" cy="504825"/>
                <wp:effectExtent l="10795" t="15875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4C" w:rsidRPr="001D351A" w:rsidRDefault="00F25E4C" w:rsidP="001D35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D351A">
                              <w:rPr>
                                <w:rFonts w:ascii="Arial" w:hAnsi="Arial" w:cs="Arial"/>
                                <w:sz w:val="20"/>
                              </w:rPr>
                              <w:t>Undetermined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8.35pt;margin-top:255.5pt;width:93.6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" fillcolor="#bfbfbf [2412]" strokeweight="1.5pt">
                <v:textbox>
                  <w:txbxContent>
                    <w:p w:rsidR="00F25E4C" w:rsidRPr="001D351A" w:rsidRDefault="00F25E4C" w:rsidP="001D351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D351A">
                        <w:rPr>
                          <w:rFonts w:ascii="Arial" w:hAnsi="Arial" w:cs="Arial"/>
                          <w:sz w:val="20"/>
                        </w:rPr>
                        <w:t>Undetermined</w:t>
                      </w:r>
                    </w:p>
                  </w:txbxContent>
                </v:textbox>
              </v:shape>
            </w:pict>
          </mc:Fallback>
        </mc:AlternateContent>
      </w:r>
      <w:r w:rsidR="006502FE">
        <w:object w:dxaOrig="8134" w:dyaOrig="8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65pt;height:415.85pt" o:ole="">
            <v:imagedata r:id="rId9" o:title=""/>
          </v:shape>
          <o:OLEObject Type="Embed" ProgID="Visio.Drawing.11" ShapeID="_x0000_i1025" DrawAspect="Content" ObjectID="_1606731920" r:id="rId10"/>
        </w:object>
      </w:r>
    </w:p>
    <w:sectPr w:rsidR="001B56EF" w:rsidSect="00C93A6C">
      <w:headerReference w:type="default" r:id="rId11"/>
      <w:footerReference w:type="default" r:id="rId12"/>
      <w:pgSz w:w="12240" w:h="15840"/>
      <w:pgMar w:top="189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94" w:rsidRDefault="008B2B94">
      <w:r>
        <w:separator/>
      </w:r>
    </w:p>
  </w:endnote>
  <w:endnote w:type="continuationSeparator" w:id="0">
    <w:p w:rsidR="008B2B94" w:rsidRDefault="008B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C" w:rsidRPr="00E571F1" w:rsidRDefault="00F25E4C" w:rsidP="00CD18BC">
    <w:pPr>
      <w:pStyle w:val="SOPFooter"/>
      <w:tabs>
        <w:tab w:val="right" w:pos="10800"/>
      </w:tabs>
      <w:jc w:val="left"/>
    </w:pPr>
    <w:r w:rsidRPr="00E571F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94" w:rsidRDefault="008B2B94">
      <w:r>
        <w:separator/>
      </w:r>
    </w:p>
  </w:footnote>
  <w:footnote w:type="continuationSeparator" w:id="0">
    <w:p w:rsidR="008B2B94" w:rsidRDefault="008B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070"/>
      <w:gridCol w:w="2160"/>
      <w:gridCol w:w="2250"/>
      <w:gridCol w:w="2376"/>
    </w:tblGrid>
    <w:tr w:rsidR="00F25E4C" w:rsidRPr="00E85135" w:rsidTr="00080C24">
      <w:trPr>
        <w:cantSplit/>
        <w:trHeight w:hRule="exact" w:val="375"/>
      </w:trPr>
      <w:tc>
        <w:tcPr>
          <w:tcW w:w="2160" w:type="dxa"/>
          <w:vMerge w:val="restart"/>
          <w:vAlign w:val="center"/>
        </w:tcPr>
        <w:p w:rsidR="00F25E4C" w:rsidRPr="00E85135" w:rsidRDefault="00F25E4C" w:rsidP="00520032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7A14337B" wp14:editId="7407DF54">
                <wp:extent cx="1238250" cy="295275"/>
                <wp:effectExtent l="19050" t="0" r="0" b="0"/>
                <wp:docPr id="10" name="Picture 1" descr="New Spectrum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Spectrum Heal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3"/>
        </w:tcPr>
        <w:p w:rsidR="00F25E4C" w:rsidRPr="00E85135" w:rsidRDefault="00F25E4C" w:rsidP="00177017">
          <w:pPr>
            <w:pStyle w:val="ChecklistName"/>
          </w:pPr>
          <w:r>
            <w:rPr>
              <w:rStyle w:val="ChecklistLeader"/>
            </w:rPr>
            <w:t>WORKSHEET</w:t>
          </w:r>
          <w:r w:rsidRPr="004113B3">
            <w:rPr>
              <w:rStyle w:val="ChecklistLeader"/>
            </w:rPr>
            <w:t xml:space="preserve">: </w:t>
          </w:r>
          <w:r>
            <w:t>Review of Information Items</w:t>
          </w:r>
        </w:p>
      </w:tc>
      <w:tc>
        <w:tcPr>
          <w:tcW w:w="2376" w:type="dxa"/>
          <w:shd w:val="clear" w:color="auto" w:fill="auto"/>
          <w:vAlign w:val="center"/>
        </w:tcPr>
        <w:p w:rsidR="00F25E4C" w:rsidRPr="001031DD" w:rsidRDefault="00F25E4C" w:rsidP="00520032">
          <w:pPr>
            <w:pStyle w:val="ChecklistTableHeader"/>
            <w:jc w:val="left"/>
          </w:pPr>
          <w:r w:rsidRPr="001031DD">
            <w:t>IRB #</w:t>
          </w:r>
        </w:p>
      </w:tc>
    </w:tr>
    <w:tr w:rsidR="00F25E4C" w:rsidRPr="00E85135" w:rsidTr="00080C24">
      <w:trPr>
        <w:cantSplit/>
      </w:trPr>
      <w:tc>
        <w:tcPr>
          <w:tcW w:w="2160" w:type="dxa"/>
          <w:vMerge/>
        </w:tcPr>
        <w:p w:rsidR="00F25E4C" w:rsidRPr="00E85135" w:rsidRDefault="00F25E4C" w:rsidP="00520032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:rsidR="00F25E4C" w:rsidRPr="00321577" w:rsidRDefault="00F25E4C" w:rsidP="00520032">
          <w:pPr>
            <w:pStyle w:val="ChecklistTableHeader"/>
          </w:pPr>
          <w:r w:rsidRPr="00321577">
            <w:t>NUMBER</w:t>
          </w:r>
        </w:p>
      </w:tc>
      <w:tc>
        <w:tcPr>
          <w:tcW w:w="2160" w:type="dxa"/>
          <w:shd w:val="clear" w:color="auto" w:fill="auto"/>
          <w:vAlign w:val="center"/>
        </w:tcPr>
        <w:p w:rsidR="00F25E4C" w:rsidRPr="00321577" w:rsidRDefault="00F25E4C" w:rsidP="00520032">
          <w:pPr>
            <w:pStyle w:val="ChecklistTableHeader"/>
          </w:pPr>
          <w:r w:rsidRPr="00321577">
            <w:t>DATE</w:t>
          </w:r>
        </w:p>
      </w:tc>
      <w:tc>
        <w:tcPr>
          <w:tcW w:w="2250" w:type="dxa"/>
          <w:shd w:val="clear" w:color="auto" w:fill="auto"/>
          <w:vAlign w:val="center"/>
        </w:tcPr>
        <w:p w:rsidR="00F25E4C" w:rsidRPr="00321577" w:rsidRDefault="00F25E4C" w:rsidP="00520032">
          <w:pPr>
            <w:pStyle w:val="ChecklistTableHeader"/>
          </w:pPr>
          <w:r w:rsidRPr="00321577">
            <w:t>PAGE</w:t>
          </w:r>
        </w:p>
      </w:tc>
      <w:tc>
        <w:tcPr>
          <w:tcW w:w="2376" w:type="dxa"/>
          <w:shd w:val="clear" w:color="auto" w:fill="auto"/>
          <w:vAlign w:val="center"/>
        </w:tcPr>
        <w:p w:rsidR="00F25E4C" w:rsidRPr="001031DD" w:rsidRDefault="00F25E4C" w:rsidP="00520032">
          <w:pPr>
            <w:pStyle w:val="ChecklistTableHeader"/>
            <w:jc w:val="left"/>
          </w:pPr>
          <w:r w:rsidRPr="001031DD">
            <w:t>Review Type:</w:t>
          </w:r>
        </w:p>
      </w:tc>
    </w:tr>
    <w:tr w:rsidR="00F25E4C" w:rsidRPr="0057043C" w:rsidTr="00080C24">
      <w:trPr>
        <w:cantSplit/>
        <w:trHeight w:val="273"/>
      </w:trPr>
      <w:tc>
        <w:tcPr>
          <w:tcW w:w="2160" w:type="dxa"/>
          <w:vMerge/>
        </w:tcPr>
        <w:p w:rsidR="00F25E4C" w:rsidRPr="00E85135" w:rsidRDefault="00F25E4C" w:rsidP="00520032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070" w:type="dxa"/>
          <w:vAlign w:val="center"/>
        </w:tcPr>
        <w:p w:rsidR="00F25E4C" w:rsidRPr="0057043C" w:rsidRDefault="00F25E4C" w:rsidP="00520032">
          <w:pPr>
            <w:pStyle w:val="ChecklistTableEntry"/>
          </w:pPr>
          <w:r>
            <w:t>HRP-306</w:t>
          </w:r>
        </w:p>
      </w:tc>
      <w:tc>
        <w:tcPr>
          <w:tcW w:w="2160" w:type="dxa"/>
          <w:shd w:val="clear" w:color="auto" w:fill="auto"/>
          <w:vAlign w:val="center"/>
        </w:tcPr>
        <w:p w:rsidR="00F25E4C" w:rsidRPr="0057043C" w:rsidRDefault="00052AF4" w:rsidP="00520032">
          <w:pPr>
            <w:pStyle w:val="ChecklistTableEntry"/>
          </w:pPr>
          <w:r>
            <w:t>1</w:t>
          </w:r>
          <w:r w:rsidR="00F25E4C">
            <w:t>0/1</w:t>
          </w:r>
          <w:r>
            <w:t>7</w:t>
          </w:r>
          <w:r w:rsidR="00F25E4C">
            <w:t>/</w:t>
          </w:r>
          <w:r>
            <w:t>2018</w:t>
          </w:r>
        </w:p>
      </w:tc>
      <w:tc>
        <w:tcPr>
          <w:tcW w:w="2250" w:type="dxa"/>
          <w:shd w:val="clear" w:color="auto" w:fill="auto"/>
          <w:vAlign w:val="center"/>
        </w:tcPr>
        <w:p w:rsidR="00F25E4C" w:rsidRPr="0057043C" w:rsidRDefault="00295ED8" w:rsidP="00520032">
          <w:pPr>
            <w:pStyle w:val="Checklist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3A6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25E4C" w:rsidRPr="0057043C">
            <w:t xml:space="preserve"> of </w:t>
          </w:r>
          <w:r w:rsidR="00C93A6C">
            <w:fldChar w:fldCharType="begin"/>
          </w:r>
          <w:r w:rsidR="00C93A6C">
            <w:instrText xml:space="preserve"> NUMPAGES </w:instrText>
          </w:r>
          <w:r w:rsidR="00C93A6C">
            <w:fldChar w:fldCharType="separate"/>
          </w:r>
          <w:r w:rsidR="00C93A6C">
            <w:rPr>
              <w:noProof/>
            </w:rPr>
            <w:t>2</w:t>
          </w:r>
          <w:r w:rsidR="00C93A6C">
            <w:rPr>
              <w:noProof/>
            </w:rPr>
            <w:fldChar w:fldCharType="end"/>
          </w:r>
        </w:p>
      </w:tc>
      <w:tc>
        <w:tcPr>
          <w:tcW w:w="2376" w:type="dxa"/>
          <w:shd w:val="clear" w:color="auto" w:fill="auto"/>
          <w:vAlign w:val="center"/>
        </w:tcPr>
        <w:p w:rsidR="00F25E4C" w:rsidRPr="001031DD" w:rsidRDefault="00F25E4C" w:rsidP="00520032">
          <w:pPr>
            <w:pStyle w:val="ChecklistTableEntry"/>
            <w:jc w:val="left"/>
            <w:rPr>
              <w:b/>
            </w:rPr>
          </w:pPr>
          <w:r w:rsidRPr="001031DD">
            <w:rPr>
              <w:b/>
            </w:rPr>
            <w:t>Status:</w:t>
          </w:r>
        </w:p>
      </w:tc>
    </w:tr>
  </w:tbl>
  <w:p w:rsidR="00F25E4C" w:rsidRPr="00321577" w:rsidRDefault="00F25E4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682879"/>
    <w:multiLevelType w:val="multilevel"/>
    <w:tmpl w:val="1BCCDAC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  <w:sz w:val="20"/>
        <w:szCs w:val="20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E263E8B"/>
    <w:multiLevelType w:val="hybridMultilevel"/>
    <w:tmpl w:val="2674B3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24"/>
  </w:num>
  <w:num w:numId="17">
    <w:abstractNumId w:val="12"/>
  </w:num>
  <w:num w:numId="18">
    <w:abstractNumId w:val="23"/>
  </w:num>
  <w:num w:numId="19">
    <w:abstractNumId w:val="22"/>
  </w:num>
  <w:num w:numId="20">
    <w:abstractNumId w:val="21"/>
  </w:num>
  <w:num w:numId="21">
    <w:abstractNumId w:val="25"/>
  </w:num>
  <w:num w:numId="22">
    <w:abstractNumId w:val="14"/>
  </w:num>
  <w:num w:numId="23">
    <w:abstractNumId w:val="11"/>
  </w:num>
  <w:num w:numId="24">
    <w:abstractNumId w:val="27"/>
  </w:num>
  <w:num w:numId="25">
    <w:abstractNumId w:val="13"/>
  </w:num>
  <w:num w:numId="26">
    <w:abstractNumId w:val="16"/>
  </w:num>
  <w:num w:numId="27">
    <w:abstractNumId w:val="2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662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49"/>
    <w:rsid w:val="00022C0B"/>
    <w:rsid w:val="000361C1"/>
    <w:rsid w:val="000366A6"/>
    <w:rsid w:val="00052AF4"/>
    <w:rsid w:val="00065B05"/>
    <w:rsid w:val="00071367"/>
    <w:rsid w:val="00076A61"/>
    <w:rsid w:val="00080C24"/>
    <w:rsid w:val="00086764"/>
    <w:rsid w:val="000954C3"/>
    <w:rsid w:val="000C526D"/>
    <w:rsid w:val="000F0227"/>
    <w:rsid w:val="000F54F6"/>
    <w:rsid w:val="000F5CD3"/>
    <w:rsid w:val="0012013D"/>
    <w:rsid w:val="00122270"/>
    <w:rsid w:val="00126A31"/>
    <w:rsid w:val="00151CC4"/>
    <w:rsid w:val="00154599"/>
    <w:rsid w:val="00157EC9"/>
    <w:rsid w:val="00177017"/>
    <w:rsid w:val="00194A43"/>
    <w:rsid w:val="001B56EF"/>
    <w:rsid w:val="001D351A"/>
    <w:rsid w:val="001E63CE"/>
    <w:rsid w:val="0021589A"/>
    <w:rsid w:val="002266CE"/>
    <w:rsid w:val="00232213"/>
    <w:rsid w:val="00240E21"/>
    <w:rsid w:val="00261FD9"/>
    <w:rsid w:val="00295ED8"/>
    <w:rsid w:val="00295F34"/>
    <w:rsid w:val="002A3F5D"/>
    <w:rsid w:val="002B5620"/>
    <w:rsid w:val="002C1B13"/>
    <w:rsid w:val="002F31D3"/>
    <w:rsid w:val="0030441F"/>
    <w:rsid w:val="003050EE"/>
    <w:rsid w:val="00305112"/>
    <w:rsid w:val="00321577"/>
    <w:rsid w:val="003279F1"/>
    <w:rsid w:val="00366C72"/>
    <w:rsid w:val="00380737"/>
    <w:rsid w:val="003B2CD5"/>
    <w:rsid w:val="003D3FCD"/>
    <w:rsid w:val="003E1AF6"/>
    <w:rsid w:val="003E6066"/>
    <w:rsid w:val="004006FA"/>
    <w:rsid w:val="004113B3"/>
    <w:rsid w:val="00421BE3"/>
    <w:rsid w:val="00436538"/>
    <w:rsid w:val="00444005"/>
    <w:rsid w:val="0046138D"/>
    <w:rsid w:val="00465E68"/>
    <w:rsid w:val="0049557C"/>
    <w:rsid w:val="004D2EA4"/>
    <w:rsid w:val="004D4477"/>
    <w:rsid w:val="00510E64"/>
    <w:rsid w:val="00520032"/>
    <w:rsid w:val="005216A7"/>
    <w:rsid w:val="005442A0"/>
    <w:rsid w:val="00551612"/>
    <w:rsid w:val="005540BA"/>
    <w:rsid w:val="00566443"/>
    <w:rsid w:val="00583D59"/>
    <w:rsid w:val="005A1058"/>
    <w:rsid w:val="00610071"/>
    <w:rsid w:val="006136C9"/>
    <w:rsid w:val="00625EC2"/>
    <w:rsid w:val="00626BC8"/>
    <w:rsid w:val="00630AF0"/>
    <w:rsid w:val="006502FE"/>
    <w:rsid w:val="00660C0B"/>
    <w:rsid w:val="00662B81"/>
    <w:rsid w:val="006649A9"/>
    <w:rsid w:val="006869AE"/>
    <w:rsid w:val="0069117E"/>
    <w:rsid w:val="006A7F27"/>
    <w:rsid w:val="006B2350"/>
    <w:rsid w:val="006D56D3"/>
    <w:rsid w:val="006E5F6E"/>
    <w:rsid w:val="007448E8"/>
    <w:rsid w:val="00745F5A"/>
    <w:rsid w:val="00746AEB"/>
    <w:rsid w:val="00755189"/>
    <w:rsid w:val="00765CA8"/>
    <w:rsid w:val="007900CD"/>
    <w:rsid w:val="00795CE7"/>
    <w:rsid w:val="007E47DA"/>
    <w:rsid w:val="00837738"/>
    <w:rsid w:val="008630EB"/>
    <w:rsid w:val="0089557A"/>
    <w:rsid w:val="008B2B94"/>
    <w:rsid w:val="008C6ACE"/>
    <w:rsid w:val="008F16B0"/>
    <w:rsid w:val="008F5702"/>
    <w:rsid w:val="0091533F"/>
    <w:rsid w:val="009232E3"/>
    <w:rsid w:val="00944550"/>
    <w:rsid w:val="00A004E2"/>
    <w:rsid w:val="00A05445"/>
    <w:rsid w:val="00A162DA"/>
    <w:rsid w:val="00A203E7"/>
    <w:rsid w:val="00A725DB"/>
    <w:rsid w:val="00A874C8"/>
    <w:rsid w:val="00A97F91"/>
    <w:rsid w:val="00AB48C6"/>
    <w:rsid w:val="00AB5B22"/>
    <w:rsid w:val="00AC4069"/>
    <w:rsid w:val="00AD4F01"/>
    <w:rsid w:val="00AD5394"/>
    <w:rsid w:val="00AE1DBD"/>
    <w:rsid w:val="00AE2818"/>
    <w:rsid w:val="00AE6412"/>
    <w:rsid w:val="00AF7A30"/>
    <w:rsid w:val="00B014FE"/>
    <w:rsid w:val="00B0703F"/>
    <w:rsid w:val="00B10496"/>
    <w:rsid w:val="00B4278A"/>
    <w:rsid w:val="00B47165"/>
    <w:rsid w:val="00B86C18"/>
    <w:rsid w:val="00BA00A1"/>
    <w:rsid w:val="00BB1EA0"/>
    <w:rsid w:val="00BC13FD"/>
    <w:rsid w:val="00BC70A7"/>
    <w:rsid w:val="00BD4FCE"/>
    <w:rsid w:val="00BE0B19"/>
    <w:rsid w:val="00BE54A6"/>
    <w:rsid w:val="00BE7465"/>
    <w:rsid w:val="00C0319E"/>
    <w:rsid w:val="00C13F13"/>
    <w:rsid w:val="00C16179"/>
    <w:rsid w:val="00C23249"/>
    <w:rsid w:val="00C62E47"/>
    <w:rsid w:val="00C737C6"/>
    <w:rsid w:val="00C93A6C"/>
    <w:rsid w:val="00C93AEA"/>
    <w:rsid w:val="00CA03D9"/>
    <w:rsid w:val="00CB0423"/>
    <w:rsid w:val="00CB1FE9"/>
    <w:rsid w:val="00CD1433"/>
    <w:rsid w:val="00CD18BC"/>
    <w:rsid w:val="00CF09F6"/>
    <w:rsid w:val="00D054B6"/>
    <w:rsid w:val="00D10A06"/>
    <w:rsid w:val="00D147E2"/>
    <w:rsid w:val="00D14845"/>
    <w:rsid w:val="00D576FF"/>
    <w:rsid w:val="00D61DB8"/>
    <w:rsid w:val="00D704E2"/>
    <w:rsid w:val="00DA1AFB"/>
    <w:rsid w:val="00DA797F"/>
    <w:rsid w:val="00DB1508"/>
    <w:rsid w:val="00DB4444"/>
    <w:rsid w:val="00DC2F67"/>
    <w:rsid w:val="00DE0CF5"/>
    <w:rsid w:val="00DE4F2B"/>
    <w:rsid w:val="00DE7DC9"/>
    <w:rsid w:val="00E042C0"/>
    <w:rsid w:val="00E21737"/>
    <w:rsid w:val="00E2451A"/>
    <w:rsid w:val="00E2465F"/>
    <w:rsid w:val="00E257BF"/>
    <w:rsid w:val="00E571F1"/>
    <w:rsid w:val="00E667E8"/>
    <w:rsid w:val="00E67A7C"/>
    <w:rsid w:val="00E73EBE"/>
    <w:rsid w:val="00E77BA3"/>
    <w:rsid w:val="00E80B77"/>
    <w:rsid w:val="00EB2405"/>
    <w:rsid w:val="00EB7A8B"/>
    <w:rsid w:val="00EE0A5D"/>
    <w:rsid w:val="00EF1B36"/>
    <w:rsid w:val="00F133CB"/>
    <w:rsid w:val="00F22EF5"/>
    <w:rsid w:val="00F252A1"/>
    <w:rsid w:val="00F25E4C"/>
    <w:rsid w:val="00F329B5"/>
    <w:rsid w:val="00F773C1"/>
    <w:rsid w:val="00F90C29"/>
    <w:rsid w:val="00F94B35"/>
    <w:rsid w:val="00FD066D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basedOn w:val="DefaultParagraphFont"/>
    <w:semiHidden/>
    <w:rsid w:val="00C0319E"/>
    <w:rPr>
      <w:i/>
      <w:iCs/>
    </w:rPr>
  </w:style>
  <w:style w:type="character" w:styleId="HTMLCode">
    <w:name w:val="HTML Code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319E"/>
    <w:rPr>
      <w:i/>
      <w:iCs/>
    </w:rPr>
  </w:style>
  <w:style w:type="character" w:styleId="HTMLKeyboard">
    <w:name w:val="HTML Keyboard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0319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319E"/>
    <w:rPr>
      <w:i/>
      <w:iCs/>
    </w:rPr>
  </w:style>
  <w:style w:type="character" w:styleId="Hyperlink">
    <w:name w:val="Hyperlink"/>
    <w:basedOn w:val="DefaultParagraphFont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basedOn w:val="DefaultParagraphFont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basedOn w:val="DefaultParagraphFont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C7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basedOn w:val="DefaultParagraphFont"/>
    <w:semiHidden/>
    <w:rsid w:val="00C0319E"/>
    <w:rPr>
      <w:i/>
      <w:iCs/>
    </w:rPr>
  </w:style>
  <w:style w:type="character" w:styleId="HTMLCode">
    <w:name w:val="HTML Code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319E"/>
    <w:rPr>
      <w:i/>
      <w:iCs/>
    </w:rPr>
  </w:style>
  <w:style w:type="character" w:styleId="HTMLKeyboard">
    <w:name w:val="HTML Keyboard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0319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319E"/>
    <w:rPr>
      <w:i/>
      <w:iCs/>
    </w:rPr>
  </w:style>
  <w:style w:type="character" w:styleId="Hyperlink">
    <w:name w:val="Hyperlink"/>
    <w:basedOn w:val="DefaultParagraphFont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basedOn w:val="DefaultParagraphFont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basedOn w:val="DefaultParagraphFont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C7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oper\Documents\SOPs\Check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10BAA-F576-4B5F-87B0-81EA8D05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Template.dot</Template>
  <TotalTime>2</TotalTime>
  <Pages>2</Pages>
  <Words>607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Review of Information Items</vt:lpstr>
    </vt:vector>
  </TitlesOfParts>
  <Manager>Stuart Horowitz, PhD, MBA, CHRC</Manager>
  <Company>Huron Consulting Group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Review of Information Items</dc:title>
  <dc:subject>Huron AAHRPP Application</dc:subject>
  <dc:creator>Jeffrey A. Cooper, MD, MMM</dc:creator>
  <cp:keywords>Huron, HRPP, SOP</cp:keywords>
  <dc:description>©2009 Huron Consulting Services, LLC. Use and distribution subject to End User License Agreement at http://www.huronconsultinggroup.com/SOP</dc:description>
  <cp:lastModifiedBy>Karll, Brittany L. (HRPP/IRB)</cp:lastModifiedBy>
  <cp:revision>3</cp:revision>
  <cp:lastPrinted>2014-02-14T14:40:00Z</cp:lastPrinted>
  <dcterms:created xsi:type="dcterms:W3CDTF">2018-10-17T14:58:00Z</dcterms:created>
  <dcterms:modified xsi:type="dcterms:W3CDTF">2018-12-19T18:39:00Z</dcterms:modified>
  <cp:category>300-399 WORKSHEETS</cp:category>
</cp:coreProperties>
</file>