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17F" w:rsidRPr="0015675B" w:rsidRDefault="008D617F" w:rsidP="00CC3DC1">
      <w:pPr>
        <w:jc w:val="center"/>
        <w:rPr>
          <w:sz w:val="32"/>
          <w:szCs w:val="32"/>
        </w:rPr>
      </w:pPr>
      <w:bookmarkStart w:id="0" w:name="_GoBack"/>
      <w:bookmarkEnd w:id="0"/>
      <w:r w:rsidRPr="0015675B">
        <w:rPr>
          <w:sz w:val="32"/>
          <w:szCs w:val="32"/>
        </w:rPr>
        <w:t xml:space="preserve">Spectrum Health </w:t>
      </w:r>
      <w:r w:rsidR="00A2103F">
        <w:rPr>
          <w:sz w:val="32"/>
          <w:szCs w:val="32"/>
        </w:rPr>
        <w:t>Maternal Fetal Medicine</w:t>
      </w:r>
    </w:p>
    <w:p w:rsidR="0063618B" w:rsidRPr="0015675B" w:rsidRDefault="0079210A" w:rsidP="00CC3DC1">
      <w:pPr>
        <w:jc w:val="center"/>
        <w:rPr>
          <w:i/>
          <w:sz w:val="32"/>
          <w:szCs w:val="32"/>
        </w:rPr>
      </w:pPr>
      <w:r>
        <w:rPr>
          <w:i/>
          <w:sz w:val="32"/>
          <w:szCs w:val="32"/>
        </w:rPr>
        <w:t xml:space="preserve">Non-Invasive Prenatal </w:t>
      </w:r>
      <w:r w:rsidR="002F3E0C">
        <w:rPr>
          <w:i/>
          <w:sz w:val="32"/>
          <w:szCs w:val="32"/>
        </w:rPr>
        <w:t>Screening</w:t>
      </w:r>
      <w:r>
        <w:rPr>
          <w:i/>
          <w:sz w:val="32"/>
          <w:szCs w:val="32"/>
        </w:rPr>
        <w:t xml:space="preserve"> </w:t>
      </w:r>
      <w:r w:rsidR="00C71B46">
        <w:rPr>
          <w:i/>
          <w:sz w:val="32"/>
          <w:szCs w:val="32"/>
        </w:rPr>
        <w:t>Guidelines</w:t>
      </w:r>
    </w:p>
    <w:p w:rsidR="0079210A" w:rsidRDefault="0079210A" w:rsidP="00B97855">
      <w:pPr>
        <w:rPr>
          <w:b/>
          <w:noProof/>
          <w:sz w:val="28"/>
          <w:szCs w:val="28"/>
        </w:rPr>
      </w:pPr>
    </w:p>
    <w:p w:rsidR="00825720" w:rsidRPr="001634B8" w:rsidRDefault="0079210A" w:rsidP="001634B8">
      <w:pPr>
        <w:ind w:left="-720"/>
        <w:rPr>
          <w:b/>
          <w:noProof/>
        </w:rPr>
      </w:pPr>
      <w:r w:rsidRPr="00294A21">
        <w:rPr>
          <w:b/>
          <w:noProof/>
        </w:rPr>
        <w:t>Policy</w:t>
      </w:r>
      <w:r w:rsidR="00530E0B" w:rsidRPr="00294A21">
        <w:rPr>
          <w:b/>
          <w:noProof/>
        </w:rPr>
        <w:t xml:space="preserve"> Overview</w:t>
      </w:r>
    </w:p>
    <w:p w:rsidR="00825720" w:rsidRPr="00294A21" w:rsidRDefault="001634B8" w:rsidP="00B934ED">
      <w:pPr>
        <w:pStyle w:val="ListParagraph"/>
        <w:numPr>
          <w:ilvl w:val="0"/>
          <w:numId w:val="9"/>
        </w:numPr>
        <w:jc w:val="both"/>
        <w:rPr>
          <w:b/>
          <w:noProof/>
          <w:sz w:val="18"/>
          <w:szCs w:val="18"/>
        </w:rPr>
      </w:pPr>
      <w:r w:rsidRPr="00294A21">
        <w:rPr>
          <w:b/>
          <w:noProof/>
        </w:rPr>
        <mc:AlternateContent>
          <mc:Choice Requires="wps">
            <w:drawing>
              <wp:anchor distT="0" distB="0" distL="114300" distR="114300" simplePos="0" relativeHeight="251686912" behindDoc="0" locked="0" layoutInCell="1" allowOverlap="1" wp14:anchorId="36FD182D" wp14:editId="26954F11">
                <wp:simplePos x="0" y="0"/>
                <wp:positionH relativeFrom="column">
                  <wp:posOffset>-464820</wp:posOffset>
                </wp:positionH>
                <wp:positionV relativeFrom="paragraph">
                  <wp:posOffset>4083</wp:posOffset>
                </wp:positionV>
                <wp:extent cx="63779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63779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pt,.3pt" to="46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" strokecolor="black [3213]"/>
            </w:pict>
          </mc:Fallback>
        </mc:AlternateContent>
      </w:r>
      <w:r w:rsidR="0079210A" w:rsidRPr="00294A21">
        <w:rPr>
          <w:rFonts w:ascii="Times" w:hAnsi="Times"/>
          <w:sz w:val="18"/>
          <w:szCs w:val="18"/>
        </w:rPr>
        <w:t xml:space="preserve">Cell free fetal DNA non-invasive </w:t>
      </w:r>
      <w:r w:rsidR="002F3E0C" w:rsidRPr="00294A21">
        <w:rPr>
          <w:rFonts w:ascii="Times" w:hAnsi="Times"/>
          <w:sz w:val="18"/>
          <w:szCs w:val="18"/>
        </w:rPr>
        <w:t>screening</w:t>
      </w:r>
      <w:r w:rsidR="007244EA" w:rsidRPr="00294A21">
        <w:rPr>
          <w:rFonts w:ascii="Times" w:hAnsi="Times"/>
          <w:sz w:val="18"/>
          <w:szCs w:val="18"/>
        </w:rPr>
        <w:t xml:space="preserve"> (NIP</w:t>
      </w:r>
      <w:r w:rsidR="002F3E0C" w:rsidRPr="00294A21">
        <w:rPr>
          <w:rFonts w:ascii="Times" w:hAnsi="Times"/>
          <w:sz w:val="18"/>
          <w:szCs w:val="18"/>
        </w:rPr>
        <w:t>S</w:t>
      </w:r>
      <w:r w:rsidR="007244EA" w:rsidRPr="00294A21">
        <w:rPr>
          <w:rFonts w:ascii="Times" w:hAnsi="Times"/>
          <w:sz w:val="18"/>
          <w:szCs w:val="18"/>
        </w:rPr>
        <w:t>) is the most accurate screening tool for traditional aneuploidies</w:t>
      </w:r>
      <w:r w:rsidR="00530E0B" w:rsidRPr="00294A21">
        <w:rPr>
          <w:rFonts w:ascii="Times" w:hAnsi="Times"/>
          <w:sz w:val="18"/>
          <w:szCs w:val="18"/>
        </w:rPr>
        <w:t xml:space="preserve"> (</w:t>
      </w:r>
      <w:proofErr w:type="spellStart"/>
      <w:r w:rsidR="00530E0B" w:rsidRPr="00294A21">
        <w:rPr>
          <w:rFonts w:ascii="Times" w:hAnsi="Times"/>
          <w:sz w:val="18"/>
          <w:szCs w:val="18"/>
        </w:rPr>
        <w:t>trisomies</w:t>
      </w:r>
      <w:proofErr w:type="spellEnd"/>
      <w:r w:rsidR="00530E0B" w:rsidRPr="00294A21">
        <w:rPr>
          <w:rFonts w:ascii="Times" w:hAnsi="Times"/>
          <w:sz w:val="18"/>
          <w:szCs w:val="18"/>
        </w:rPr>
        <w:t xml:space="preserve"> 13, 18, and 21)</w:t>
      </w:r>
      <w:r w:rsidR="007244EA" w:rsidRPr="00294A21">
        <w:rPr>
          <w:rFonts w:ascii="Times" w:hAnsi="Times"/>
          <w:sz w:val="18"/>
          <w:szCs w:val="18"/>
        </w:rPr>
        <w:t xml:space="preserve"> in pregnancy and may</w:t>
      </w:r>
      <w:r w:rsidR="0079210A" w:rsidRPr="00294A21">
        <w:rPr>
          <w:rFonts w:ascii="Times" w:hAnsi="Times"/>
          <w:sz w:val="18"/>
          <w:szCs w:val="18"/>
        </w:rPr>
        <w:t xml:space="preserve"> be offered to</w:t>
      </w:r>
      <w:r w:rsidR="0079210A" w:rsidRPr="00294A21">
        <w:rPr>
          <w:rFonts w:ascii="Times" w:hAnsi="Times"/>
          <w:b/>
          <w:sz w:val="18"/>
          <w:szCs w:val="18"/>
        </w:rPr>
        <w:t xml:space="preserve"> </w:t>
      </w:r>
      <w:r w:rsidR="0079210A" w:rsidRPr="00294A21">
        <w:rPr>
          <w:rFonts w:ascii="Times" w:hAnsi="Times"/>
          <w:b/>
          <w:i/>
          <w:sz w:val="18"/>
          <w:szCs w:val="18"/>
        </w:rPr>
        <w:t>all women</w:t>
      </w:r>
      <w:r w:rsidR="00E241A1" w:rsidRPr="00294A21">
        <w:rPr>
          <w:rFonts w:ascii="Times" w:hAnsi="Times"/>
          <w:b/>
          <w:i/>
          <w:sz w:val="18"/>
          <w:szCs w:val="18"/>
        </w:rPr>
        <w:t xml:space="preserve"> (at the provider’s discretion)</w:t>
      </w:r>
      <w:r w:rsidR="0079210A" w:rsidRPr="00294A21">
        <w:rPr>
          <w:rFonts w:ascii="Times" w:hAnsi="Times"/>
          <w:sz w:val="18"/>
          <w:szCs w:val="18"/>
        </w:rPr>
        <w:t>, along with traditional serum screening</w:t>
      </w:r>
      <w:r w:rsidR="00825720" w:rsidRPr="00294A21">
        <w:rPr>
          <w:rFonts w:ascii="Times" w:hAnsi="Times"/>
          <w:sz w:val="18"/>
          <w:szCs w:val="18"/>
        </w:rPr>
        <w:t xml:space="preserve"> and invasive testing</w:t>
      </w:r>
      <w:r w:rsidR="00E241A1" w:rsidRPr="00294A21">
        <w:rPr>
          <w:rFonts w:ascii="Times" w:hAnsi="Times"/>
          <w:sz w:val="18"/>
          <w:szCs w:val="18"/>
        </w:rPr>
        <w:t xml:space="preserve">.  </w:t>
      </w:r>
    </w:p>
    <w:p w:rsidR="00825720" w:rsidRPr="00294A21" w:rsidRDefault="00825720" w:rsidP="00B934ED">
      <w:pPr>
        <w:pStyle w:val="ListParagraph"/>
        <w:numPr>
          <w:ilvl w:val="1"/>
          <w:numId w:val="9"/>
        </w:numPr>
        <w:jc w:val="both"/>
        <w:rPr>
          <w:b/>
          <w:noProof/>
          <w:sz w:val="18"/>
          <w:szCs w:val="18"/>
        </w:rPr>
      </w:pPr>
      <w:r w:rsidRPr="00294A21">
        <w:rPr>
          <w:rFonts w:ascii="Times" w:hAnsi="Times"/>
          <w:color w:val="000000" w:themeColor="text1"/>
          <w:sz w:val="18"/>
          <w:szCs w:val="18"/>
        </w:rPr>
        <w:t>Pre-testing counseling regarding</w:t>
      </w:r>
      <w:r w:rsidR="0079210A" w:rsidRPr="00294A21">
        <w:rPr>
          <w:rFonts w:ascii="Times" w:hAnsi="Times"/>
          <w:color w:val="000000" w:themeColor="text1"/>
          <w:sz w:val="18"/>
          <w:szCs w:val="18"/>
        </w:rPr>
        <w:t xml:space="preserve"> the benefits and limitations of </w:t>
      </w:r>
      <w:r w:rsidRPr="00294A21">
        <w:rPr>
          <w:rFonts w:ascii="Times" w:hAnsi="Times"/>
          <w:color w:val="000000" w:themeColor="text1"/>
          <w:sz w:val="18"/>
          <w:szCs w:val="18"/>
        </w:rPr>
        <w:t xml:space="preserve">testing is recommended for every </w:t>
      </w:r>
      <w:r w:rsidR="007244EA" w:rsidRPr="00294A21">
        <w:rPr>
          <w:rFonts w:ascii="Times" w:hAnsi="Times"/>
          <w:color w:val="000000" w:themeColor="text1"/>
          <w:sz w:val="18"/>
          <w:szCs w:val="18"/>
        </w:rPr>
        <w:t>woman</w:t>
      </w:r>
      <w:r w:rsidRPr="00294A21">
        <w:rPr>
          <w:rFonts w:ascii="Times" w:hAnsi="Times"/>
          <w:color w:val="000000" w:themeColor="text1"/>
          <w:sz w:val="18"/>
          <w:szCs w:val="18"/>
        </w:rPr>
        <w:t>.</w:t>
      </w:r>
    </w:p>
    <w:p w:rsidR="0079210A" w:rsidRPr="00294A21" w:rsidRDefault="00825720" w:rsidP="00B934ED">
      <w:pPr>
        <w:pStyle w:val="ListParagraph"/>
        <w:numPr>
          <w:ilvl w:val="1"/>
          <w:numId w:val="9"/>
        </w:numPr>
        <w:jc w:val="both"/>
        <w:rPr>
          <w:b/>
          <w:noProof/>
          <w:sz w:val="18"/>
          <w:szCs w:val="18"/>
        </w:rPr>
      </w:pPr>
      <w:r w:rsidRPr="00294A21">
        <w:rPr>
          <w:rFonts w:ascii="Times" w:hAnsi="Times"/>
          <w:color w:val="000000" w:themeColor="text1"/>
          <w:sz w:val="18"/>
          <w:szCs w:val="18"/>
        </w:rPr>
        <w:t xml:space="preserve">Post-test counseling is recommended in the event of a positive or high-risk result.  Diagnostic testing </w:t>
      </w:r>
      <w:r w:rsidR="007244EA" w:rsidRPr="00294A21">
        <w:rPr>
          <w:rFonts w:ascii="Times" w:hAnsi="Times"/>
          <w:color w:val="000000" w:themeColor="text1"/>
          <w:sz w:val="18"/>
          <w:szCs w:val="18"/>
        </w:rPr>
        <w:t>should be offered in order</w:t>
      </w:r>
      <w:r w:rsidRPr="00294A21">
        <w:rPr>
          <w:rFonts w:ascii="Times" w:hAnsi="Times"/>
          <w:color w:val="000000" w:themeColor="text1"/>
          <w:sz w:val="18"/>
          <w:szCs w:val="18"/>
        </w:rPr>
        <w:t xml:space="preserve"> to confirm an abnormal screening result.</w:t>
      </w:r>
    </w:p>
    <w:p w:rsidR="0028123B" w:rsidRPr="00294A21" w:rsidRDefault="0028123B" w:rsidP="00B934ED">
      <w:pPr>
        <w:pStyle w:val="ListParagraph"/>
        <w:numPr>
          <w:ilvl w:val="1"/>
          <w:numId w:val="9"/>
        </w:numPr>
        <w:jc w:val="both"/>
        <w:rPr>
          <w:b/>
          <w:noProof/>
          <w:sz w:val="18"/>
          <w:szCs w:val="18"/>
        </w:rPr>
      </w:pPr>
      <w:r w:rsidRPr="00294A21">
        <w:rPr>
          <w:rFonts w:ascii="Times" w:hAnsi="Times"/>
          <w:color w:val="000000" w:themeColor="text1"/>
          <w:sz w:val="18"/>
          <w:szCs w:val="18"/>
        </w:rPr>
        <w:t>In the case of multiple congenital anomalies, diagnostic testing should be offered.</w:t>
      </w:r>
    </w:p>
    <w:p w:rsidR="0079210A" w:rsidRPr="00294A21" w:rsidRDefault="0079210A" w:rsidP="00D13A9C">
      <w:pPr>
        <w:pStyle w:val="ListParagraph"/>
        <w:ind w:left="-360"/>
        <w:jc w:val="both"/>
        <w:rPr>
          <w:b/>
          <w:noProof/>
          <w:sz w:val="18"/>
          <w:szCs w:val="18"/>
        </w:rPr>
      </w:pPr>
    </w:p>
    <w:p w:rsidR="0079210A" w:rsidRPr="00294A21" w:rsidRDefault="007244EA" w:rsidP="00B934ED">
      <w:pPr>
        <w:pStyle w:val="ListParagraph"/>
        <w:numPr>
          <w:ilvl w:val="0"/>
          <w:numId w:val="9"/>
        </w:numPr>
        <w:jc w:val="both"/>
        <w:rPr>
          <w:rFonts w:ascii="Times" w:hAnsi="Times"/>
          <w:sz w:val="18"/>
          <w:szCs w:val="18"/>
        </w:rPr>
      </w:pPr>
      <w:r w:rsidRPr="00294A21">
        <w:rPr>
          <w:rFonts w:ascii="Times" w:hAnsi="Times"/>
          <w:b/>
          <w:sz w:val="18"/>
          <w:szCs w:val="18"/>
        </w:rPr>
        <w:t>Microdeletions/</w:t>
      </w:r>
      <w:proofErr w:type="spellStart"/>
      <w:r w:rsidRPr="00294A21">
        <w:rPr>
          <w:rFonts w:ascii="Times" w:hAnsi="Times"/>
          <w:b/>
          <w:sz w:val="18"/>
          <w:szCs w:val="18"/>
        </w:rPr>
        <w:t>microduplications</w:t>
      </w:r>
      <w:proofErr w:type="spellEnd"/>
      <w:r w:rsidRPr="00294A21">
        <w:rPr>
          <w:rFonts w:ascii="Times" w:hAnsi="Times"/>
          <w:sz w:val="18"/>
          <w:szCs w:val="18"/>
        </w:rPr>
        <w:t xml:space="preserve">:  Current guidelines </w:t>
      </w:r>
      <w:r w:rsidRPr="00294A21">
        <w:rPr>
          <w:rFonts w:ascii="Times" w:hAnsi="Times"/>
          <w:sz w:val="18"/>
          <w:szCs w:val="18"/>
          <w:u w:val="single"/>
        </w:rPr>
        <w:t>do not recommend</w:t>
      </w:r>
      <w:r w:rsidRPr="00294A21">
        <w:rPr>
          <w:rFonts w:ascii="Times" w:hAnsi="Times"/>
          <w:sz w:val="18"/>
          <w:szCs w:val="18"/>
        </w:rPr>
        <w:t xml:space="preserve"> routine screening for copy number variants. </w:t>
      </w:r>
      <w:r w:rsidR="0079210A" w:rsidRPr="00294A21">
        <w:rPr>
          <w:rFonts w:ascii="Times" w:hAnsi="Times"/>
          <w:sz w:val="18"/>
          <w:szCs w:val="18"/>
        </w:rPr>
        <w:t xml:space="preserve">22q11.2 deletion syndrome </w:t>
      </w:r>
      <w:r w:rsidRPr="00294A21">
        <w:rPr>
          <w:rFonts w:ascii="Times" w:hAnsi="Times"/>
          <w:sz w:val="18"/>
          <w:szCs w:val="18"/>
        </w:rPr>
        <w:t>may</w:t>
      </w:r>
      <w:r w:rsidR="0079210A" w:rsidRPr="00294A21">
        <w:rPr>
          <w:rFonts w:ascii="Times" w:hAnsi="Times"/>
          <w:sz w:val="18"/>
          <w:szCs w:val="18"/>
        </w:rPr>
        <w:t xml:space="preserve"> </w:t>
      </w:r>
      <w:r w:rsidRPr="00294A21">
        <w:rPr>
          <w:rFonts w:ascii="Times" w:hAnsi="Times"/>
          <w:sz w:val="18"/>
          <w:szCs w:val="18"/>
        </w:rPr>
        <w:t>be</w:t>
      </w:r>
      <w:r w:rsidR="0079210A" w:rsidRPr="00294A21">
        <w:rPr>
          <w:rFonts w:ascii="Times" w:hAnsi="Times"/>
          <w:sz w:val="18"/>
          <w:szCs w:val="18"/>
        </w:rPr>
        <w:t xml:space="preserve"> ordered</w:t>
      </w:r>
      <w:r w:rsidR="002F3E0C" w:rsidRPr="00294A21">
        <w:rPr>
          <w:rFonts w:ascii="Times" w:hAnsi="Times"/>
          <w:sz w:val="18"/>
          <w:szCs w:val="18"/>
        </w:rPr>
        <w:t>, at the provider’s discretion,</w:t>
      </w:r>
      <w:r w:rsidR="0079210A" w:rsidRPr="00294A21">
        <w:rPr>
          <w:rFonts w:ascii="Times" w:hAnsi="Times"/>
          <w:sz w:val="18"/>
          <w:szCs w:val="18"/>
        </w:rPr>
        <w:t xml:space="preserve"> if there is </w:t>
      </w:r>
      <w:r w:rsidR="0079210A" w:rsidRPr="00294A21">
        <w:rPr>
          <w:rFonts w:ascii="Times" w:hAnsi="Times"/>
          <w:i/>
          <w:sz w:val="18"/>
          <w:szCs w:val="18"/>
        </w:rPr>
        <w:t>a family history</w:t>
      </w:r>
      <w:r w:rsidR="0079210A" w:rsidRPr="00294A21">
        <w:rPr>
          <w:rFonts w:ascii="Times" w:hAnsi="Times"/>
          <w:sz w:val="18"/>
          <w:szCs w:val="18"/>
        </w:rPr>
        <w:t xml:space="preserve"> of this condition or </w:t>
      </w:r>
      <w:r w:rsidR="0079210A" w:rsidRPr="00294A21">
        <w:rPr>
          <w:rFonts w:ascii="Times" w:hAnsi="Times"/>
          <w:i/>
          <w:sz w:val="18"/>
          <w:szCs w:val="18"/>
        </w:rPr>
        <w:t>a heart defect present</w:t>
      </w:r>
      <w:r w:rsidR="00E241A1" w:rsidRPr="00294A21">
        <w:rPr>
          <w:rFonts w:ascii="Times" w:hAnsi="Times"/>
          <w:sz w:val="18"/>
          <w:szCs w:val="18"/>
        </w:rPr>
        <w:t>.  Please note</w:t>
      </w:r>
      <w:proofErr w:type="gramStart"/>
      <w:r w:rsidR="00E241A1" w:rsidRPr="00294A21">
        <w:rPr>
          <w:rFonts w:ascii="Times" w:hAnsi="Times"/>
          <w:sz w:val="18"/>
          <w:szCs w:val="18"/>
        </w:rPr>
        <w:t>,</w:t>
      </w:r>
      <w:proofErr w:type="gramEnd"/>
      <w:r w:rsidR="00E241A1" w:rsidRPr="00294A21">
        <w:rPr>
          <w:rFonts w:ascii="Times" w:hAnsi="Times"/>
          <w:sz w:val="18"/>
          <w:szCs w:val="18"/>
        </w:rPr>
        <w:t xml:space="preserve"> follow-up for an abnormal microdeletion/duplication is with a microarray, which is traditionally more costly than standard chromosome analysis and may not be covered by insurance in a prenatal setting.</w:t>
      </w:r>
    </w:p>
    <w:p w:rsidR="002F3E0C" w:rsidRPr="00294A21" w:rsidRDefault="002F3E0C" w:rsidP="00D13A9C">
      <w:pPr>
        <w:pStyle w:val="ListParagraph"/>
        <w:ind w:left="-360"/>
        <w:jc w:val="both"/>
        <w:rPr>
          <w:rFonts w:ascii="Times" w:hAnsi="Times"/>
          <w:sz w:val="18"/>
          <w:szCs w:val="18"/>
        </w:rPr>
      </w:pPr>
    </w:p>
    <w:p w:rsidR="002F3E0C" w:rsidRPr="00294A21" w:rsidRDefault="002F3E0C" w:rsidP="00B934ED">
      <w:pPr>
        <w:pStyle w:val="ListParagraph"/>
        <w:numPr>
          <w:ilvl w:val="0"/>
          <w:numId w:val="9"/>
        </w:numPr>
        <w:jc w:val="both"/>
        <w:rPr>
          <w:b/>
          <w:noProof/>
          <w:sz w:val="18"/>
          <w:szCs w:val="18"/>
        </w:rPr>
      </w:pPr>
      <w:r w:rsidRPr="00294A21">
        <w:rPr>
          <w:b/>
          <w:noProof/>
          <w:sz w:val="18"/>
          <w:szCs w:val="18"/>
        </w:rPr>
        <w:t xml:space="preserve">Multiples: </w:t>
      </w:r>
      <w:r w:rsidRPr="00294A21">
        <w:rPr>
          <w:rFonts w:ascii="Times" w:hAnsi="Times"/>
          <w:sz w:val="18"/>
          <w:szCs w:val="18"/>
        </w:rPr>
        <w:t>Current guidelines do not recommend NIPS for multiple gestations.  NIPS may be ordered for twins, at the provider’s discretion, along with specific pre-</w:t>
      </w:r>
      <w:r w:rsidRPr="00294A21">
        <w:rPr>
          <w:noProof/>
          <w:sz w:val="18"/>
          <w:szCs w:val="18"/>
        </w:rPr>
        <w:t>test counseling discussion the limitations and reporting of results.</w:t>
      </w:r>
      <w:r w:rsidR="00E241A1" w:rsidRPr="00294A21">
        <w:rPr>
          <w:noProof/>
          <w:sz w:val="18"/>
          <w:szCs w:val="18"/>
        </w:rPr>
        <w:t xml:space="preserve">  Twin ges</w:t>
      </w:r>
      <w:r w:rsidR="00294A21" w:rsidRPr="00294A21">
        <w:rPr>
          <w:noProof/>
          <w:sz w:val="18"/>
          <w:szCs w:val="18"/>
        </w:rPr>
        <w:t>tations will receive one report</w:t>
      </w:r>
      <w:r w:rsidR="00E241A1" w:rsidRPr="00294A21">
        <w:rPr>
          <w:noProof/>
          <w:sz w:val="18"/>
          <w:szCs w:val="18"/>
        </w:rPr>
        <w:t xml:space="preserve"> for the pregnancy, rather than a risk score for each twin.</w:t>
      </w:r>
    </w:p>
    <w:p w:rsidR="002F3E0C" w:rsidRPr="00294A21" w:rsidRDefault="002F3E0C" w:rsidP="00D13A9C">
      <w:pPr>
        <w:pStyle w:val="ListParagraph"/>
        <w:rPr>
          <w:rFonts w:ascii="Times" w:hAnsi="Times"/>
          <w:sz w:val="18"/>
          <w:szCs w:val="18"/>
        </w:rPr>
      </w:pPr>
    </w:p>
    <w:p w:rsidR="0079210A" w:rsidRPr="00294A21" w:rsidRDefault="002F3E0C" w:rsidP="00B934ED">
      <w:pPr>
        <w:pStyle w:val="ListParagraph"/>
        <w:numPr>
          <w:ilvl w:val="0"/>
          <w:numId w:val="9"/>
        </w:numPr>
        <w:jc w:val="both"/>
        <w:rPr>
          <w:b/>
          <w:noProof/>
          <w:sz w:val="18"/>
          <w:szCs w:val="18"/>
        </w:rPr>
      </w:pPr>
      <w:r w:rsidRPr="00294A21">
        <w:rPr>
          <w:rFonts w:ascii="Times" w:hAnsi="Times"/>
          <w:b/>
          <w:sz w:val="18"/>
          <w:szCs w:val="18"/>
        </w:rPr>
        <w:t>Sex Determination:</w:t>
      </w:r>
      <w:r w:rsidRPr="00294A21">
        <w:rPr>
          <w:rFonts w:ascii="Times" w:hAnsi="Times"/>
          <w:sz w:val="18"/>
          <w:szCs w:val="18"/>
        </w:rPr>
        <w:t xml:space="preserve">  Current guidelines do not recommend NIPS for sex determination.</w:t>
      </w:r>
    </w:p>
    <w:p w:rsidR="00DE4D56" w:rsidRPr="00294A21" w:rsidRDefault="00DE4D56" w:rsidP="00DE4D56">
      <w:pPr>
        <w:pStyle w:val="ListParagraph"/>
        <w:rPr>
          <w:b/>
          <w:noProof/>
          <w:sz w:val="18"/>
          <w:szCs w:val="18"/>
        </w:rPr>
      </w:pPr>
    </w:p>
    <w:p w:rsidR="00DE4D56" w:rsidRPr="00294A21" w:rsidRDefault="00DE4D56" w:rsidP="00B934ED">
      <w:pPr>
        <w:pStyle w:val="ListParagraph"/>
        <w:numPr>
          <w:ilvl w:val="0"/>
          <w:numId w:val="9"/>
        </w:numPr>
        <w:jc w:val="both"/>
        <w:rPr>
          <w:b/>
          <w:noProof/>
          <w:sz w:val="18"/>
          <w:szCs w:val="18"/>
        </w:rPr>
      </w:pPr>
      <w:r w:rsidRPr="00294A21">
        <w:rPr>
          <w:b/>
          <w:sz w:val="18"/>
          <w:szCs w:val="18"/>
        </w:rPr>
        <w:t>Whole Genome:</w:t>
      </w:r>
      <w:r w:rsidRPr="00294A21">
        <w:rPr>
          <w:sz w:val="18"/>
          <w:szCs w:val="18"/>
        </w:rPr>
        <w:t xml:space="preserve"> Current guidelines do not recommend NIPS for genome-wide gains or losses.</w:t>
      </w:r>
    </w:p>
    <w:p w:rsidR="0077687C" w:rsidRPr="00294A21" w:rsidRDefault="0077687C" w:rsidP="00D13A9C">
      <w:pPr>
        <w:ind w:left="-720"/>
        <w:rPr>
          <w:b/>
          <w:noProof/>
          <w:sz w:val="18"/>
          <w:szCs w:val="18"/>
        </w:rPr>
      </w:pPr>
    </w:p>
    <w:p w:rsidR="00507293" w:rsidRPr="00294A21" w:rsidRDefault="001268E1" w:rsidP="00D13A9C">
      <w:pPr>
        <w:ind w:left="-720"/>
        <w:rPr>
          <w:b/>
          <w:noProof/>
        </w:rPr>
      </w:pPr>
      <w:r w:rsidRPr="00294A21">
        <w:rPr>
          <w:b/>
          <w:noProof/>
        </w:rPr>
        <w:t>What do abnormal results mean?</w:t>
      </w:r>
    </w:p>
    <w:p w:rsidR="00507293" w:rsidRPr="00294A21" w:rsidRDefault="001634B8" w:rsidP="00D13A9C">
      <w:pPr>
        <w:ind w:left="-360"/>
        <w:rPr>
          <w:noProof/>
          <w:sz w:val="18"/>
          <w:szCs w:val="18"/>
        </w:rPr>
      </w:pPr>
      <w:r w:rsidRPr="00294A21">
        <w:rPr>
          <w:b/>
          <w:noProof/>
        </w:rPr>
        <mc:AlternateContent>
          <mc:Choice Requires="wps">
            <w:drawing>
              <wp:anchor distT="0" distB="0" distL="114300" distR="114300" simplePos="0" relativeHeight="251697152" behindDoc="0" locked="0" layoutInCell="1" allowOverlap="1" wp14:anchorId="74479AB0" wp14:editId="7A064F5D">
                <wp:simplePos x="0" y="0"/>
                <wp:positionH relativeFrom="column">
                  <wp:posOffset>-464820</wp:posOffset>
                </wp:positionH>
                <wp:positionV relativeFrom="paragraph">
                  <wp:posOffset>4445</wp:posOffset>
                </wp:positionV>
                <wp:extent cx="6377940" cy="0"/>
                <wp:effectExtent l="0" t="0" r="22860" b="19050"/>
                <wp:wrapNone/>
                <wp:docPr id="32" name="Straight Connector 32"/>
                <wp:cNvGraphicFramePr/>
                <a:graphic xmlns:a="http://schemas.openxmlformats.org/drawingml/2006/main">
                  <a:graphicData uri="http://schemas.microsoft.com/office/word/2010/wordprocessingShape">
                    <wps:wsp>
                      <wps:cNvCnPr/>
                      <wps:spPr>
                        <a:xfrm>
                          <a:off x="0" y="0"/>
                          <a:ext cx="63779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pt,.35pt" to="465.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" strokecolor="black [3213]"/>
            </w:pict>
          </mc:Fallback>
        </mc:AlternateContent>
      </w:r>
      <w:r w:rsidR="00507293" w:rsidRPr="00294A21">
        <w:rPr>
          <w:noProof/>
          <w:sz w:val="18"/>
          <w:szCs w:val="18"/>
        </w:rPr>
        <w:t>Positive or high-risk results can represent the following:</w:t>
      </w:r>
    </w:p>
    <w:p w:rsidR="00507293" w:rsidRPr="00294A21" w:rsidRDefault="00507293" w:rsidP="00B934ED">
      <w:pPr>
        <w:pStyle w:val="ListParagraph"/>
        <w:numPr>
          <w:ilvl w:val="0"/>
          <w:numId w:val="10"/>
        </w:numPr>
        <w:rPr>
          <w:noProof/>
          <w:sz w:val="18"/>
          <w:szCs w:val="18"/>
        </w:rPr>
      </w:pPr>
      <w:r w:rsidRPr="00294A21">
        <w:rPr>
          <w:noProof/>
          <w:sz w:val="18"/>
          <w:szCs w:val="18"/>
        </w:rPr>
        <w:t>Fetal aneuploidy</w:t>
      </w:r>
    </w:p>
    <w:p w:rsidR="00507293" w:rsidRPr="00294A21" w:rsidRDefault="00507293" w:rsidP="00B934ED">
      <w:pPr>
        <w:pStyle w:val="ListParagraph"/>
        <w:numPr>
          <w:ilvl w:val="0"/>
          <w:numId w:val="10"/>
        </w:numPr>
        <w:rPr>
          <w:noProof/>
          <w:sz w:val="18"/>
          <w:szCs w:val="18"/>
        </w:rPr>
      </w:pPr>
      <w:r w:rsidRPr="00294A21">
        <w:rPr>
          <w:noProof/>
          <w:sz w:val="18"/>
          <w:szCs w:val="18"/>
        </w:rPr>
        <w:t>Confined placental mosaicism</w:t>
      </w:r>
    </w:p>
    <w:p w:rsidR="00507293" w:rsidRPr="00294A21" w:rsidRDefault="00507293" w:rsidP="00B934ED">
      <w:pPr>
        <w:pStyle w:val="ListParagraph"/>
        <w:numPr>
          <w:ilvl w:val="0"/>
          <w:numId w:val="10"/>
        </w:numPr>
        <w:rPr>
          <w:noProof/>
          <w:sz w:val="18"/>
          <w:szCs w:val="18"/>
        </w:rPr>
      </w:pPr>
      <w:r w:rsidRPr="00294A21">
        <w:rPr>
          <w:noProof/>
          <w:sz w:val="18"/>
          <w:szCs w:val="18"/>
        </w:rPr>
        <w:t>Residual cffDNA from a vanishing twin</w:t>
      </w:r>
    </w:p>
    <w:p w:rsidR="00507293" w:rsidRPr="00294A21" w:rsidRDefault="00507293" w:rsidP="00B934ED">
      <w:pPr>
        <w:pStyle w:val="ListParagraph"/>
        <w:numPr>
          <w:ilvl w:val="0"/>
          <w:numId w:val="10"/>
        </w:numPr>
        <w:rPr>
          <w:noProof/>
          <w:sz w:val="18"/>
          <w:szCs w:val="18"/>
        </w:rPr>
      </w:pPr>
      <w:r w:rsidRPr="00294A21">
        <w:rPr>
          <w:noProof/>
          <w:sz w:val="18"/>
          <w:szCs w:val="18"/>
        </w:rPr>
        <w:t>Maternal aneuploidy (in the case of sex chromosome abnormalities</w:t>
      </w:r>
      <w:r w:rsidR="00530E0B" w:rsidRPr="00294A21">
        <w:rPr>
          <w:noProof/>
          <w:sz w:val="18"/>
          <w:szCs w:val="18"/>
        </w:rPr>
        <w:t>- this depends on the specific testing technology</w:t>
      </w:r>
      <w:r w:rsidRPr="00294A21">
        <w:rPr>
          <w:noProof/>
          <w:sz w:val="18"/>
          <w:szCs w:val="18"/>
        </w:rPr>
        <w:t>)</w:t>
      </w:r>
    </w:p>
    <w:p w:rsidR="00507293" w:rsidRPr="00294A21" w:rsidRDefault="00507293" w:rsidP="00B934ED">
      <w:pPr>
        <w:pStyle w:val="ListParagraph"/>
        <w:numPr>
          <w:ilvl w:val="0"/>
          <w:numId w:val="10"/>
        </w:numPr>
        <w:rPr>
          <w:noProof/>
          <w:sz w:val="18"/>
          <w:szCs w:val="18"/>
        </w:rPr>
      </w:pPr>
      <w:r w:rsidRPr="00294A21">
        <w:rPr>
          <w:noProof/>
          <w:sz w:val="18"/>
          <w:szCs w:val="18"/>
        </w:rPr>
        <w:t>Limitations of the technology</w:t>
      </w:r>
    </w:p>
    <w:p w:rsidR="00507293" w:rsidRPr="00294A21" w:rsidRDefault="00507293" w:rsidP="00B934ED">
      <w:pPr>
        <w:pStyle w:val="ListParagraph"/>
        <w:numPr>
          <w:ilvl w:val="0"/>
          <w:numId w:val="10"/>
        </w:numPr>
        <w:rPr>
          <w:rFonts w:ascii="Times" w:hAnsi="Times"/>
          <w:sz w:val="18"/>
          <w:szCs w:val="18"/>
        </w:rPr>
      </w:pPr>
      <w:r w:rsidRPr="00294A21">
        <w:rPr>
          <w:noProof/>
          <w:sz w:val="18"/>
          <w:szCs w:val="18"/>
        </w:rPr>
        <w:t xml:space="preserve">Maternal medical conditions (in rare cases, maternal malignancy has been detected through NIPS) </w:t>
      </w:r>
    </w:p>
    <w:p w:rsidR="00C01CFE" w:rsidRPr="00294A21" w:rsidRDefault="00507293" w:rsidP="00B934ED">
      <w:pPr>
        <w:pStyle w:val="ListParagraph"/>
        <w:numPr>
          <w:ilvl w:val="0"/>
          <w:numId w:val="10"/>
        </w:numPr>
        <w:rPr>
          <w:noProof/>
          <w:sz w:val="18"/>
          <w:szCs w:val="18"/>
        </w:rPr>
      </w:pPr>
      <w:r w:rsidRPr="00294A21">
        <w:rPr>
          <w:rFonts w:ascii="Times" w:hAnsi="Times"/>
          <w:sz w:val="18"/>
          <w:szCs w:val="18"/>
        </w:rPr>
        <w:t>O</w:t>
      </w:r>
      <w:r w:rsidR="00C01CFE" w:rsidRPr="00294A21">
        <w:rPr>
          <w:rFonts w:ascii="Times" w:hAnsi="Times"/>
          <w:sz w:val="18"/>
          <w:szCs w:val="18"/>
        </w:rPr>
        <w:t>ther unknown biological factors</w:t>
      </w:r>
    </w:p>
    <w:p w:rsidR="00392C61" w:rsidRPr="00294A21" w:rsidRDefault="00392C61" w:rsidP="00D13A9C">
      <w:pPr>
        <w:ind w:left="-720"/>
        <w:rPr>
          <w:b/>
          <w:noProof/>
          <w:sz w:val="18"/>
          <w:szCs w:val="18"/>
        </w:rPr>
      </w:pPr>
    </w:p>
    <w:p w:rsidR="003B0623" w:rsidRPr="00294A21" w:rsidRDefault="00392C61" w:rsidP="00D13A9C">
      <w:pPr>
        <w:ind w:left="-720"/>
        <w:rPr>
          <w:b/>
          <w:noProof/>
        </w:rPr>
      </w:pPr>
      <w:r w:rsidRPr="00294A21">
        <w:rPr>
          <w:b/>
          <w:noProof/>
        </w:rPr>
        <w:t>Benefits of NIPS</w:t>
      </w:r>
    </w:p>
    <w:p w:rsidR="003B0623" w:rsidRPr="00294A21" w:rsidRDefault="001634B8" w:rsidP="00B934ED">
      <w:pPr>
        <w:pStyle w:val="ListParagraph"/>
        <w:numPr>
          <w:ilvl w:val="0"/>
          <w:numId w:val="11"/>
        </w:numPr>
        <w:rPr>
          <w:noProof/>
          <w:sz w:val="18"/>
          <w:szCs w:val="18"/>
        </w:rPr>
      </w:pPr>
      <w:r w:rsidRPr="00294A21">
        <w:rPr>
          <w:b/>
          <w:noProof/>
        </w:rPr>
        <mc:AlternateContent>
          <mc:Choice Requires="wps">
            <w:drawing>
              <wp:anchor distT="0" distB="0" distL="114300" distR="114300" simplePos="0" relativeHeight="251688960" behindDoc="0" locked="0" layoutInCell="1" allowOverlap="1" wp14:anchorId="0BC6C3D0" wp14:editId="6352C519">
                <wp:simplePos x="0" y="0"/>
                <wp:positionH relativeFrom="column">
                  <wp:posOffset>-464820</wp:posOffset>
                </wp:positionH>
                <wp:positionV relativeFrom="paragraph">
                  <wp:posOffset>0</wp:posOffset>
                </wp:positionV>
                <wp:extent cx="63779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63779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pt,0" to="46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" strokecolor="black [3213]"/>
            </w:pict>
          </mc:Fallback>
        </mc:AlternateContent>
      </w:r>
      <w:r w:rsidR="003B0623" w:rsidRPr="00294A21">
        <w:rPr>
          <w:noProof/>
          <w:sz w:val="18"/>
          <w:szCs w:val="18"/>
        </w:rPr>
        <w:t>Non-invasive, so there are minimal risks to the pregnancy</w:t>
      </w:r>
    </w:p>
    <w:p w:rsidR="003B0623" w:rsidRPr="00294A21" w:rsidRDefault="003B0623" w:rsidP="00B934ED">
      <w:pPr>
        <w:pStyle w:val="ListParagraph"/>
        <w:numPr>
          <w:ilvl w:val="0"/>
          <w:numId w:val="11"/>
        </w:numPr>
        <w:rPr>
          <w:noProof/>
          <w:sz w:val="18"/>
          <w:szCs w:val="18"/>
        </w:rPr>
      </w:pPr>
      <w:r w:rsidRPr="00294A21">
        <w:rPr>
          <w:noProof/>
          <w:sz w:val="18"/>
          <w:szCs w:val="18"/>
        </w:rPr>
        <w:t>Increased accuracy with lower false positive and false negative rates than traditional maternal serum screening</w:t>
      </w:r>
    </w:p>
    <w:p w:rsidR="003B0623" w:rsidRPr="00294A21" w:rsidRDefault="003B0623" w:rsidP="00B934ED">
      <w:pPr>
        <w:pStyle w:val="ListParagraph"/>
        <w:numPr>
          <w:ilvl w:val="0"/>
          <w:numId w:val="11"/>
        </w:numPr>
        <w:rPr>
          <w:noProof/>
          <w:sz w:val="18"/>
          <w:szCs w:val="18"/>
        </w:rPr>
      </w:pPr>
      <w:r w:rsidRPr="00294A21">
        <w:rPr>
          <w:noProof/>
          <w:sz w:val="18"/>
          <w:szCs w:val="18"/>
        </w:rPr>
        <w:t>Able to perform testing at a wider range of gestational ages</w:t>
      </w:r>
    </w:p>
    <w:p w:rsidR="003B0623" w:rsidRPr="00294A21" w:rsidRDefault="003B0623" w:rsidP="00B934ED">
      <w:pPr>
        <w:pStyle w:val="ListParagraph"/>
        <w:numPr>
          <w:ilvl w:val="0"/>
          <w:numId w:val="11"/>
        </w:numPr>
        <w:rPr>
          <w:noProof/>
          <w:sz w:val="18"/>
          <w:szCs w:val="18"/>
        </w:rPr>
      </w:pPr>
      <w:r w:rsidRPr="00294A21">
        <w:rPr>
          <w:noProof/>
          <w:sz w:val="18"/>
          <w:szCs w:val="18"/>
        </w:rPr>
        <w:t>Typically, only one blood draw is required</w:t>
      </w:r>
    </w:p>
    <w:p w:rsidR="003B0623" w:rsidRPr="00294A21" w:rsidRDefault="003B0623" w:rsidP="00B934ED">
      <w:pPr>
        <w:pStyle w:val="ListParagraph"/>
        <w:numPr>
          <w:ilvl w:val="0"/>
          <w:numId w:val="11"/>
        </w:numPr>
        <w:rPr>
          <w:noProof/>
          <w:sz w:val="18"/>
          <w:szCs w:val="18"/>
        </w:rPr>
      </w:pPr>
      <w:r w:rsidRPr="00294A21">
        <w:rPr>
          <w:noProof/>
          <w:sz w:val="18"/>
          <w:szCs w:val="18"/>
        </w:rPr>
        <w:t>Provides risk estimate for the most common aneuplodies in pregnancy</w:t>
      </w:r>
    </w:p>
    <w:p w:rsidR="00392C61" w:rsidRPr="00294A21" w:rsidRDefault="00392C61" w:rsidP="00D13A9C">
      <w:pPr>
        <w:ind w:left="-720"/>
        <w:rPr>
          <w:b/>
          <w:noProof/>
          <w:sz w:val="18"/>
          <w:szCs w:val="18"/>
        </w:rPr>
      </w:pPr>
    </w:p>
    <w:p w:rsidR="003B0623" w:rsidRPr="00294A21" w:rsidRDefault="00392C61" w:rsidP="00D13A9C">
      <w:pPr>
        <w:ind w:left="-720"/>
        <w:rPr>
          <w:b/>
          <w:noProof/>
        </w:rPr>
      </w:pPr>
      <w:r w:rsidRPr="00294A21">
        <w:rPr>
          <w:b/>
          <w:noProof/>
        </w:rPr>
        <mc:AlternateContent>
          <mc:Choice Requires="wps">
            <w:drawing>
              <wp:anchor distT="0" distB="0" distL="114300" distR="114300" simplePos="0" relativeHeight="251691008" behindDoc="0" locked="0" layoutInCell="1" allowOverlap="1" wp14:anchorId="0FB318B6" wp14:editId="64C7C0F4">
                <wp:simplePos x="0" y="0"/>
                <wp:positionH relativeFrom="column">
                  <wp:posOffset>-464820</wp:posOffset>
                </wp:positionH>
                <wp:positionV relativeFrom="paragraph">
                  <wp:posOffset>167640</wp:posOffset>
                </wp:positionV>
                <wp:extent cx="63779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63779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pt,13.2pt" to="465.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" strokecolor="black [3213]"/>
            </w:pict>
          </mc:Fallback>
        </mc:AlternateContent>
      </w:r>
      <w:r w:rsidRPr="00294A21">
        <w:rPr>
          <w:b/>
          <w:noProof/>
        </w:rPr>
        <w:t>Limitations of NIPS</w:t>
      </w:r>
    </w:p>
    <w:p w:rsidR="00306664" w:rsidRPr="00294A21" w:rsidRDefault="003B0623" w:rsidP="00B934ED">
      <w:pPr>
        <w:pStyle w:val="ListParagraph"/>
        <w:numPr>
          <w:ilvl w:val="0"/>
          <w:numId w:val="11"/>
        </w:numPr>
        <w:rPr>
          <w:noProof/>
          <w:sz w:val="18"/>
          <w:szCs w:val="18"/>
        </w:rPr>
      </w:pPr>
      <w:r w:rsidRPr="00294A21">
        <w:rPr>
          <w:noProof/>
          <w:sz w:val="18"/>
          <w:szCs w:val="18"/>
        </w:rPr>
        <w:t>Still a screening test – abnormal results should be confirmed with diagnostic testing</w:t>
      </w:r>
    </w:p>
    <w:p w:rsidR="00306664" w:rsidRPr="00294A21" w:rsidRDefault="003B0623" w:rsidP="00B934ED">
      <w:pPr>
        <w:pStyle w:val="ListParagraph"/>
        <w:numPr>
          <w:ilvl w:val="0"/>
          <w:numId w:val="11"/>
        </w:numPr>
        <w:rPr>
          <w:noProof/>
          <w:sz w:val="18"/>
          <w:szCs w:val="18"/>
        </w:rPr>
      </w:pPr>
      <w:r w:rsidRPr="00294A21">
        <w:rPr>
          <w:noProof/>
          <w:sz w:val="18"/>
          <w:szCs w:val="18"/>
        </w:rPr>
        <w:t xml:space="preserve">Risk asseessment is limited to specific fetal aneuplodies - </w:t>
      </w:r>
      <w:r w:rsidRPr="00294A21">
        <w:rPr>
          <w:rFonts w:eastAsiaTheme="minorHAnsi"/>
          <w:sz w:val="18"/>
          <w:szCs w:val="18"/>
        </w:rPr>
        <w:t>approximately 50% of cytogenetic abnormalities routinely identified by amniocentesis will not be detected when trisomy 21, 18, and 13 are the only aneuploidies being screened (</w:t>
      </w:r>
      <w:r w:rsidR="00E64ADA" w:rsidRPr="00294A21">
        <w:rPr>
          <w:rFonts w:eastAsiaTheme="minorHAnsi"/>
          <w:sz w:val="18"/>
          <w:szCs w:val="18"/>
        </w:rPr>
        <w:t xml:space="preserve">unbalanced </w:t>
      </w:r>
      <w:r w:rsidRPr="00294A21">
        <w:rPr>
          <w:rFonts w:eastAsiaTheme="minorHAnsi"/>
          <w:sz w:val="18"/>
          <w:szCs w:val="18"/>
        </w:rPr>
        <w:t xml:space="preserve">translocations, deletions, duplications, </w:t>
      </w:r>
      <w:proofErr w:type="spellStart"/>
      <w:r w:rsidRPr="00294A21">
        <w:rPr>
          <w:rFonts w:eastAsiaTheme="minorHAnsi"/>
          <w:sz w:val="18"/>
          <w:szCs w:val="18"/>
        </w:rPr>
        <w:t>triploidy</w:t>
      </w:r>
      <w:proofErr w:type="spellEnd"/>
      <w:r w:rsidRPr="00294A21">
        <w:rPr>
          <w:rFonts w:eastAsiaTheme="minorHAnsi"/>
          <w:sz w:val="18"/>
          <w:szCs w:val="18"/>
        </w:rPr>
        <w:t xml:space="preserve"> (depending on the lab)</w:t>
      </w:r>
      <w:r w:rsidR="00E64ADA" w:rsidRPr="00294A21">
        <w:rPr>
          <w:rFonts w:eastAsiaTheme="minorHAnsi"/>
          <w:sz w:val="18"/>
          <w:szCs w:val="18"/>
        </w:rPr>
        <w:t>, or if Down syndrome is due to a translocation vs real trisomy)</w:t>
      </w:r>
    </w:p>
    <w:p w:rsidR="00306664" w:rsidRPr="00294A21" w:rsidRDefault="00306664" w:rsidP="00B934ED">
      <w:pPr>
        <w:pStyle w:val="ListParagraph"/>
        <w:numPr>
          <w:ilvl w:val="0"/>
          <w:numId w:val="11"/>
        </w:numPr>
        <w:rPr>
          <w:noProof/>
          <w:sz w:val="18"/>
          <w:szCs w:val="18"/>
        </w:rPr>
      </w:pPr>
      <w:r w:rsidRPr="00294A21">
        <w:rPr>
          <w:rFonts w:eastAsiaTheme="minorHAnsi"/>
          <w:sz w:val="18"/>
          <w:szCs w:val="18"/>
        </w:rPr>
        <w:t>Uninformative test results due to insufficient isolation of cell-free fetal DNA could lead to a delay in diagnosis or</w:t>
      </w:r>
      <w:r w:rsidR="009F29B2" w:rsidRPr="00294A21">
        <w:rPr>
          <w:rFonts w:eastAsiaTheme="minorHAnsi"/>
          <w:sz w:val="18"/>
          <w:szCs w:val="18"/>
        </w:rPr>
        <w:t xml:space="preserve"> </w:t>
      </w:r>
      <w:r w:rsidRPr="00294A21">
        <w:rPr>
          <w:rFonts w:eastAsiaTheme="minorHAnsi"/>
          <w:sz w:val="18"/>
          <w:szCs w:val="18"/>
        </w:rPr>
        <w:t xml:space="preserve">eliminate the availability of information for risk assessment. Biologic factors associated with reduced available cell-free fetal DNA include a high body mass index and early gestational </w:t>
      </w:r>
      <w:r w:rsidR="00D13A9C" w:rsidRPr="00294A21">
        <w:rPr>
          <w:rFonts w:eastAsiaTheme="minorHAnsi"/>
          <w:sz w:val="18"/>
          <w:szCs w:val="18"/>
        </w:rPr>
        <w:t>age (&lt;10 weeks gestation)</w:t>
      </w:r>
    </w:p>
    <w:p w:rsidR="00306664" w:rsidRPr="00294A21" w:rsidRDefault="009F29B2" w:rsidP="00B934ED">
      <w:pPr>
        <w:pStyle w:val="ListParagraph"/>
        <w:numPr>
          <w:ilvl w:val="0"/>
          <w:numId w:val="11"/>
        </w:numPr>
        <w:rPr>
          <w:rFonts w:eastAsiaTheme="minorHAnsi"/>
          <w:sz w:val="18"/>
          <w:szCs w:val="18"/>
        </w:rPr>
      </w:pPr>
      <w:r w:rsidRPr="00294A21">
        <w:rPr>
          <w:rFonts w:eastAsiaTheme="minorHAnsi"/>
          <w:sz w:val="18"/>
          <w:szCs w:val="18"/>
        </w:rPr>
        <w:t>D</w:t>
      </w:r>
      <w:r w:rsidR="00CB1306" w:rsidRPr="00294A21">
        <w:rPr>
          <w:rFonts w:eastAsiaTheme="minorHAnsi"/>
          <w:sz w:val="18"/>
          <w:szCs w:val="18"/>
        </w:rPr>
        <w:t>oes not screen for open neural tube defects. Maternal</w:t>
      </w:r>
      <w:r w:rsidR="00306664" w:rsidRPr="00294A21">
        <w:rPr>
          <w:rFonts w:eastAsiaTheme="minorHAnsi"/>
          <w:sz w:val="18"/>
          <w:szCs w:val="18"/>
        </w:rPr>
        <w:t xml:space="preserve"> </w:t>
      </w:r>
      <w:r w:rsidR="00CB1306" w:rsidRPr="00294A21">
        <w:rPr>
          <w:rFonts w:eastAsiaTheme="minorHAnsi"/>
          <w:sz w:val="18"/>
          <w:szCs w:val="18"/>
        </w:rPr>
        <w:t>serum α-fetoprotein testing should still be offered at 15–20</w:t>
      </w:r>
      <w:r w:rsidR="00306664" w:rsidRPr="00294A21">
        <w:rPr>
          <w:rFonts w:eastAsiaTheme="minorHAnsi"/>
          <w:sz w:val="18"/>
          <w:szCs w:val="18"/>
        </w:rPr>
        <w:t xml:space="preserve"> </w:t>
      </w:r>
      <w:r w:rsidR="00CB1306" w:rsidRPr="00294A21">
        <w:rPr>
          <w:rFonts w:eastAsiaTheme="minorHAnsi"/>
          <w:sz w:val="18"/>
          <w:szCs w:val="18"/>
        </w:rPr>
        <w:t>weeks gestation to screen for open neural tube defects</w:t>
      </w:r>
    </w:p>
    <w:p w:rsidR="00B97855" w:rsidRPr="00294A21" w:rsidRDefault="009F29B2" w:rsidP="00B934ED">
      <w:pPr>
        <w:pStyle w:val="ListParagraph"/>
        <w:numPr>
          <w:ilvl w:val="0"/>
          <w:numId w:val="11"/>
        </w:numPr>
        <w:rPr>
          <w:rFonts w:eastAsiaTheme="minorHAnsi"/>
          <w:sz w:val="18"/>
          <w:szCs w:val="18"/>
        </w:rPr>
      </w:pPr>
      <w:r w:rsidRPr="00294A21">
        <w:rPr>
          <w:rFonts w:eastAsiaTheme="minorHAnsi"/>
          <w:sz w:val="18"/>
          <w:szCs w:val="18"/>
        </w:rPr>
        <w:t>D</w:t>
      </w:r>
      <w:r w:rsidR="00CB1306" w:rsidRPr="00294A21">
        <w:rPr>
          <w:rFonts w:eastAsiaTheme="minorHAnsi"/>
          <w:sz w:val="18"/>
          <w:szCs w:val="18"/>
        </w:rPr>
        <w:t>oes not replace the utility of a first-trimester ultrasound</w:t>
      </w:r>
      <w:r w:rsidR="00306664" w:rsidRPr="00294A21">
        <w:rPr>
          <w:rFonts w:eastAsiaTheme="minorHAnsi"/>
          <w:sz w:val="18"/>
          <w:szCs w:val="18"/>
        </w:rPr>
        <w:t xml:space="preserve"> </w:t>
      </w:r>
      <w:r w:rsidR="00D13A9C" w:rsidRPr="00294A21">
        <w:rPr>
          <w:rFonts w:eastAsiaTheme="minorHAnsi"/>
          <w:sz w:val="18"/>
          <w:szCs w:val="18"/>
        </w:rPr>
        <w:t>examination</w:t>
      </w:r>
    </w:p>
    <w:p w:rsidR="00294A21" w:rsidRDefault="00294A21" w:rsidP="00294A21">
      <w:pPr>
        <w:rPr>
          <w:b/>
          <w:noProof/>
          <w:sz w:val="28"/>
          <w:szCs w:val="28"/>
        </w:rPr>
      </w:pPr>
    </w:p>
    <w:p w:rsidR="001634B8" w:rsidRPr="00294A21" w:rsidRDefault="001634B8" w:rsidP="00294A21">
      <w:pPr>
        <w:rPr>
          <w:b/>
          <w:noProof/>
          <w:sz w:val="28"/>
          <w:szCs w:val="28"/>
        </w:rPr>
      </w:pPr>
    </w:p>
    <w:p w:rsidR="00392C61" w:rsidRPr="00B97855" w:rsidRDefault="00392C61" w:rsidP="00B97855">
      <w:pPr>
        <w:pStyle w:val="ListParagraph"/>
        <w:ind w:left="-720"/>
        <w:rPr>
          <w:rFonts w:eastAsiaTheme="minorHAnsi"/>
          <w:sz w:val="20"/>
          <w:szCs w:val="20"/>
        </w:rPr>
      </w:pPr>
      <w:r w:rsidRPr="00FD7064">
        <w:rPr>
          <w:noProof/>
          <w:sz w:val="22"/>
          <w:szCs w:val="22"/>
        </w:rPr>
        <mc:AlternateContent>
          <mc:Choice Requires="wps">
            <w:drawing>
              <wp:anchor distT="0" distB="0" distL="114300" distR="114300" simplePos="0" relativeHeight="251695104" behindDoc="0" locked="0" layoutInCell="1" allowOverlap="1" wp14:anchorId="2A0AD99F" wp14:editId="7D4B7662">
                <wp:simplePos x="0" y="0"/>
                <wp:positionH relativeFrom="column">
                  <wp:posOffset>-464820</wp:posOffset>
                </wp:positionH>
                <wp:positionV relativeFrom="paragraph">
                  <wp:posOffset>190500</wp:posOffset>
                </wp:positionV>
                <wp:extent cx="6377940" cy="0"/>
                <wp:effectExtent l="0" t="0" r="22860" b="19050"/>
                <wp:wrapNone/>
                <wp:docPr id="26" name="Straight Connector 26"/>
                <wp:cNvGraphicFramePr/>
                <a:graphic xmlns:a="http://schemas.openxmlformats.org/drawingml/2006/main">
                  <a:graphicData uri="http://schemas.microsoft.com/office/word/2010/wordprocessingShape">
                    <wps:wsp>
                      <wps:cNvCnPr/>
                      <wps:spPr>
                        <a:xfrm>
                          <a:off x="0" y="0"/>
                          <a:ext cx="63779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pt,15pt" to="465.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" strokecolor="black [3213]"/>
            </w:pict>
          </mc:Fallback>
        </mc:AlternateContent>
      </w:r>
      <w:r w:rsidRPr="00B97855">
        <w:rPr>
          <w:b/>
          <w:noProof/>
          <w:sz w:val="28"/>
          <w:szCs w:val="28"/>
        </w:rPr>
        <w:t>Professional Statement Summaries</w:t>
      </w:r>
    </w:p>
    <w:p w:rsidR="00392C61" w:rsidRPr="00D13A9C" w:rsidRDefault="00392C61" w:rsidP="00392C61">
      <w:pPr>
        <w:ind w:left="-720"/>
        <w:rPr>
          <w:b/>
          <w:noProof/>
          <w:sz w:val="16"/>
          <w:szCs w:val="16"/>
        </w:rPr>
      </w:pPr>
    </w:p>
    <w:p w:rsidR="00CB48CA" w:rsidRDefault="00CB48CA" w:rsidP="00895741">
      <w:pPr>
        <w:ind w:left="-360"/>
        <w:rPr>
          <w:b/>
          <w:color w:val="000000" w:themeColor="text1"/>
          <w:sz w:val="20"/>
          <w:szCs w:val="20"/>
        </w:rPr>
      </w:pPr>
    </w:p>
    <w:tbl>
      <w:tblPr>
        <w:tblStyle w:val="TableGrid"/>
        <w:tblW w:w="10278" w:type="dxa"/>
        <w:tblInd w:w="-360" w:type="dxa"/>
        <w:tblLayout w:type="fixed"/>
        <w:tblLook w:val="04A0" w:firstRow="1" w:lastRow="0" w:firstColumn="1" w:lastColumn="0" w:noHBand="0" w:noVBand="1"/>
      </w:tblPr>
      <w:tblGrid>
        <w:gridCol w:w="1638"/>
        <w:gridCol w:w="2160"/>
        <w:gridCol w:w="2160"/>
        <w:gridCol w:w="2160"/>
        <w:gridCol w:w="2160"/>
      </w:tblGrid>
      <w:tr w:rsidR="00E241A1" w:rsidTr="00A47F70">
        <w:tc>
          <w:tcPr>
            <w:tcW w:w="1638" w:type="dxa"/>
          </w:tcPr>
          <w:p w:rsidR="00CB48CA" w:rsidRPr="00CB48CA" w:rsidRDefault="00CB48CA" w:rsidP="00895741">
            <w:pPr>
              <w:rPr>
                <w:b/>
                <w:color w:val="000000" w:themeColor="text1"/>
                <w:sz w:val="18"/>
                <w:szCs w:val="18"/>
              </w:rPr>
            </w:pPr>
          </w:p>
        </w:tc>
        <w:tc>
          <w:tcPr>
            <w:tcW w:w="2160" w:type="dxa"/>
            <w:vAlign w:val="center"/>
          </w:tcPr>
          <w:p w:rsidR="00530E0B" w:rsidRDefault="00CB48CA" w:rsidP="00530E0B">
            <w:pPr>
              <w:jc w:val="center"/>
              <w:rPr>
                <w:b/>
                <w:color w:val="000000" w:themeColor="text1"/>
                <w:sz w:val="18"/>
                <w:szCs w:val="18"/>
              </w:rPr>
            </w:pPr>
            <w:r w:rsidRPr="00CB48CA">
              <w:rPr>
                <w:b/>
                <w:color w:val="000000" w:themeColor="text1"/>
                <w:sz w:val="18"/>
                <w:szCs w:val="18"/>
              </w:rPr>
              <w:t>ACMG</w:t>
            </w:r>
          </w:p>
          <w:p w:rsidR="00CB48CA" w:rsidRPr="00CB48CA" w:rsidRDefault="00CB48CA" w:rsidP="00530E0B">
            <w:pPr>
              <w:jc w:val="center"/>
              <w:rPr>
                <w:b/>
                <w:color w:val="000000" w:themeColor="text1"/>
                <w:sz w:val="18"/>
                <w:szCs w:val="18"/>
              </w:rPr>
            </w:pPr>
            <w:r w:rsidRPr="00CB48CA">
              <w:rPr>
                <w:b/>
                <w:color w:val="000000" w:themeColor="text1"/>
                <w:sz w:val="18"/>
                <w:szCs w:val="18"/>
              </w:rPr>
              <w:t>(American College of Medical Genetics and Genomics)</w:t>
            </w:r>
          </w:p>
        </w:tc>
        <w:tc>
          <w:tcPr>
            <w:tcW w:w="2160" w:type="dxa"/>
            <w:vAlign w:val="center"/>
          </w:tcPr>
          <w:p w:rsidR="00530E0B" w:rsidRDefault="00CB48CA" w:rsidP="00530E0B">
            <w:pPr>
              <w:jc w:val="center"/>
              <w:rPr>
                <w:b/>
                <w:color w:val="000000" w:themeColor="text1"/>
                <w:sz w:val="18"/>
                <w:szCs w:val="18"/>
              </w:rPr>
            </w:pPr>
            <w:r w:rsidRPr="00CB48CA">
              <w:rPr>
                <w:b/>
                <w:color w:val="000000" w:themeColor="text1"/>
                <w:sz w:val="18"/>
                <w:szCs w:val="18"/>
              </w:rPr>
              <w:t>ACOG</w:t>
            </w:r>
          </w:p>
          <w:p w:rsidR="00CB48CA" w:rsidRPr="00CB48CA" w:rsidRDefault="00CB48CA" w:rsidP="00530E0B">
            <w:pPr>
              <w:jc w:val="center"/>
              <w:rPr>
                <w:b/>
                <w:color w:val="000000" w:themeColor="text1"/>
                <w:sz w:val="18"/>
                <w:szCs w:val="18"/>
              </w:rPr>
            </w:pPr>
            <w:r w:rsidRPr="00CB48CA">
              <w:rPr>
                <w:b/>
                <w:color w:val="000000" w:themeColor="text1"/>
                <w:sz w:val="18"/>
                <w:szCs w:val="18"/>
              </w:rPr>
              <w:t>(American Congress of Obstetricians and Gynecologists)</w:t>
            </w:r>
          </w:p>
        </w:tc>
        <w:tc>
          <w:tcPr>
            <w:tcW w:w="2160" w:type="dxa"/>
            <w:vAlign w:val="center"/>
          </w:tcPr>
          <w:p w:rsidR="00530E0B" w:rsidRDefault="00CB48CA" w:rsidP="00530E0B">
            <w:pPr>
              <w:jc w:val="center"/>
              <w:rPr>
                <w:b/>
                <w:color w:val="000000" w:themeColor="text1"/>
                <w:sz w:val="18"/>
                <w:szCs w:val="18"/>
              </w:rPr>
            </w:pPr>
            <w:r w:rsidRPr="00CB48CA">
              <w:rPr>
                <w:b/>
                <w:color w:val="000000" w:themeColor="text1"/>
                <w:sz w:val="18"/>
                <w:szCs w:val="18"/>
              </w:rPr>
              <w:t>SMFM</w:t>
            </w:r>
          </w:p>
          <w:p w:rsidR="00CB48CA" w:rsidRPr="00CB48CA" w:rsidRDefault="00CB48CA" w:rsidP="00530E0B">
            <w:pPr>
              <w:jc w:val="center"/>
              <w:rPr>
                <w:b/>
                <w:color w:val="000000" w:themeColor="text1"/>
                <w:sz w:val="18"/>
                <w:szCs w:val="18"/>
              </w:rPr>
            </w:pPr>
            <w:r w:rsidRPr="00CB48CA">
              <w:rPr>
                <w:b/>
                <w:color w:val="000000" w:themeColor="text1"/>
                <w:sz w:val="18"/>
                <w:szCs w:val="18"/>
              </w:rPr>
              <w:t>(Society for Maternal-Fetal Medicine)</w:t>
            </w:r>
          </w:p>
        </w:tc>
        <w:tc>
          <w:tcPr>
            <w:tcW w:w="2160" w:type="dxa"/>
            <w:vAlign w:val="center"/>
          </w:tcPr>
          <w:p w:rsidR="00530E0B" w:rsidRDefault="00CB48CA" w:rsidP="00530E0B">
            <w:pPr>
              <w:jc w:val="center"/>
              <w:rPr>
                <w:b/>
                <w:color w:val="000000" w:themeColor="text1"/>
                <w:sz w:val="18"/>
                <w:szCs w:val="18"/>
              </w:rPr>
            </w:pPr>
            <w:r w:rsidRPr="00CB48CA">
              <w:rPr>
                <w:b/>
                <w:color w:val="000000" w:themeColor="text1"/>
                <w:sz w:val="18"/>
                <w:szCs w:val="18"/>
              </w:rPr>
              <w:t>NSGC</w:t>
            </w:r>
          </w:p>
          <w:p w:rsidR="00CB48CA" w:rsidRPr="00CB48CA" w:rsidRDefault="00CB48CA" w:rsidP="00530E0B">
            <w:pPr>
              <w:jc w:val="center"/>
              <w:rPr>
                <w:b/>
                <w:color w:val="000000" w:themeColor="text1"/>
                <w:sz w:val="18"/>
                <w:szCs w:val="18"/>
              </w:rPr>
            </w:pPr>
            <w:r w:rsidRPr="00CB48CA">
              <w:rPr>
                <w:b/>
                <w:color w:val="000000" w:themeColor="text1"/>
                <w:sz w:val="18"/>
                <w:szCs w:val="18"/>
              </w:rPr>
              <w:t>(National Society of Genetic Counselors)</w:t>
            </w:r>
          </w:p>
        </w:tc>
      </w:tr>
      <w:tr w:rsidR="00E241A1" w:rsidTr="00A47F70">
        <w:tc>
          <w:tcPr>
            <w:tcW w:w="1638" w:type="dxa"/>
          </w:tcPr>
          <w:p w:rsidR="00CB48CA" w:rsidRPr="00E65AFC" w:rsidRDefault="00CB48CA" w:rsidP="00895741">
            <w:pPr>
              <w:rPr>
                <w:b/>
                <w:color w:val="000000" w:themeColor="text1"/>
                <w:sz w:val="22"/>
                <w:szCs w:val="22"/>
              </w:rPr>
            </w:pPr>
            <w:r w:rsidRPr="00E65AFC">
              <w:rPr>
                <w:b/>
                <w:color w:val="000000" w:themeColor="text1"/>
                <w:sz w:val="22"/>
                <w:szCs w:val="22"/>
              </w:rPr>
              <w:t>Statement Release</w:t>
            </w:r>
          </w:p>
        </w:tc>
        <w:tc>
          <w:tcPr>
            <w:tcW w:w="2160" w:type="dxa"/>
          </w:tcPr>
          <w:p w:rsidR="00CB48CA" w:rsidRPr="00BD649C" w:rsidRDefault="00CB48CA" w:rsidP="00E65AFC">
            <w:pPr>
              <w:jc w:val="center"/>
              <w:rPr>
                <w:b/>
                <w:color w:val="000000" w:themeColor="text1"/>
                <w:sz w:val="22"/>
                <w:szCs w:val="22"/>
              </w:rPr>
            </w:pPr>
            <w:r w:rsidRPr="00BD649C">
              <w:rPr>
                <w:b/>
                <w:color w:val="000000" w:themeColor="text1"/>
                <w:sz w:val="22"/>
                <w:szCs w:val="22"/>
              </w:rPr>
              <w:t>2016</w:t>
            </w:r>
          </w:p>
          <w:p w:rsidR="00CB48CA" w:rsidRPr="00CB48CA" w:rsidRDefault="005540C4" w:rsidP="00E65AFC">
            <w:pPr>
              <w:jc w:val="center"/>
              <w:rPr>
                <w:b/>
                <w:color w:val="000000" w:themeColor="text1"/>
                <w:sz w:val="18"/>
                <w:szCs w:val="18"/>
              </w:rPr>
            </w:pPr>
            <w:hyperlink r:id="rId8" w:history="1">
              <w:r w:rsidR="00CB48CA" w:rsidRPr="00CB48CA">
                <w:rPr>
                  <w:rStyle w:val="Hyperlink"/>
                  <w:color w:val="000000" w:themeColor="text1"/>
                  <w:sz w:val="18"/>
                  <w:szCs w:val="18"/>
                </w:rPr>
                <w:t>http://www.acmg.net/docs/NIPS_AOP.pdf</w:t>
              </w:r>
            </w:hyperlink>
          </w:p>
        </w:tc>
        <w:tc>
          <w:tcPr>
            <w:tcW w:w="2160" w:type="dxa"/>
          </w:tcPr>
          <w:p w:rsidR="00CB48CA" w:rsidRPr="00BD649C" w:rsidRDefault="00CB48CA" w:rsidP="00E65AFC">
            <w:pPr>
              <w:jc w:val="center"/>
              <w:rPr>
                <w:b/>
                <w:color w:val="000000" w:themeColor="text1"/>
                <w:sz w:val="22"/>
                <w:szCs w:val="22"/>
              </w:rPr>
            </w:pPr>
            <w:r w:rsidRPr="00BD649C">
              <w:rPr>
                <w:b/>
                <w:color w:val="000000" w:themeColor="text1"/>
                <w:sz w:val="22"/>
                <w:szCs w:val="22"/>
              </w:rPr>
              <w:t>2015</w:t>
            </w:r>
          </w:p>
          <w:p w:rsidR="00CB48CA" w:rsidRPr="00CB48CA" w:rsidRDefault="005540C4" w:rsidP="00E65AFC">
            <w:pPr>
              <w:jc w:val="center"/>
              <w:rPr>
                <w:b/>
                <w:color w:val="000000" w:themeColor="text1"/>
                <w:sz w:val="18"/>
                <w:szCs w:val="18"/>
              </w:rPr>
            </w:pPr>
            <w:hyperlink r:id="rId9" w:history="1">
              <w:r w:rsidR="00CB48CA" w:rsidRPr="00CB48CA">
                <w:rPr>
                  <w:rStyle w:val="Hyperlink"/>
                  <w:color w:val="000000" w:themeColor="text1"/>
                  <w:sz w:val="18"/>
                  <w:szCs w:val="18"/>
                </w:rPr>
                <w:t>http://www.acog.org/Resources-And-Publications/Committee- Opinions/Committee-on-Genetics/Cell-free-DNA-Screening-for-Fetal-Aneuploidy</w:t>
              </w:r>
            </w:hyperlink>
          </w:p>
        </w:tc>
        <w:tc>
          <w:tcPr>
            <w:tcW w:w="2160" w:type="dxa"/>
          </w:tcPr>
          <w:p w:rsidR="00CB48CA" w:rsidRPr="00BD649C" w:rsidRDefault="00CB48CA" w:rsidP="00E65AFC">
            <w:pPr>
              <w:jc w:val="center"/>
              <w:rPr>
                <w:b/>
                <w:color w:val="000000" w:themeColor="text1"/>
                <w:sz w:val="22"/>
                <w:szCs w:val="22"/>
              </w:rPr>
            </w:pPr>
            <w:r w:rsidRPr="00BD649C">
              <w:rPr>
                <w:b/>
                <w:color w:val="000000" w:themeColor="text1"/>
                <w:sz w:val="22"/>
                <w:szCs w:val="22"/>
              </w:rPr>
              <w:t>2015</w:t>
            </w:r>
          </w:p>
          <w:p w:rsidR="00CB48CA" w:rsidRPr="00CB48CA" w:rsidRDefault="005540C4" w:rsidP="00E65AFC">
            <w:pPr>
              <w:jc w:val="center"/>
              <w:rPr>
                <w:b/>
                <w:color w:val="000000" w:themeColor="text1"/>
                <w:sz w:val="18"/>
                <w:szCs w:val="18"/>
              </w:rPr>
            </w:pPr>
            <w:hyperlink r:id="rId10" w:history="1">
              <w:r w:rsidR="00CB48CA" w:rsidRPr="00D13A9C">
                <w:rPr>
                  <w:rStyle w:val="Hyperlink"/>
                  <w:color w:val="000000" w:themeColor="text1"/>
                  <w:sz w:val="20"/>
                  <w:szCs w:val="20"/>
                </w:rPr>
                <w:t>https://www.smfm.org/publications/157-smfm-statement-maternal-serum-cell-free-dna-screening-in-low-risk-women</w:t>
              </w:r>
            </w:hyperlink>
          </w:p>
        </w:tc>
        <w:tc>
          <w:tcPr>
            <w:tcW w:w="2160" w:type="dxa"/>
          </w:tcPr>
          <w:p w:rsidR="00CB48CA" w:rsidRPr="00BD649C" w:rsidRDefault="00CB48CA" w:rsidP="00E65AFC">
            <w:pPr>
              <w:jc w:val="center"/>
              <w:rPr>
                <w:b/>
                <w:color w:val="000000" w:themeColor="text1"/>
                <w:sz w:val="22"/>
                <w:szCs w:val="22"/>
              </w:rPr>
            </w:pPr>
            <w:r w:rsidRPr="00BD649C">
              <w:rPr>
                <w:b/>
                <w:color w:val="000000" w:themeColor="text1"/>
                <w:sz w:val="22"/>
                <w:szCs w:val="22"/>
              </w:rPr>
              <w:t>2016 (brief update)</w:t>
            </w:r>
          </w:p>
          <w:p w:rsidR="00CB48CA" w:rsidRPr="00CB48CA" w:rsidRDefault="005540C4" w:rsidP="00E65AFC">
            <w:pPr>
              <w:jc w:val="center"/>
              <w:rPr>
                <w:rStyle w:val="Hyperlink"/>
                <w:color w:val="000000" w:themeColor="text1"/>
                <w:sz w:val="18"/>
                <w:szCs w:val="18"/>
                <w:u w:val="none"/>
              </w:rPr>
            </w:pPr>
            <w:hyperlink r:id="rId11" w:history="1">
              <w:r w:rsidR="00CB48CA" w:rsidRPr="00CB48CA">
                <w:rPr>
                  <w:rStyle w:val="Hyperlink"/>
                  <w:color w:val="000000" w:themeColor="text1"/>
                  <w:sz w:val="18"/>
                  <w:szCs w:val="18"/>
                </w:rPr>
                <w:t>http://nsgc.org/p/bl/et/blogaid=33</w:t>
              </w:r>
            </w:hyperlink>
          </w:p>
          <w:p w:rsidR="00CB48CA" w:rsidRPr="00CB48CA" w:rsidRDefault="00CB48CA" w:rsidP="00E65AFC">
            <w:pPr>
              <w:jc w:val="center"/>
              <w:rPr>
                <w:b/>
                <w:color w:val="000000" w:themeColor="text1"/>
                <w:sz w:val="18"/>
                <w:szCs w:val="18"/>
              </w:rPr>
            </w:pPr>
          </w:p>
        </w:tc>
      </w:tr>
      <w:tr w:rsidR="00CB48CA" w:rsidTr="00A47F70">
        <w:tc>
          <w:tcPr>
            <w:tcW w:w="1638" w:type="dxa"/>
          </w:tcPr>
          <w:p w:rsidR="00CB48CA" w:rsidRPr="00E65AFC" w:rsidRDefault="00CB48CA" w:rsidP="00895741">
            <w:pPr>
              <w:rPr>
                <w:b/>
                <w:color w:val="000000" w:themeColor="text1"/>
                <w:sz w:val="22"/>
                <w:szCs w:val="22"/>
              </w:rPr>
            </w:pPr>
            <w:r w:rsidRPr="00E65AFC">
              <w:rPr>
                <w:b/>
                <w:color w:val="000000" w:themeColor="text1"/>
                <w:sz w:val="22"/>
                <w:szCs w:val="22"/>
              </w:rPr>
              <w:t>Low-risk populations</w:t>
            </w:r>
          </w:p>
        </w:tc>
        <w:tc>
          <w:tcPr>
            <w:tcW w:w="2160" w:type="dxa"/>
            <w:vAlign w:val="center"/>
          </w:tcPr>
          <w:p w:rsidR="00CB48CA" w:rsidRPr="00A47F70" w:rsidRDefault="00E23AC1" w:rsidP="00530E0B">
            <w:pPr>
              <w:jc w:val="center"/>
              <w:rPr>
                <w:rFonts w:ascii="Webdings" w:hAnsi="Webdings"/>
                <w:color w:val="000000" w:themeColor="text1"/>
              </w:rPr>
            </w:pPr>
            <w:r w:rsidRPr="00A47F70">
              <w:rPr>
                <w:rFonts w:ascii="Webdings" w:hAnsi="Webdings"/>
                <w:color w:val="000000" w:themeColor="text1"/>
              </w:rPr>
              <w:t></w:t>
            </w:r>
          </w:p>
        </w:tc>
        <w:tc>
          <w:tcPr>
            <w:tcW w:w="2160" w:type="dxa"/>
            <w:vAlign w:val="center"/>
          </w:tcPr>
          <w:p w:rsidR="00CB48CA" w:rsidRPr="00A47F70" w:rsidRDefault="00E23AC1" w:rsidP="00530E0B">
            <w:pPr>
              <w:jc w:val="center"/>
              <w:rPr>
                <w:color w:val="000000" w:themeColor="text1"/>
              </w:rPr>
            </w:pPr>
            <w:r w:rsidRPr="00A47F70">
              <w:rPr>
                <w:rFonts w:ascii="Webdings" w:hAnsi="Webdings"/>
                <w:color w:val="000000" w:themeColor="text1"/>
              </w:rPr>
              <w:t></w:t>
            </w:r>
          </w:p>
        </w:tc>
        <w:tc>
          <w:tcPr>
            <w:tcW w:w="2160" w:type="dxa"/>
            <w:vAlign w:val="center"/>
          </w:tcPr>
          <w:p w:rsidR="00CB48CA" w:rsidRPr="00A47F70" w:rsidRDefault="00E23AC1" w:rsidP="00530E0B">
            <w:pPr>
              <w:jc w:val="center"/>
              <w:rPr>
                <w:color w:val="000000" w:themeColor="text1"/>
              </w:rPr>
            </w:pPr>
            <w:r w:rsidRPr="00A47F70">
              <w:rPr>
                <w:rFonts w:ascii="Webdings" w:hAnsi="Webdings"/>
                <w:color w:val="000000" w:themeColor="text1"/>
              </w:rPr>
              <w:t></w:t>
            </w:r>
          </w:p>
        </w:tc>
        <w:tc>
          <w:tcPr>
            <w:tcW w:w="2160" w:type="dxa"/>
            <w:vAlign w:val="center"/>
          </w:tcPr>
          <w:p w:rsidR="00CB48CA" w:rsidRPr="00A47F70" w:rsidRDefault="00E23AC1" w:rsidP="00530E0B">
            <w:pPr>
              <w:jc w:val="center"/>
              <w:rPr>
                <w:color w:val="000000" w:themeColor="text1"/>
              </w:rPr>
            </w:pPr>
            <w:r w:rsidRPr="00A47F70">
              <w:rPr>
                <w:rFonts w:ascii="Webdings" w:hAnsi="Webdings"/>
                <w:color w:val="000000" w:themeColor="text1"/>
              </w:rPr>
              <w:t></w:t>
            </w:r>
          </w:p>
        </w:tc>
      </w:tr>
      <w:tr w:rsidR="00E241A1" w:rsidTr="00A47F70">
        <w:tc>
          <w:tcPr>
            <w:tcW w:w="1638" w:type="dxa"/>
          </w:tcPr>
          <w:p w:rsidR="00CB48CA" w:rsidRPr="00E65AFC" w:rsidRDefault="00CB48CA" w:rsidP="00895741">
            <w:pPr>
              <w:rPr>
                <w:b/>
                <w:color w:val="000000" w:themeColor="text1"/>
                <w:sz w:val="22"/>
                <w:szCs w:val="22"/>
              </w:rPr>
            </w:pPr>
            <w:r w:rsidRPr="00E65AFC">
              <w:rPr>
                <w:b/>
                <w:color w:val="000000" w:themeColor="text1"/>
                <w:sz w:val="22"/>
                <w:szCs w:val="22"/>
              </w:rPr>
              <w:t>High-risk populations*</w:t>
            </w:r>
          </w:p>
        </w:tc>
        <w:tc>
          <w:tcPr>
            <w:tcW w:w="2160" w:type="dxa"/>
            <w:vAlign w:val="center"/>
          </w:tcPr>
          <w:p w:rsidR="00CB48CA" w:rsidRPr="00A47F70" w:rsidRDefault="00E23AC1" w:rsidP="00530E0B">
            <w:pPr>
              <w:jc w:val="center"/>
              <w:rPr>
                <w:color w:val="000000" w:themeColor="text1"/>
              </w:rPr>
            </w:pPr>
            <w:r w:rsidRPr="00A47F70">
              <w:rPr>
                <w:rFonts w:ascii="Webdings" w:hAnsi="Webdings"/>
                <w:color w:val="000000" w:themeColor="text1"/>
              </w:rPr>
              <w:t></w:t>
            </w:r>
          </w:p>
        </w:tc>
        <w:tc>
          <w:tcPr>
            <w:tcW w:w="2160" w:type="dxa"/>
            <w:vAlign w:val="center"/>
          </w:tcPr>
          <w:p w:rsidR="00CB48CA" w:rsidRPr="00A47F70" w:rsidRDefault="002A5A2E" w:rsidP="00530E0B">
            <w:pPr>
              <w:jc w:val="center"/>
              <w:rPr>
                <w:color w:val="000000" w:themeColor="text1"/>
              </w:rPr>
            </w:pPr>
            <w:r w:rsidRPr="00A47F70">
              <w:rPr>
                <w:color w:val="000000" w:themeColor="text1"/>
              </w:rPr>
              <w:t>x</w:t>
            </w:r>
          </w:p>
        </w:tc>
        <w:tc>
          <w:tcPr>
            <w:tcW w:w="2160" w:type="dxa"/>
            <w:vAlign w:val="center"/>
          </w:tcPr>
          <w:p w:rsidR="00CB48CA" w:rsidRPr="00A47F70" w:rsidRDefault="002A5A2E" w:rsidP="00530E0B">
            <w:pPr>
              <w:jc w:val="center"/>
              <w:rPr>
                <w:color w:val="000000" w:themeColor="text1"/>
              </w:rPr>
            </w:pPr>
            <w:r w:rsidRPr="00A47F70">
              <w:rPr>
                <w:color w:val="000000" w:themeColor="text1"/>
              </w:rPr>
              <w:t>x</w:t>
            </w:r>
          </w:p>
        </w:tc>
        <w:tc>
          <w:tcPr>
            <w:tcW w:w="2160" w:type="dxa"/>
            <w:vAlign w:val="center"/>
          </w:tcPr>
          <w:p w:rsidR="00CB48CA" w:rsidRPr="00A47F70" w:rsidRDefault="00DD76BF" w:rsidP="00530E0B">
            <w:pPr>
              <w:jc w:val="center"/>
              <w:rPr>
                <w:color w:val="000000" w:themeColor="text1"/>
              </w:rPr>
            </w:pPr>
            <w:r w:rsidRPr="00A47F70">
              <w:rPr>
                <w:rFonts w:ascii="Webdings" w:hAnsi="Webdings"/>
                <w:color w:val="000000" w:themeColor="text1"/>
              </w:rPr>
              <w:t></w:t>
            </w:r>
          </w:p>
        </w:tc>
      </w:tr>
      <w:tr w:rsidR="00E241A1" w:rsidTr="00A47F70">
        <w:tc>
          <w:tcPr>
            <w:tcW w:w="1638" w:type="dxa"/>
          </w:tcPr>
          <w:p w:rsidR="00CB48CA" w:rsidRPr="00E65AFC" w:rsidRDefault="00CB48CA" w:rsidP="00895741">
            <w:pPr>
              <w:rPr>
                <w:b/>
                <w:color w:val="000000" w:themeColor="text1"/>
                <w:sz w:val="22"/>
                <w:szCs w:val="22"/>
              </w:rPr>
            </w:pPr>
            <w:r w:rsidRPr="00E65AFC">
              <w:rPr>
                <w:b/>
                <w:color w:val="000000" w:themeColor="text1"/>
                <w:sz w:val="22"/>
                <w:szCs w:val="22"/>
              </w:rPr>
              <w:t>Microdeletions/duplications (</w:t>
            </w:r>
            <w:proofErr w:type="spellStart"/>
            <w:r w:rsidRPr="00E65AFC">
              <w:rPr>
                <w:b/>
                <w:color w:val="000000" w:themeColor="text1"/>
                <w:sz w:val="22"/>
                <w:szCs w:val="22"/>
              </w:rPr>
              <w:t>ie</w:t>
            </w:r>
            <w:proofErr w:type="spellEnd"/>
            <w:r w:rsidRPr="00E65AFC">
              <w:rPr>
                <w:b/>
                <w:color w:val="000000" w:themeColor="text1"/>
                <w:sz w:val="22"/>
                <w:szCs w:val="22"/>
              </w:rPr>
              <w:t xml:space="preserve"> 22q11.2)</w:t>
            </w:r>
          </w:p>
        </w:tc>
        <w:tc>
          <w:tcPr>
            <w:tcW w:w="2160" w:type="dxa"/>
            <w:vAlign w:val="center"/>
          </w:tcPr>
          <w:p w:rsidR="00CB48CA" w:rsidRPr="00A47F70" w:rsidRDefault="00530E0B" w:rsidP="00530E0B">
            <w:pPr>
              <w:jc w:val="center"/>
              <w:rPr>
                <w:color w:val="000000" w:themeColor="text1"/>
              </w:rPr>
            </w:pPr>
            <w:r w:rsidRPr="00A47F70">
              <w:rPr>
                <w:color w:val="000000" w:themeColor="text1"/>
              </w:rPr>
              <w:t>x</w:t>
            </w:r>
          </w:p>
        </w:tc>
        <w:tc>
          <w:tcPr>
            <w:tcW w:w="2160" w:type="dxa"/>
            <w:vAlign w:val="center"/>
          </w:tcPr>
          <w:p w:rsidR="00CB48CA" w:rsidRPr="00A47F70" w:rsidRDefault="00530E0B" w:rsidP="00530E0B">
            <w:pPr>
              <w:jc w:val="center"/>
              <w:rPr>
                <w:color w:val="000000" w:themeColor="text1"/>
              </w:rPr>
            </w:pPr>
            <w:r w:rsidRPr="00A47F70">
              <w:rPr>
                <w:color w:val="000000" w:themeColor="text1"/>
              </w:rPr>
              <w:t>x</w:t>
            </w:r>
          </w:p>
        </w:tc>
        <w:tc>
          <w:tcPr>
            <w:tcW w:w="2160" w:type="dxa"/>
            <w:vAlign w:val="center"/>
          </w:tcPr>
          <w:p w:rsidR="00CB48CA" w:rsidRPr="00A47F70" w:rsidRDefault="00530E0B" w:rsidP="00530E0B">
            <w:pPr>
              <w:jc w:val="center"/>
              <w:rPr>
                <w:color w:val="000000" w:themeColor="text1"/>
              </w:rPr>
            </w:pPr>
            <w:r w:rsidRPr="00A47F70">
              <w:rPr>
                <w:color w:val="000000" w:themeColor="text1"/>
              </w:rPr>
              <w:t>x</w:t>
            </w:r>
          </w:p>
        </w:tc>
        <w:tc>
          <w:tcPr>
            <w:tcW w:w="2160" w:type="dxa"/>
            <w:vAlign w:val="center"/>
          </w:tcPr>
          <w:p w:rsidR="00CB48CA" w:rsidRPr="00A47F70" w:rsidRDefault="00530E0B" w:rsidP="00530E0B">
            <w:pPr>
              <w:jc w:val="center"/>
              <w:rPr>
                <w:color w:val="000000" w:themeColor="text1"/>
              </w:rPr>
            </w:pPr>
            <w:r w:rsidRPr="00A47F70">
              <w:rPr>
                <w:color w:val="000000" w:themeColor="text1"/>
              </w:rPr>
              <w:t>x</w:t>
            </w:r>
          </w:p>
        </w:tc>
      </w:tr>
      <w:tr w:rsidR="00CB48CA" w:rsidTr="00A47F70">
        <w:tc>
          <w:tcPr>
            <w:tcW w:w="1638" w:type="dxa"/>
          </w:tcPr>
          <w:p w:rsidR="00CB48CA" w:rsidRPr="00E65AFC" w:rsidRDefault="00CB48CA" w:rsidP="00895741">
            <w:pPr>
              <w:rPr>
                <w:b/>
                <w:color w:val="000000" w:themeColor="text1"/>
                <w:sz w:val="22"/>
                <w:szCs w:val="22"/>
              </w:rPr>
            </w:pPr>
            <w:r w:rsidRPr="00E65AFC">
              <w:rPr>
                <w:b/>
                <w:color w:val="000000" w:themeColor="text1"/>
                <w:sz w:val="22"/>
                <w:szCs w:val="22"/>
              </w:rPr>
              <w:t>Multiple gestations (</w:t>
            </w:r>
            <w:proofErr w:type="spellStart"/>
            <w:r w:rsidRPr="00E65AFC">
              <w:rPr>
                <w:b/>
                <w:color w:val="000000" w:themeColor="text1"/>
                <w:sz w:val="22"/>
                <w:szCs w:val="22"/>
              </w:rPr>
              <w:t>ie</w:t>
            </w:r>
            <w:proofErr w:type="spellEnd"/>
            <w:r w:rsidRPr="00E65AFC">
              <w:rPr>
                <w:b/>
                <w:color w:val="000000" w:themeColor="text1"/>
                <w:sz w:val="22"/>
                <w:szCs w:val="22"/>
              </w:rPr>
              <w:t xml:space="preserve"> twins)</w:t>
            </w:r>
          </w:p>
        </w:tc>
        <w:tc>
          <w:tcPr>
            <w:tcW w:w="2160" w:type="dxa"/>
            <w:vAlign w:val="center"/>
          </w:tcPr>
          <w:p w:rsidR="00CB48CA" w:rsidRPr="00A47F70" w:rsidRDefault="00294A21" w:rsidP="00530E0B">
            <w:pPr>
              <w:jc w:val="center"/>
              <w:rPr>
                <w:color w:val="000000" w:themeColor="text1"/>
              </w:rPr>
            </w:pPr>
            <w:r w:rsidRPr="00A47F70">
              <w:rPr>
                <w:color w:val="000000" w:themeColor="text1"/>
              </w:rPr>
              <w:t>x</w:t>
            </w:r>
          </w:p>
        </w:tc>
        <w:tc>
          <w:tcPr>
            <w:tcW w:w="2160" w:type="dxa"/>
            <w:vAlign w:val="center"/>
          </w:tcPr>
          <w:p w:rsidR="00CB48CA" w:rsidRPr="00A47F70" w:rsidRDefault="00294A21" w:rsidP="00530E0B">
            <w:pPr>
              <w:jc w:val="center"/>
              <w:rPr>
                <w:color w:val="000000" w:themeColor="text1"/>
              </w:rPr>
            </w:pPr>
            <w:r w:rsidRPr="00A47F70">
              <w:rPr>
                <w:color w:val="000000" w:themeColor="text1"/>
              </w:rPr>
              <w:t>x</w:t>
            </w:r>
          </w:p>
        </w:tc>
        <w:tc>
          <w:tcPr>
            <w:tcW w:w="2160" w:type="dxa"/>
            <w:vAlign w:val="center"/>
          </w:tcPr>
          <w:p w:rsidR="00CB48CA" w:rsidRPr="00A47F70" w:rsidRDefault="00294A21" w:rsidP="00530E0B">
            <w:pPr>
              <w:jc w:val="center"/>
              <w:rPr>
                <w:color w:val="000000" w:themeColor="text1"/>
              </w:rPr>
            </w:pPr>
            <w:r w:rsidRPr="00A47F70">
              <w:rPr>
                <w:color w:val="000000" w:themeColor="text1"/>
              </w:rPr>
              <w:t>x</w:t>
            </w:r>
          </w:p>
        </w:tc>
        <w:tc>
          <w:tcPr>
            <w:tcW w:w="2160" w:type="dxa"/>
            <w:vAlign w:val="center"/>
          </w:tcPr>
          <w:p w:rsidR="00CB48CA" w:rsidRPr="00A47F70" w:rsidRDefault="00294A21" w:rsidP="00530E0B">
            <w:pPr>
              <w:jc w:val="center"/>
              <w:rPr>
                <w:color w:val="000000" w:themeColor="text1"/>
              </w:rPr>
            </w:pPr>
            <w:r w:rsidRPr="00A47F70">
              <w:rPr>
                <w:color w:val="000000" w:themeColor="text1"/>
              </w:rPr>
              <w:t>x</w:t>
            </w:r>
          </w:p>
        </w:tc>
      </w:tr>
      <w:tr w:rsidR="00E241A1" w:rsidTr="00A47F70">
        <w:tc>
          <w:tcPr>
            <w:tcW w:w="1638" w:type="dxa"/>
          </w:tcPr>
          <w:p w:rsidR="00CB48CA" w:rsidRPr="00E65AFC" w:rsidRDefault="00CB48CA" w:rsidP="00895741">
            <w:pPr>
              <w:rPr>
                <w:b/>
                <w:color w:val="000000" w:themeColor="text1"/>
                <w:sz w:val="22"/>
                <w:szCs w:val="22"/>
              </w:rPr>
            </w:pPr>
            <w:r w:rsidRPr="00E65AFC">
              <w:rPr>
                <w:b/>
                <w:color w:val="000000" w:themeColor="text1"/>
                <w:sz w:val="22"/>
                <w:szCs w:val="22"/>
              </w:rPr>
              <w:t>Sex determination</w:t>
            </w:r>
          </w:p>
        </w:tc>
        <w:tc>
          <w:tcPr>
            <w:tcW w:w="2160" w:type="dxa"/>
            <w:vAlign w:val="center"/>
          </w:tcPr>
          <w:p w:rsidR="00CB48CA" w:rsidRPr="00A47F70" w:rsidRDefault="00530E0B" w:rsidP="00530E0B">
            <w:pPr>
              <w:jc w:val="center"/>
              <w:rPr>
                <w:color w:val="000000" w:themeColor="text1"/>
              </w:rPr>
            </w:pPr>
            <w:r w:rsidRPr="00A47F70">
              <w:rPr>
                <w:color w:val="000000" w:themeColor="text1"/>
              </w:rPr>
              <w:t>x</w:t>
            </w:r>
          </w:p>
        </w:tc>
        <w:tc>
          <w:tcPr>
            <w:tcW w:w="2160" w:type="dxa"/>
            <w:vAlign w:val="center"/>
          </w:tcPr>
          <w:p w:rsidR="00CB48CA" w:rsidRPr="00A47F70" w:rsidRDefault="00530E0B" w:rsidP="00530E0B">
            <w:pPr>
              <w:jc w:val="center"/>
              <w:rPr>
                <w:color w:val="000000" w:themeColor="text1"/>
              </w:rPr>
            </w:pPr>
            <w:r w:rsidRPr="00A47F70">
              <w:rPr>
                <w:color w:val="000000" w:themeColor="text1"/>
              </w:rPr>
              <w:t>x</w:t>
            </w:r>
          </w:p>
        </w:tc>
        <w:tc>
          <w:tcPr>
            <w:tcW w:w="2160" w:type="dxa"/>
            <w:vAlign w:val="center"/>
          </w:tcPr>
          <w:p w:rsidR="00CB48CA" w:rsidRPr="00A47F70" w:rsidRDefault="00530E0B" w:rsidP="00530E0B">
            <w:pPr>
              <w:jc w:val="center"/>
              <w:rPr>
                <w:color w:val="000000" w:themeColor="text1"/>
              </w:rPr>
            </w:pPr>
            <w:r w:rsidRPr="00A47F70">
              <w:rPr>
                <w:color w:val="000000" w:themeColor="text1"/>
              </w:rPr>
              <w:t>x</w:t>
            </w:r>
          </w:p>
        </w:tc>
        <w:tc>
          <w:tcPr>
            <w:tcW w:w="2160" w:type="dxa"/>
            <w:vAlign w:val="center"/>
          </w:tcPr>
          <w:p w:rsidR="00CB48CA" w:rsidRPr="00A47F70" w:rsidRDefault="00530E0B" w:rsidP="00530E0B">
            <w:pPr>
              <w:jc w:val="center"/>
              <w:rPr>
                <w:color w:val="000000" w:themeColor="text1"/>
              </w:rPr>
            </w:pPr>
            <w:r w:rsidRPr="00A47F70">
              <w:rPr>
                <w:color w:val="000000" w:themeColor="text1"/>
              </w:rPr>
              <w:t>x</w:t>
            </w:r>
          </w:p>
        </w:tc>
      </w:tr>
      <w:tr w:rsidR="00E241A1" w:rsidTr="00A47F70">
        <w:tc>
          <w:tcPr>
            <w:tcW w:w="1638" w:type="dxa"/>
          </w:tcPr>
          <w:p w:rsidR="00CB48CA" w:rsidRPr="00E65AFC" w:rsidRDefault="00530E0B" w:rsidP="00895741">
            <w:pPr>
              <w:rPr>
                <w:b/>
                <w:color w:val="000000" w:themeColor="text1"/>
                <w:sz w:val="22"/>
                <w:szCs w:val="22"/>
              </w:rPr>
            </w:pPr>
            <w:r w:rsidRPr="00E65AFC">
              <w:rPr>
                <w:b/>
                <w:color w:val="000000" w:themeColor="text1"/>
                <w:sz w:val="22"/>
                <w:szCs w:val="22"/>
              </w:rPr>
              <w:t>Pre-test education</w:t>
            </w:r>
          </w:p>
        </w:tc>
        <w:tc>
          <w:tcPr>
            <w:tcW w:w="2160" w:type="dxa"/>
            <w:vAlign w:val="center"/>
          </w:tcPr>
          <w:p w:rsidR="00CB48CA" w:rsidRPr="00E241A1" w:rsidRDefault="00BD649C" w:rsidP="00E241A1">
            <w:pPr>
              <w:ind w:left="-18"/>
              <w:jc w:val="center"/>
              <w:rPr>
                <w:sz w:val="20"/>
                <w:szCs w:val="20"/>
              </w:rPr>
            </w:pPr>
            <w:r w:rsidRPr="00E241A1">
              <w:rPr>
                <w:color w:val="000000" w:themeColor="text1"/>
                <w:sz w:val="20"/>
                <w:szCs w:val="20"/>
              </w:rPr>
              <w:t>Discuss risks, benefits, alternative screening</w:t>
            </w:r>
            <w:r w:rsidR="00E241A1" w:rsidRPr="00E241A1">
              <w:rPr>
                <w:color w:val="000000" w:themeColor="text1"/>
                <w:sz w:val="20"/>
                <w:szCs w:val="20"/>
              </w:rPr>
              <w:t xml:space="preserve"> options, </w:t>
            </w:r>
            <w:r w:rsidR="00E241A1" w:rsidRPr="00E241A1">
              <w:rPr>
                <w:sz w:val="20"/>
                <w:szCs w:val="20"/>
              </w:rPr>
              <w:t>diagnostic testing, and the option of no testing.</w:t>
            </w:r>
          </w:p>
        </w:tc>
        <w:tc>
          <w:tcPr>
            <w:tcW w:w="2160" w:type="dxa"/>
            <w:vAlign w:val="center"/>
          </w:tcPr>
          <w:p w:rsidR="00CB48CA" w:rsidRPr="00E241A1" w:rsidRDefault="00E241A1" w:rsidP="00530E0B">
            <w:pPr>
              <w:jc w:val="center"/>
              <w:rPr>
                <w:sz w:val="20"/>
                <w:szCs w:val="20"/>
              </w:rPr>
            </w:pPr>
            <w:r w:rsidRPr="00E241A1">
              <w:rPr>
                <w:color w:val="000000" w:themeColor="text1"/>
                <w:sz w:val="20"/>
                <w:szCs w:val="20"/>
              </w:rPr>
              <w:t xml:space="preserve">Discuss risks, benefits, alternative screening options, </w:t>
            </w:r>
            <w:r>
              <w:rPr>
                <w:sz w:val="20"/>
                <w:szCs w:val="20"/>
              </w:rPr>
              <w:t>diagnostic testing, and the option of no testing.</w:t>
            </w:r>
          </w:p>
        </w:tc>
        <w:tc>
          <w:tcPr>
            <w:tcW w:w="2160" w:type="dxa"/>
            <w:vAlign w:val="center"/>
          </w:tcPr>
          <w:p w:rsidR="00CB48CA" w:rsidRPr="00E241A1" w:rsidRDefault="00E241A1" w:rsidP="00530E0B">
            <w:pPr>
              <w:jc w:val="center"/>
              <w:rPr>
                <w:color w:val="00B050"/>
                <w:sz w:val="20"/>
                <w:szCs w:val="20"/>
              </w:rPr>
            </w:pPr>
            <w:r w:rsidRPr="00E241A1">
              <w:rPr>
                <w:color w:val="000000" w:themeColor="text1"/>
                <w:sz w:val="20"/>
                <w:szCs w:val="20"/>
              </w:rPr>
              <w:t xml:space="preserve">Discuss risks, benefits, alternative screening options, </w:t>
            </w:r>
            <w:r>
              <w:rPr>
                <w:sz w:val="20"/>
                <w:szCs w:val="20"/>
              </w:rPr>
              <w:t>diagnostic testing, and the option of no testing.</w:t>
            </w:r>
          </w:p>
        </w:tc>
        <w:tc>
          <w:tcPr>
            <w:tcW w:w="2160" w:type="dxa"/>
            <w:vAlign w:val="center"/>
          </w:tcPr>
          <w:p w:rsidR="00CB48CA" w:rsidRPr="00E241A1" w:rsidRDefault="00E241A1" w:rsidP="00530E0B">
            <w:pPr>
              <w:jc w:val="center"/>
              <w:rPr>
                <w:color w:val="00B050"/>
                <w:sz w:val="20"/>
                <w:szCs w:val="20"/>
              </w:rPr>
            </w:pPr>
            <w:r w:rsidRPr="00E241A1">
              <w:rPr>
                <w:color w:val="000000" w:themeColor="text1"/>
                <w:sz w:val="20"/>
                <w:szCs w:val="20"/>
              </w:rPr>
              <w:t xml:space="preserve">Discuss risks, benefits, alternative screening options, </w:t>
            </w:r>
            <w:r>
              <w:rPr>
                <w:sz w:val="20"/>
                <w:szCs w:val="20"/>
              </w:rPr>
              <w:t>diagnostic testing, and the option of no testing.</w:t>
            </w:r>
          </w:p>
        </w:tc>
      </w:tr>
      <w:tr w:rsidR="00530E0B" w:rsidTr="00A47F70">
        <w:tc>
          <w:tcPr>
            <w:tcW w:w="1638" w:type="dxa"/>
          </w:tcPr>
          <w:p w:rsidR="00530E0B" w:rsidRPr="00E65AFC" w:rsidRDefault="00530E0B" w:rsidP="00895741">
            <w:pPr>
              <w:rPr>
                <w:b/>
                <w:color w:val="000000" w:themeColor="text1"/>
                <w:sz w:val="22"/>
                <w:szCs w:val="22"/>
              </w:rPr>
            </w:pPr>
            <w:r w:rsidRPr="00E65AFC">
              <w:rPr>
                <w:b/>
                <w:color w:val="000000" w:themeColor="text1"/>
                <w:sz w:val="22"/>
                <w:szCs w:val="22"/>
              </w:rPr>
              <w:t>Abnormal Results F</w:t>
            </w:r>
            <w:r w:rsidR="00BD649C">
              <w:rPr>
                <w:b/>
                <w:color w:val="000000" w:themeColor="text1"/>
                <w:sz w:val="22"/>
                <w:szCs w:val="22"/>
              </w:rPr>
              <w:t>ollow-up</w:t>
            </w:r>
          </w:p>
        </w:tc>
        <w:tc>
          <w:tcPr>
            <w:tcW w:w="2160" w:type="dxa"/>
            <w:vAlign w:val="center"/>
          </w:tcPr>
          <w:p w:rsidR="00530E0B" w:rsidRPr="00E241A1" w:rsidRDefault="00BD649C" w:rsidP="00530E0B">
            <w:pPr>
              <w:jc w:val="center"/>
              <w:rPr>
                <w:color w:val="000000" w:themeColor="text1"/>
                <w:sz w:val="20"/>
                <w:szCs w:val="20"/>
              </w:rPr>
            </w:pPr>
            <w:r w:rsidRPr="00E241A1">
              <w:rPr>
                <w:color w:val="000000" w:themeColor="text1"/>
                <w:sz w:val="20"/>
                <w:szCs w:val="20"/>
              </w:rPr>
              <w:t>Offer diagnostic testing</w:t>
            </w:r>
            <w:r w:rsidR="00E241A1">
              <w:rPr>
                <w:color w:val="000000" w:themeColor="text1"/>
                <w:sz w:val="20"/>
                <w:szCs w:val="20"/>
              </w:rPr>
              <w:t xml:space="preserve"> and targeted ultrasound.</w:t>
            </w:r>
          </w:p>
          <w:p w:rsidR="00BD649C" w:rsidRPr="00E241A1" w:rsidRDefault="00BD649C" w:rsidP="00530E0B">
            <w:pPr>
              <w:jc w:val="center"/>
              <w:rPr>
                <w:color w:val="000000" w:themeColor="text1"/>
                <w:sz w:val="20"/>
                <w:szCs w:val="20"/>
              </w:rPr>
            </w:pPr>
            <w:r w:rsidRPr="00E241A1">
              <w:rPr>
                <w:color w:val="000000" w:themeColor="text1"/>
                <w:sz w:val="20"/>
                <w:szCs w:val="20"/>
              </w:rPr>
              <w:t>Offer genetic counseling</w:t>
            </w:r>
            <w:r w:rsidR="00E241A1">
              <w:rPr>
                <w:color w:val="000000" w:themeColor="text1"/>
                <w:sz w:val="20"/>
                <w:szCs w:val="20"/>
              </w:rPr>
              <w:t>.</w:t>
            </w:r>
          </w:p>
        </w:tc>
        <w:tc>
          <w:tcPr>
            <w:tcW w:w="2160" w:type="dxa"/>
            <w:vAlign w:val="center"/>
          </w:tcPr>
          <w:p w:rsidR="00E241A1" w:rsidRPr="00E241A1" w:rsidRDefault="00E241A1" w:rsidP="00E241A1">
            <w:pPr>
              <w:jc w:val="center"/>
              <w:rPr>
                <w:color w:val="000000" w:themeColor="text1"/>
                <w:sz w:val="20"/>
                <w:szCs w:val="20"/>
              </w:rPr>
            </w:pPr>
            <w:r w:rsidRPr="00E241A1">
              <w:rPr>
                <w:color w:val="000000" w:themeColor="text1"/>
                <w:sz w:val="20"/>
                <w:szCs w:val="20"/>
              </w:rPr>
              <w:t>Offer diagnostic testing</w:t>
            </w:r>
            <w:r>
              <w:rPr>
                <w:color w:val="000000" w:themeColor="text1"/>
                <w:sz w:val="20"/>
                <w:szCs w:val="20"/>
              </w:rPr>
              <w:t xml:space="preserve"> and targeted ultrasound.</w:t>
            </w:r>
          </w:p>
          <w:p w:rsidR="00530E0B" w:rsidRPr="00E241A1" w:rsidRDefault="00E241A1" w:rsidP="00E241A1">
            <w:pPr>
              <w:jc w:val="center"/>
              <w:rPr>
                <w:rFonts w:ascii="Webdings" w:hAnsi="Webdings"/>
                <w:color w:val="000000" w:themeColor="text1"/>
                <w:sz w:val="20"/>
                <w:szCs w:val="20"/>
              </w:rPr>
            </w:pPr>
            <w:r w:rsidRPr="00E241A1">
              <w:rPr>
                <w:color w:val="000000" w:themeColor="text1"/>
                <w:sz w:val="20"/>
                <w:szCs w:val="20"/>
              </w:rPr>
              <w:t>Offer genetic counseling</w:t>
            </w:r>
            <w:r>
              <w:rPr>
                <w:color w:val="000000" w:themeColor="text1"/>
                <w:sz w:val="20"/>
                <w:szCs w:val="20"/>
              </w:rPr>
              <w:t>.</w:t>
            </w:r>
          </w:p>
        </w:tc>
        <w:tc>
          <w:tcPr>
            <w:tcW w:w="2160" w:type="dxa"/>
            <w:vAlign w:val="center"/>
          </w:tcPr>
          <w:p w:rsidR="00E241A1" w:rsidRPr="00E241A1" w:rsidRDefault="00E241A1" w:rsidP="00E241A1">
            <w:pPr>
              <w:jc w:val="center"/>
              <w:rPr>
                <w:color w:val="000000" w:themeColor="text1"/>
                <w:sz w:val="20"/>
                <w:szCs w:val="20"/>
              </w:rPr>
            </w:pPr>
            <w:r w:rsidRPr="00E241A1">
              <w:rPr>
                <w:color w:val="000000" w:themeColor="text1"/>
                <w:sz w:val="20"/>
                <w:szCs w:val="20"/>
              </w:rPr>
              <w:t>Offer diagnostic testing</w:t>
            </w:r>
            <w:r>
              <w:rPr>
                <w:color w:val="000000" w:themeColor="text1"/>
                <w:sz w:val="20"/>
                <w:szCs w:val="20"/>
              </w:rPr>
              <w:t xml:space="preserve"> and targeted ultrasound.</w:t>
            </w:r>
          </w:p>
          <w:p w:rsidR="00530E0B" w:rsidRPr="00E241A1" w:rsidRDefault="00E241A1" w:rsidP="00E241A1">
            <w:pPr>
              <w:jc w:val="center"/>
              <w:rPr>
                <w:rFonts w:ascii="Webdings" w:hAnsi="Webdings"/>
                <w:color w:val="000000" w:themeColor="text1"/>
                <w:sz w:val="20"/>
                <w:szCs w:val="20"/>
              </w:rPr>
            </w:pPr>
            <w:r w:rsidRPr="00E241A1">
              <w:rPr>
                <w:color w:val="000000" w:themeColor="text1"/>
                <w:sz w:val="20"/>
                <w:szCs w:val="20"/>
              </w:rPr>
              <w:t>Offer genetic counseling</w:t>
            </w:r>
            <w:r>
              <w:rPr>
                <w:color w:val="000000" w:themeColor="text1"/>
                <w:sz w:val="20"/>
                <w:szCs w:val="20"/>
              </w:rPr>
              <w:t>.</w:t>
            </w:r>
          </w:p>
        </w:tc>
        <w:tc>
          <w:tcPr>
            <w:tcW w:w="2160" w:type="dxa"/>
            <w:vAlign w:val="center"/>
          </w:tcPr>
          <w:p w:rsidR="00E241A1" w:rsidRPr="00E241A1" w:rsidRDefault="00E241A1" w:rsidP="00E241A1">
            <w:pPr>
              <w:jc w:val="center"/>
              <w:rPr>
                <w:color w:val="000000" w:themeColor="text1"/>
                <w:sz w:val="20"/>
                <w:szCs w:val="20"/>
              </w:rPr>
            </w:pPr>
            <w:r w:rsidRPr="00E241A1">
              <w:rPr>
                <w:color w:val="000000" w:themeColor="text1"/>
                <w:sz w:val="20"/>
                <w:szCs w:val="20"/>
              </w:rPr>
              <w:t>Offer diagnostic testing</w:t>
            </w:r>
            <w:r>
              <w:rPr>
                <w:color w:val="000000" w:themeColor="text1"/>
                <w:sz w:val="20"/>
                <w:szCs w:val="20"/>
              </w:rPr>
              <w:t xml:space="preserve"> and targeted ultrasound.</w:t>
            </w:r>
          </w:p>
          <w:p w:rsidR="00530E0B" w:rsidRPr="00E241A1" w:rsidRDefault="00E241A1" w:rsidP="00E241A1">
            <w:pPr>
              <w:jc w:val="center"/>
              <w:rPr>
                <w:rFonts w:ascii="Webdings" w:hAnsi="Webdings"/>
                <w:color w:val="000000" w:themeColor="text1"/>
                <w:sz w:val="20"/>
                <w:szCs w:val="20"/>
              </w:rPr>
            </w:pPr>
            <w:r w:rsidRPr="00E241A1">
              <w:rPr>
                <w:color w:val="000000" w:themeColor="text1"/>
                <w:sz w:val="20"/>
                <w:szCs w:val="20"/>
              </w:rPr>
              <w:t>Offer genetic counseling</w:t>
            </w:r>
            <w:r>
              <w:rPr>
                <w:color w:val="000000" w:themeColor="text1"/>
                <w:sz w:val="20"/>
                <w:szCs w:val="20"/>
              </w:rPr>
              <w:t>.</w:t>
            </w:r>
          </w:p>
        </w:tc>
      </w:tr>
    </w:tbl>
    <w:p w:rsidR="00CB48CA" w:rsidRDefault="00CB48CA" w:rsidP="00895741">
      <w:pPr>
        <w:ind w:left="-360"/>
        <w:rPr>
          <w:b/>
          <w:color w:val="000000" w:themeColor="text1"/>
          <w:sz w:val="20"/>
          <w:szCs w:val="20"/>
        </w:rPr>
      </w:pPr>
    </w:p>
    <w:p w:rsidR="00CB48CA" w:rsidRDefault="00CB48CA" w:rsidP="00CB48CA">
      <w:pPr>
        <w:rPr>
          <w:b/>
          <w:color w:val="000000" w:themeColor="text1"/>
          <w:sz w:val="20"/>
          <w:szCs w:val="20"/>
        </w:rPr>
      </w:pPr>
      <w:r w:rsidRPr="00CB48CA">
        <w:rPr>
          <w:b/>
          <w:color w:val="000000" w:themeColor="text1"/>
          <w:sz w:val="20"/>
          <w:szCs w:val="20"/>
        </w:rPr>
        <w:t xml:space="preserve">*high-risk populations include those with the following indications: </w:t>
      </w:r>
    </w:p>
    <w:p w:rsidR="00CB48CA" w:rsidRPr="00CB48CA" w:rsidRDefault="00CB48CA" w:rsidP="00CB48CA">
      <w:pPr>
        <w:pStyle w:val="ListParagraph"/>
        <w:numPr>
          <w:ilvl w:val="0"/>
          <w:numId w:val="15"/>
        </w:numPr>
        <w:rPr>
          <w:color w:val="000000" w:themeColor="text1"/>
          <w:sz w:val="20"/>
          <w:szCs w:val="20"/>
        </w:rPr>
      </w:pPr>
      <w:r w:rsidRPr="00CB48CA">
        <w:rPr>
          <w:color w:val="000000" w:themeColor="text1"/>
          <w:sz w:val="20"/>
          <w:szCs w:val="20"/>
        </w:rPr>
        <w:t>Maternal age 35 years or older at delivery</w:t>
      </w:r>
    </w:p>
    <w:p w:rsidR="00CB48CA" w:rsidRPr="00D13A9C" w:rsidRDefault="00CB48CA" w:rsidP="00CB48CA">
      <w:pPr>
        <w:pStyle w:val="ListParagraph"/>
        <w:numPr>
          <w:ilvl w:val="1"/>
          <w:numId w:val="6"/>
        </w:numPr>
        <w:rPr>
          <w:color w:val="000000" w:themeColor="text1"/>
          <w:sz w:val="20"/>
          <w:szCs w:val="20"/>
        </w:rPr>
      </w:pPr>
      <w:r w:rsidRPr="00D13A9C">
        <w:rPr>
          <w:color w:val="000000" w:themeColor="text1"/>
          <w:sz w:val="20"/>
          <w:szCs w:val="20"/>
        </w:rPr>
        <w:t>Sonographic findings indicating an increased risk of aneuploidy</w:t>
      </w:r>
    </w:p>
    <w:p w:rsidR="00CB48CA" w:rsidRPr="00D13A9C" w:rsidRDefault="00CB48CA" w:rsidP="00CB48CA">
      <w:pPr>
        <w:pStyle w:val="ListParagraph"/>
        <w:numPr>
          <w:ilvl w:val="1"/>
          <w:numId w:val="6"/>
        </w:numPr>
        <w:rPr>
          <w:color w:val="000000" w:themeColor="text1"/>
          <w:sz w:val="20"/>
          <w:szCs w:val="20"/>
        </w:rPr>
      </w:pPr>
      <w:r w:rsidRPr="00D13A9C">
        <w:rPr>
          <w:color w:val="000000" w:themeColor="text1"/>
          <w:sz w:val="20"/>
          <w:szCs w:val="20"/>
        </w:rPr>
        <w:t>History of a prior pregnancy with a trisomy</w:t>
      </w:r>
      <w:r w:rsidR="00E241A1">
        <w:rPr>
          <w:color w:val="000000" w:themeColor="text1"/>
          <w:sz w:val="20"/>
          <w:szCs w:val="20"/>
        </w:rPr>
        <w:t xml:space="preserve"> (13, 18, or 21)</w:t>
      </w:r>
    </w:p>
    <w:p w:rsidR="00CB48CA" w:rsidRPr="00D13A9C" w:rsidRDefault="00E241A1" w:rsidP="00CB48CA">
      <w:pPr>
        <w:pStyle w:val="ListParagraph"/>
        <w:numPr>
          <w:ilvl w:val="1"/>
          <w:numId w:val="6"/>
        </w:numPr>
        <w:rPr>
          <w:color w:val="000000" w:themeColor="text1"/>
          <w:sz w:val="20"/>
          <w:szCs w:val="20"/>
        </w:rPr>
      </w:pPr>
      <w:r>
        <w:rPr>
          <w:color w:val="000000" w:themeColor="text1"/>
          <w:sz w:val="20"/>
          <w:szCs w:val="20"/>
        </w:rPr>
        <w:t>P</w:t>
      </w:r>
      <w:r w:rsidR="00CB48CA" w:rsidRPr="00D13A9C">
        <w:rPr>
          <w:color w:val="000000" w:themeColor="text1"/>
          <w:sz w:val="20"/>
          <w:szCs w:val="20"/>
        </w:rPr>
        <w:t>ositive screening results for aneuploidy (first trimester, sequential, integrated, or quad scree</w:t>
      </w:r>
      <w:r>
        <w:rPr>
          <w:color w:val="000000" w:themeColor="text1"/>
          <w:sz w:val="20"/>
          <w:szCs w:val="20"/>
        </w:rPr>
        <w:t>n</w:t>
      </w:r>
      <w:r w:rsidR="00CB48CA" w:rsidRPr="00D13A9C">
        <w:rPr>
          <w:color w:val="000000" w:themeColor="text1"/>
          <w:sz w:val="20"/>
          <w:szCs w:val="20"/>
        </w:rPr>
        <w:t>)</w:t>
      </w:r>
    </w:p>
    <w:p w:rsidR="00CB48CA" w:rsidRPr="00D13A9C" w:rsidRDefault="00CB48CA" w:rsidP="00CB48CA">
      <w:pPr>
        <w:pStyle w:val="ListParagraph"/>
        <w:numPr>
          <w:ilvl w:val="1"/>
          <w:numId w:val="6"/>
        </w:numPr>
        <w:rPr>
          <w:color w:val="000000" w:themeColor="text1"/>
          <w:sz w:val="20"/>
          <w:szCs w:val="20"/>
        </w:rPr>
      </w:pPr>
      <w:r w:rsidRPr="00D13A9C">
        <w:rPr>
          <w:color w:val="000000" w:themeColor="text1"/>
          <w:sz w:val="20"/>
          <w:szCs w:val="20"/>
        </w:rPr>
        <w:t xml:space="preserve">Parental balanced </w:t>
      </w:r>
      <w:proofErr w:type="spellStart"/>
      <w:r w:rsidRPr="00D13A9C">
        <w:rPr>
          <w:color w:val="000000" w:themeColor="text1"/>
          <w:sz w:val="20"/>
          <w:szCs w:val="20"/>
        </w:rPr>
        <w:t>Robertsonian</w:t>
      </w:r>
      <w:proofErr w:type="spellEnd"/>
      <w:r w:rsidRPr="00D13A9C">
        <w:rPr>
          <w:color w:val="000000" w:themeColor="text1"/>
          <w:sz w:val="20"/>
          <w:szCs w:val="20"/>
        </w:rPr>
        <w:t xml:space="preserve"> translocation </w:t>
      </w:r>
      <w:r w:rsidR="00E241A1">
        <w:rPr>
          <w:color w:val="000000" w:themeColor="text1"/>
          <w:sz w:val="20"/>
          <w:szCs w:val="20"/>
        </w:rPr>
        <w:t>(</w:t>
      </w:r>
      <w:r w:rsidR="00E23AC1">
        <w:rPr>
          <w:color w:val="000000" w:themeColor="text1"/>
          <w:sz w:val="20"/>
          <w:szCs w:val="20"/>
        </w:rPr>
        <w:t>involving chromosomes 13, 18, or 21)</w:t>
      </w:r>
    </w:p>
    <w:p w:rsidR="00CB48CA" w:rsidRDefault="00CB48CA" w:rsidP="00895741">
      <w:pPr>
        <w:ind w:left="-360"/>
        <w:rPr>
          <w:b/>
          <w:color w:val="000000" w:themeColor="text1"/>
          <w:sz w:val="20"/>
          <w:szCs w:val="20"/>
        </w:rPr>
      </w:pPr>
    </w:p>
    <w:p w:rsidR="00CB48CA" w:rsidRDefault="00CB48CA" w:rsidP="00895741">
      <w:pPr>
        <w:ind w:left="-360"/>
        <w:rPr>
          <w:b/>
          <w:color w:val="000000" w:themeColor="text1"/>
          <w:sz w:val="20"/>
          <w:szCs w:val="20"/>
        </w:rPr>
      </w:pPr>
    </w:p>
    <w:p w:rsidR="00CB48CA" w:rsidRDefault="00CB48CA" w:rsidP="00895741">
      <w:pPr>
        <w:ind w:left="-360"/>
        <w:rPr>
          <w:b/>
          <w:color w:val="000000" w:themeColor="text1"/>
          <w:sz w:val="20"/>
          <w:szCs w:val="20"/>
        </w:rPr>
      </w:pPr>
    </w:p>
    <w:p w:rsidR="00CB48CA" w:rsidRDefault="00CB48CA" w:rsidP="00895741">
      <w:pPr>
        <w:ind w:left="-360"/>
        <w:rPr>
          <w:b/>
          <w:color w:val="000000" w:themeColor="text1"/>
          <w:sz w:val="20"/>
          <w:szCs w:val="20"/>
        </w:rPr>
      </w:pPr>
    </w:p>
    <w:p w:rsidR="00CB48CA" w:rsidRDefault="00CB48CA" w:rsidP="00895741">
      <w:pPr>
        <w:ind w:left="-360"/>
        <w:rPr>
          <w:b/>
          <w:color w:val="000000" w:themeColor="text1"/>
          <w:sz w:val="20"/>
          <w:szCs w:val="20"/>
        </w:rPr>
      </w:pPr>
    </w:p>
    <w:p w:rsidR="00CB48CA" w:rsidRDefault="00CB48CA" w:rsidP="00895741">
      <w:pPr>
        <w:ind w:left="-360"/>
        <w:rPr>
          <w:b/>
          <w:color w:val="000000" w:themeColor="text1"/>
          <w:sz w:val="20"/>
          <w:szCs w:val="20"/>
        </w:rPr>
      </w:pPr>
    </w:p>
    <w:p w:rsidR="00E241A1" w:rsidRDefault="00E241A1" w:rsidP="00895741">
      <w:pPr>
        <w:ind w:left="-360"/>
        <w:rPr>
          <w:b/>
          <w:color w:val="000000" w:themeColor="text1"/>
          <w:sz w:val="20"/>
          <w:szCs w:val="20"/>
        </w:rPr>
      </w:pPr>
    </w:p>
    <w:p w:rsidR="00CB48CA" w:rsidRDefault="00CB48CA" w:rsidP="00895741">
      <w:pPr>
        <w:ind w:left="-360"/>
        <w:rPr>
          <w:b/>
          <w:color w:val="000000" w:themeColor="text1"/>
          <w:sz w:val="20"/>
          <w:szCs w:val="20"/>
        </w:rPr>
      </w:pPr>
    </w:p>
    <w:p w:rsidR="00294A21" w:rsidRDefault="00294A21" w:rsidP="00895741">
      <w:pPr>
        <w:ind w:left="-360"/>
        <w:rPr>
          <w:b/>
          <w:color w:val="000000" w:themeColor="text1"/>
          <w:sz w:val="20"/>
          <w:szCs w:val="20"/>
        </w:rPr>
      </w:pPr>
    </w:p>
    <w:p w:rsidR="00CB48CA" w:rsidRDefault="00CB48CA" w:rsidP="00895741">
      <w:pPr>
        <w:ind w:left="-360"/>
        <w:rPr>
          <w:b/>
          <w:color w:val="000000" w:themeColor="text1"/>
          <w:sz w:val="20"/>
          <w:szCs w:val="20"/>
        </w:rPr>
      </w:pPr>
    </w:p>
    <w:p w:rsidR="00E32300" w:rsidRDefault="00E32300" w:rsidP="00895741">
      <w:pPr>
        <w:ind w:left="-360"/>
        <w:rPr>
          <w:b/>
          <w:color w:val="000000" w:themeColor="text1"/>
          <w:sz w:val="20"/>
          <w:szCs w:val="20"/>
        </w:rPr>
      </w:pPr>
    </w:p>
    <w:p w:rsidR="001B7E60" w:rsidRDefault="001B7E60" w:rsidP="0024181F">
      <w:pPr>
        <w:rPr>
          <w:sz w:val="28"/>
          <w:szCs w:val="28"/>
        </w:rPr>
      </w:pPr>
    </w:p>
    <w:sectPr w:rsidR="001B7E60" w:rsidSect="000A766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0C4" w:rsidRDefault="005540C4" w:rsidP="008E574C">
      <w:r>
        <w:separator/>
      </w:r>
    </w:p>
  </w:endnote>
  <w:endnote w:type="continuationSeparator" w:id="0">
    <w:p w:rsidR="005540C4" w:rsidRDefault="005540C4" w:rsidP="008E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E2" w:rsidRPr="00A76CE2" w:rsidRDefault="00A76CE2" w:rsidP="00A76CE2">
    <w:pPr>
      <w:pStyle w:val="Footer"/>
      <w:rPr>
        <w:sz w:val="12"/>
        <w:szCs w:val="12"/>
      </w:rPr>
    </w:pPr>
    <w:r w:rsidRPr="00A76CE2">
      <w:rPr>
        <w:sz w:val="12"/>
        <w:szCs w:val="12"/>
      </w:rPr>
      <w:t xml:space="preserve">SHMG Maternal Fetal Medicine has developed these guidelines as a reference tool to assist referring physicians. Obstetric medical needs are complex and these guidelines may not apply in every case. SHMG Maternal Fetal Medicine relies on referring providers to exercise their own professional medical judgment with regard to the appropriate treatment and management of their patients. Referring providers are solely responsible for confirming the accuracy, timelines, completeness, appropriateness and helpfulness of this material in making all medical, diagnostic, or prescription decisions. </w:t>
    </w:r>
  </w:p>
  <w:p w:rsidR="00A76CE2" w:rsidRPr="00A76CE2" w:rsidRDefault="00A76CE2" w:rsidP="00A76CE2">
    <w:pPr>
      <w:pStyle w:val="Footer"/>
      <w:rPr>
        <w:sz w:val="12"/>
        <w:szCs w:val="12"/>
      </w:rPr>
    </w:pPr>
  </w:p>
  <w:p w:rsidR="00A76CE2" w:rsidRPr="00A76CE2" w:rsidRDefault="00A76CE2" w:rsidP="00A76CE2">
    <w:pPr>
      <w:pStyle w:val="Footer"/>
      <w:rPr>
        <w:sz w:val="12"/>
        <w:szCs w:val="12"/>
      </w:rPr>
    </w:pPr>
  </w:p>
  <w:p w:rsidR="00A76CE2" w:rsidRPr="00A76CE2" w:rsidRDefault="00A76CE2" w:rsidP="00A76CE2">
    <w:pPr>
      <w:pStyle w:val="Footer"/>
      <w:rPr>
        <w:sz w:val="12"/>
        <w:szCs w:val="12"/>
      </w:rPr>
    </w:pPr>
    <w:r>
      <w:rPr>
        <w:sz w:val="12"/>
        <w:szCs w:val="12"/>
      </w:rPr>
      <w:t>Non-Invasive Prenatal Screening Guidelines</w:t>
    </w:r>
    <w:r w:rsidRPr="00A76CE2">
      <w:rPr>
        <w:sz w:val="12"/>
        <w:szCs w:val="12"/>
      </w:rPr>
      <w:t xml:space="preserve"> | Updated </w:t>
    </w:r>
    <w:r>
      <w:rPr>
        <w:sz w:val="12"/>
        <w:szCs w:val="12"/>
      </w:rPr>
      <w:t>8/2017</w:t>
    </w:r>
    <w:r w:rsidRPr="00A76CE2">
      <w:rPr>
        <w:sz w:val="12"/>
        <w:szCs w:val="12"/>
      </w:rPr>
      <w:t xml:space="preserve">| pg. </w:t>
    </w:r>
    <w:r w:rsidRPr="00A76CE2">
      <w:rPr>
        <w:sz w:val="12"/>
        <w:szCs w:val="12"/>
      </w:rPr>
      <w:fldChar w:fldCharType="begin"/>
    </w:r>
    <w:r w:rsidRPr="00A76CE2">
      <w:rPr>
        <w:sz w:val="12"/>
        <w:szCs w:val="12"/>
      </w:rPr>
      <w:instrText xml:space="preserve"> PAGE    \* MERGEFORMAT </w:instrText>
    </w:r>
    <w:r w:rsidRPr="00A76CE2">
      <w:rPr>
        <w:sz w:val="12"/>
        <w:szCs w:val="12"/>
      </w:rPr>
      <w:fldChar w:fldCharType="separate"/>
    </w:r>
    <w:r>
      <w:rPr>
        <w:noProof/>
        <w:sz w:val="12"/>
        <w:szCs w:val="12"/>
      </w:rPr>
      <w:t>1</w:t>
    </w:r>
    <w:r w:rsidRPr="00A76CE2">
      <w:rPr>
        <w:sz w:val="12"/>
        <w:szCs w:val="12"/>
      </w:rPr>
      <w:fldChar w:fldCharType="end"/>
    </w:r>
    <w:r w:rsidRPr="00A76CE2">
      <w:rPr>
        <w:sz w:val="12"/>
        <w:szCs w:val="12"/>
      </w:rPr>
      <w:tab/>
    </w:r>
    <w:r>
      <w:rPr>
        <w:sz w:val="12"/>
        <w:szCs w:val="12"/>
      </w:rPr>
      <w:tab/>
    </w:r>
    <w:r w:rsidRPr="00A76CE2">
      <w:rPr>
        <w:rStyle w:val="PageNumber"/>
        <w:sz w:val="12"/>
        <w:szCs w:val="12"/>
      </w:rPr>
      <w:t>www.spectrumhealth.org/MFM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0C4" w:rsidRDefault="005540C4" w:rsidP="008E574C">
      <w:r>
        <w:separator/>
      </w:r>
    </w:p>
  </w:footnote>
  <w:footnote w:type="continuationSeparator" w:id="0">
    <w:p w:rsidR="005540C4" w:rsidRDefault="005540C4" w:rsidP="008E57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22CF"/>
    <w:multiLevelType w:val="hybridMultilevel"/>
    <w:tmpl w:val="541E8E7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13055089"/>
    <w:multiLevelType w:val="hybridMultilevel"/>
    <w:tmpl w:val="FEB046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3C0391"/>
    <w:multiLevelType w:val="hybridMultilevel"/>
    <w:tmpl w:val="EFE25F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1F2B43"/>
    <w:multiLevelType w:val="hybridMultilevel"/>
    <w:tmpl w:val="49E2D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0E6F4B"/>
    <w:multiLevelType w:val="hybridMultilevel"/>
    <w:tmpl w:val="CE320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A2E46FC"/>
    <w:multiLevelType w:val="hybridMultilevel"/>
    <w:tmpl w:val="0502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0B5F31"/>
    <w:multiLevelType w:val="hybridMultilevel"/>
    <w:tmpl w:val="31B0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CD61DE"/>
    <w:multiLevelType w:val="hybridMultilevel"/>
    <w:tmpl w:val="8B581F9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508C43AC"/>
    <w:multiLevelType w:val="hybridMultilevel"/>
    <w:tmpl w:val="A4EE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F62313"/>
    <w:multiLevelType w:val="hybridMultilevel"/>
    <w:tmpl w:val="7A300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120535A"/>
    <w:multiLevelType w:val="hybridMultilevel"/>
    <w:tmpl w:val="C0E24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1A304FF"/>
    <w:multiLevelType w:val="hybridMultilevel"/>
    <w:tmpl w:val="8EB675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3C12E4A"/>
    <w:multiLevelType w:val="hybridMultilevel"/>
    <w:tmpl w:val="B43CDEFC"/>
    <w:lvl w:ilvl="0" w:tplc="F5DA52DA">
      <w:start w:val="1"/>
      <w:numFmt w:val="decimal"/>
      <w:lvlText w:val="%1."/>
      <w:lvlJc w:val="left"/>
      <w:pPr>
        <w:ind w:left="-360" w:hanging="360"/>
      </w:pPr>
      <w:rPr>
        <w:rFonts w:hint="default"/>
        <w:b w: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66BA3CD5"/>
    <w:multiLevelType w:val="hybridMultilevel"/>
    <w:tmpl w:val="ECFE5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7A75F6"/>
    <w:multiLevelType w:val="hybridMultilevel"/>
    <w:tmpl w:val="CE0C4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3AC55CC"/>
    <w:multiLevelType w:val="hybridMultilevel"/>
    <w:tmpl w:val="7996F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5"/>
  </w:num>
  <w:num w:numId="3">
    <w:abstractNumId w:val="3"/>
  </w:num>
  <w:num w:numId="4">
    <w:abstractNumId w:val="6"/>
  </w:num>
  <w:num w:numId="5">
    <w:abstractNumId w:val="10"/>
  </w:num>
  <w:num w:numId="6">
    <w:abstractNumId w:val="11"/>
  </w:num>
  <w:num w:numId="7">
    <w:abstractNumId w:val="8"/>
  </w:num>
  <w:num w:numId="8">
    <w:abstractNumId w:val="13"/>
  </w:num>
  <w:num w:numId="9">
    <w:abstractNumId w:val="12"/>
  </w:num>
  <w:num w:numId="10">
    <w:abstractNumId w:val="0"/>
  </w:num>
  <w:num w:numId="11">
    <w:abstractNumId w:val="7"/>
  </w:num>
  <w:num w:numId="12">
    <w:abstractNumId w:val="5"/>
  </w:num>
  <w:num w:numId="13">
    <w:abstractNumId w:val="14"/>
  </w:num>
  <w:num w:numId="14">
    <w:abstractNumId w:val="9"/>
  </w:num>
  <w:num w:numId="15">
    <w:abstractNumId w:val="1"/>
  </w:num>
  <w:num w:numId="1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18B"/>
    <w:rsid w:val="0001012F"/>
    <w:rsid w:val="00011DB3"/>
    <w:rsid w:val="00013C08"/>
    <w:rsid w:val="000265F3"/>
    <w:rsid w:val="00035FBD"/>
    <w:rsid w:val="0003636A"/>
    <w:rsid w:val="00055B68"/>
    <w:rsid w:val="000659C9"/>
    <w:rsid w:val="00071779"/>
    <w:rsid w:val="0007229D"/>
    <w:rsid w:val="000A0CD4"/>
    <w:rsid w:val="000A766B"/>
    <w:rsid w:val="000B016F"/>
    <w:rsid w:val="000B391D"/>
    <w:rsid w:val="000B55F7"/>
    <w:rsid w:val="000B6708"/>
    <w:rsid w:val="000E015F"/>
    <w:rsid w:val="00104B8E"/>
    <w:rsid w:val="00117FF2"/>
    <w:rsid w:val="00125581"/>
    <w:rsid w:val="001259BF"/>
    <w:rsid w:val="001268E1"/>
    <w:rsid w:val="00130BD9"/>
    <w:rsid w:val="001329B0"/>
    <w:rsid w:val="00132F55"/>
    <w:rsid w:val="00140F75"/>
    <w:rsid w:val="001470A4"/>
    <w:rsid w:val="0015675B"/>
    <w:rsid w:val="00157F3E"/>
    <w:rsid w:val="001634B8"/>
    <w:rsid w:val="00164E80"/>
    <w:rsid w:val="0017153F"/>
    <w:rsid w:val="00174ABE"/>
    <w:rsid w:val="00192A66"/>
    <w:rsid w:val="00193C81"/>
    <w:rsid w:val="00197C00"/>
    <w:rsid w:val="001A7EF2"/>
    <w:rsid w:val="001B4D63"/>
    <w:rsid w:val="001B7E60"/>
    <w:rsid w:val="001C7430"/>
    <w:rsid w:val="001E074E"/>
    <w:rsid w:val="001E0863"/>
    <w:rsid w:val="001F76E0"/>
    <w:rsid w:val="00202166"/>
    <w:rsid w:val="002028AC"/>
    <w:rsid w:val="00214057"/>
    <w:rsid w:val="00220A0C"/>
    <w:rsid w:val="00225322"/>
    <w:rsid w:val="002274F3"/>
    <w:rsid w:val="0023555F"/>
    <w:rsid w:val="0024181F"/>
    <w:rsid w:val="002435EB"/>
    <w:rsid w:val="00245991"/>
    <w:rsid w:val="00245BC5"/>
    <w:rsid w:val="00246C44"/>
    <w:rsid w:val="0025473B"/>
    <w:rsid w:val="0028123B"/>
    <w:rsid w:val="00285D57"/>
    <w:rsid w:val="002865F5"/>
    <w:rsid w:val="00294A21"/>
    <w:rsid w:val="002972CA"/>
    <w:rsid w:val="002A0C48"/>
    <w:rsid w:val="002A5A2E"/>
    <w:rsid w:val="002B4751"/>
    <w:rsid w:val="002B5C6A"/>
    <w:rsid w:val="002E41F8"/>
    <w:rsid w:val="002F3E0C"/>
    <w:rsid w:val="002F6C6C"/>
    <w:rsid w:val="00302915"/>
    <w:rsid w:val="0030426D"/>
    <w:rsid w:val="00306664"/>
    <w:rsid w:val="00312392"/>
    <w:rsid w:val="00313253"/>
    <w:rsid w:val="00315078"/>
    <w:rsid w:val="0031547D"/>
    <w:rsid w:val="0032674E"/>
    <w:rsid w:val="00326D6E"/>
    <w:rsid w:val="00327A2A"/>
    <w:rsid w:val="00331BE4"/>
    <w:rsid w:val="003346DD"/>
    <w:rsid w:val="00335C77"/>
    <w:rsid w:val="00344628"/>
    <w:rsid w:val="00356E48"/>
    <w:rsid w:val="00357020"/>
    <w:rsid w:val="0036346D"/>
    <w:rsid w:val="00366359"/>
    <w:rsid w:val="00370D82"/>
    <w:rsid w:val="003857B7"/>
    <w:rsid w:val="0039245A"/>
    <w:rsid w:val="00392C61"/>
    <w:rsid w:val="00394B23"/>
    <w:rsid w:val="00395554"/>
    <w:rsid w:val="003A3405"/>
    <w:rsid w:val="003B0623"/>
    <w:rsid w:val="003B34FF"/>
    <w:rsid w:val="003B3EA9"/>
    <w:rsid w:val="003B568A"/>
    <w:rsid w:val="003C17D2"/>
    <w:rsid w:val="003D2809"/>
    <w:rsid w:val="003E6CAA"/>
    <w:rsid w:val="003F48AB"/>
    <w:rsid w:val="003F5C17"/>
    <w:rsid w:val="0042136F"/>
    <w:rsid w:val="0042198C"/>
    <w:rsid w:val="004319B6"/>
    <w:rsid w:val="00436EE7"/>
    <w:rsid w:val="0044156C"/>
    <w:rsid w:val="00444AFF"/>
    <w:rsid w:val="00450C13"/>
    <w:rsid w:val="00454322"/>
    <w:rsid w:val="0045457A"/>
    <w:rsid w:val="00455D61"/>
    <w:rsid w:val="00457805"/>
    <w:rsid w:val="0047745D"/>
    <w:rsid w:val="004955D8"/>
    <w:rsid w:val="0049761B"/>
    <w:rsid w:val="004A1B06"/>
    <w:rsid w:val="004A2938"/>
    <w:rsid w:val="004B2878"/>
    <w:rsid w:val="004B4B20"/>
    <w:rsid w:val="004C4A4D"/>
    <w:rsid w:val="004C529D"/>
    <w:rsid w:val="004D0881"/>
    <w:rsid w:val="004D178B"/>
    <w:rsid w:val="004D49DF"/>
    <w:rsid w:val="004F52D1"/>
    <w:rsid w:val="00502371"/>
    <w:rsid w:val="00507293"/>
    <w:rsid w:val="00507859"/>
    <w:rsid w:val="005168C0"/>
    <w:rsid w:val="005268D4"/>
    <w:rsid w:val="00530E0B"/>
    <w:rsid w:val="005316C5"/>
    <w:rsid w:val="00534ED9"/>
    <w:rsid w:val="00537A51"/>
    <w:rsid w:val="00545456"/>
    <w:rsid w:val="005540C4"/>
    <w:rsid w:val="005642F2"/>
    <w:rsid w:val="00570FDB"/>
    <w:rsid w:val="00572C91"/>
    <w:rsid w:val="00585EE5"/>
    <w:rsid w:val="00594FD3"/>
    <w:rsid w:val="005A4FFF"/>
    <w:rsid w:val="005B6895"/>
    <w:rsid w:val="005C0BF3"/>
    <w:rsid w:val="005D1B4D"/>
    <w:rsid w:val="005D5AEC"/>
    <w:rsid w:val="005E409D"/>
    <w:rsid w:val="005F4AAB"/>
    <w:rsid w:val="00600C5D"/>
    <w:rsid w:val="00600DD1"/>
    <w:rsid w:val="0060115E"/>
    <w:rsid w:val="00610DFB"/>
    <w:rsid w:val="00621782"/>
    <w:rsid w:val="00627FE2"/>
    <w:rsid w:val="00631211"/>
    <w:rsid w:val="00631725"/>
    <w:rsid w:val="0063618B"/>
    <w:rsid w:val="006434F1"/>
    <w:rsid w:val="00652950"/>
    <w:rsid w:val="00652B2F"/>
    <w:rsid w:val="00655335"/>
    <w:rsid w:val="006660CE"/>
    <w:rsid w:val="00666AF0"/>
    <w:rsid w:val="0068592B"/>
    <w:rsid w:val="006926EF"/>
    <w:rsid w:val="00692A8F"/>
    <w:rsid w:val="006C4746"/>
    <w:rsid w:val="006E0DED"/>
    <w:rsid w:val="006F1B2A"/>
    <w:rsid w:val="00706337"/>
    <w:rsid w:val="00711BBA"/>
    <w:rsid w:val="00720EE1"/>
    <w:rsid w:val="007244EA"/>
    <w:rsid w:val="0073174A"/>
    <w:rsid w:val="00736CF1"/>
    <w:rsid w:val="00742F37"/>
    <w:rsid w:val="00751A2A"/>
    <w:rsid w:val="0075705D"/>
    <w:rsid w:val="00767183"/>
    <w:rsid w:val="0077687C"/>
    <w:rsid w:val="00776CD9"/>
    <w:rsid w:val="00784C2F"/>
    <w:rsid w:val="007872CE"/>
    <w:rsid w:val="0079210A"/>
    <w:rsid w:val="007A30DB"/>
    <w:rsid w:val="007B3C01"/>
    <w:rsid w:val="007B4DD8"/>
    <w:rsid w:val="007B6E8E"/>
    <w:rsid w:val="007C19F2"/>
    <w:rsid w:val="007C4E0A"/>
    <w:rsid w:val="007C7CEA"/>
    <w:rsid w:val="007E5A41"/>
    <w:rsid w:val="007F5C07"/>
    <w:rsid w:val="007F7E64"/>
    <w:rsid w:val="00800219"/>
    <w:rsid w:val="0082070A"/>
    <w:rsid w:val="00820D2D"/>
    <w:rsid w:val="00822922"/>
    <w:rsid w:val="00825720"/>
    <w:rsid w:val="008306FD"/>
    <w:rsid w:val="008535A3"/>
    <w:rsid w:val="00860A26"/>
    <w:rsid w:val="0086273A"/>
    <w:rsid w:val="008648A6"/>
    <w:rsid w:val="00874BD5"/>
    <w:rsid w:val="00886BB2"/>
    <w:rsid w:val="00895741"/>
    <w:rsid w:val="008B139C"/>
    <w:rsid w:val="008B24BA"/>
    <w:rsid w:val="008B3C26"/>
    <w:rsid w:val="008C4D93"/>
    <w:rsid w:val="008D2130"/>
    <w:rsid w:val="008D2BD8"/>
    <w:rsid w:val="008D617F"/>
    <w:rsid w:val="008E0347"/>
    <w:rsid w:val="008E1066"/>
    <w:rsid w:val="008E3EAC"/>
    <w:rsid w:val="008E574C"/>
    <w:rsid w:val="008F30FE"/>
    <w:rsid w:val="008F749D"/>
    <w:rsid w:val="00907E76"/>
    <w:rsid w:val="00910464"/>
    <w:rsid w:val="0091508F"/>
    <w:rsid w:val="00915E0F"/>
    <w:rsid w:val="00920616"/>
    <w:rsid w:val="0095259F"/>
    <w:rsid w:val="0097577A"/>
    <w:rsid w:val="00976321"/>
    <w:rsid w:val="00990A08"/>
    <w:rsid w:val="00992329"/>
    <w:rsid w:val="009A3E1D"/>
    <w:rsid w:val="009C78D5"/>
    <w:rsid w:val="009F29B2"/>
    <w:rsid w:val="00A05D71"/>
    <w:rsid w:val="00A07C4F"/>
    <w:rsid w:val="00A2103F"/>
    <w:rsid w:val="00A216AA"/>
    <w:rsid w:val="00A239FA"/>
    <w:rsid w:val="00A305F2"/>
    <w:rsid w:val="00A30F80"/>
    <w:rsid w:val="00A3308A"/>
    <w:rsid w:val="00A452C3"/>
    <w:rsid w:val="00A47F70"/>
    <w:rsid w:val="00A57A05"/>
    <w:rsid w:val="00A705E0"/>
    <w:rsid w:val="00A76CE2"/>
    <w:rsid w:val="00A777AE"/>
    <w:rsid w:val="00A97962"/>
    <w:rsid w:val="00AA2E48"/>
    <w:rsid w:val="00AA5BCC"/>
    <w:rsid w:val="00AB305C"/>
    <w:rsid w:val="00AB4C60"/>
    <w:rsid w:val="00AC5395"/>
    <w:rsid w:val="00AC7066"/>
    <w:rsid w:val="00AD25B0"/>
    <w:rsid w:val="00AE0032"/>
    <w:rsid w:val="00AF1675"/>
    <w:rsid w:val="00B05190"/>
    <w:rsid w:val="00B0542E"/>
    <w:rsid w:val="00B0594C"/>
    <w:rsid w:val="00B06B7E"/>
    <w:rsid w:val="00B07896"/>
    <w:rsid w:val="00B123B4"/>
    <w:rsid w:val="00B22883"/>
    <w:rsid w:val="00B24AF3"/>
    <w:rsid w:val="00B313A3"/>
    <w:rsid w:val="00B430B2"/>
    <w:rsid w:val="00B43A68"/>
    <w:rsid w:val="00B45D3D"/>
    <w:rsid w:val="00B45E2C"/>
    <w:rsid w:val="00B576BD"/>
    <w:rsid w:val="00B76A4E"/>
    <w:rsid w:val="00B808C8"/>
    <w:rsid w:val="00B921AB"/>
    <w:rsid w:val="00B934ED"/>
    <w:rsid w:val="00B97855"/>
    <w:rsid w:val="00B97B0F"/>
    <w:rsid w:val="00BA3EB8"/>
    <w:rsid w:val="00BA3F1C"/>
    <w:rsid w:val="00BA6F55"/>
    <w:rsid w:val="00BB0380"/>
    <w:rsid w:val="00BB2E85"/>
    <w:rsid w:val="00BB760A"/>
    <w:rsid w:val="00BC0049"/>
    <w:rsid w:val="00BD5F1F"/>
    <w:rsid w:val="00BD649C"/>
    <w:rsid w:val="00BE23E5"/>
    <w:rsid w:val="00BE4302"/>
    <w:rsid w:val="00BE4D3D"/>
    <w:rsid w:val="00BE4D54"/>
    <w:rsid w:val="00BE7056"/>
    <w:rsid w:val="00BE7403"/>
    <w:rsid w:val="00BF2810"/>
    <w:rsid w:val="00BF76BC"/>
    <w:rsid w:val="00C01CFE"/>
    <w:rsid w:val="00C110D8"/>
    <w:rsid w:val="00C32DFF"/>
    <w:rsid w:val="00C423BD"/>
    <w:rsid w:val="00C5185A"/>
    <w:rsid w:val="00C56B7A"/>
    <w:rsid w:val="00C64910"/>
    <w:rsid w:val="00C71B46"/>
    <w:rsid w:val="00C76ED3"/>
    <w:rsid w:val="00C90761"/>
    <w:rsid w:val="00C963FF"/>
    <w:rsid w:val="00C97134"/>
    <w:rsid w:val="00C973C2"/>
    <w:rsid w:val="00CA3FEF"/>
    <w:rsid w:val="00CB1306"/>
    <w:rsid w:val="00CB48CA"/>
    <w:rsid w:val="00CC3DC1"/>
    <w:rsid w:val="00CD44C5"/>
    <w:rsid w:val="00D06161"/>
    <w:rsid w:val="00D06E20"/>
    <w:rsid w:val="00D07704"/>
    <w:rsid w:val="00D13A9C"/>
    <w:rsid w:val="00D16E9F"/>
    <w:rsid w:val="00D21F44"/>
    <w:rsid w:val="00D3727E"/>
    <w:rsid w:val="00D4715D"/>
    <w:rsid w:val="00D93639"/>
    <w:rsid w:val="00DB2AAE"/>
    <w:rsid w:val="00DC2395"/>
    <w:rsid w:val="00DD76BF"/>
    <w:rsid w:val="00DE40FC"/>
    <w:rsid w:val="00DE4D56"/>
    <w:rsid w:val="00DF1D9E"/>
    <w:rsid w:val="00DF2387"/>
    <w:rsid w:val="00DF29A1"/>
    <w:rsid w:val="00E071CD"/>
    <w:rsid w:val="00E07655"/>
    <w:rsid w:val="00E23AC1"/>
    <w:rsid w:val="00E241A1"/>
    <w:rsid w:val="00E32300"/>
    <w:rsid w:val="00E35597"/>
    <w:rsid w:val="00E36CF7"/>
    <w:rsid w:val="00E4041C"/>
    <w:rsid w:val="00E4217D"/>
    <w:rsid w:val="00E47601"/>
    <w:rsid w:val="00E60E42"/>
    <w:rsid w:val="00E63E11"/>
    <w:rsid w:val="00E64ADA"/>
    <w:rsid w:val="00E65AFC"/>
    <w:rsid w:val="00E76C01"/>
    <w:rsid w:val="00E80DBB"/>
    <w:rsid w:val="00E8193E"/>
    <w:rsid w:val="00E81D3C"/>
    <w:rsid w:val="00E86A2E"/>
    <w:rsid w:val="00E934A6"/>
    <w:rsid w:val="00E93AEC"/>
    <w:rsid w:val="00EA260D"/>
    <w:rsid w:val="00EB0183"/>
    <w:rsid w:val="00EC5D27"/>
    <w:rsid w:val="00EC610E"/>
    <w:rsid w:val="00ED2DC8"/>
    <w:rsid w:val="00ED6518"/>
    <w:rsid w:val="00F03D1F"/>
    <w:rsid w:val="00F14143"/>
    <w:rsid w:val="00F410A2"/>
    <w:rsid w:val="00F430DC"/>
    <w:rsid w:val="00F462F6"/>
    <w:rsid w:val="00F567FA"/>
    <w:rsid w:val="00F67107"/>
    <w:rsid w:val="00F679DD"/>
    <w:rsid w:val="00FA4469"/>
    <w:rsid w:val="00FB7645"/>
    <w:rsid w:val="00FC5D6B"/>
    <w:rsid w:val="00FC6D40"/>
    <w:rsid w:val="00FC6E90"/>
    <w:rsid w:val="00FD1EEE"/>
    <w:rsid w:val="00FD7064"/>
    <w:rsid w:val="00FD7B3C"/>
    <w:rsid w:val="00FF131A"/>
    <w:rsid w:val="00FF2BE2"/>
    <w:rsid w:val="00FF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1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618B"/>
    <w:rPr>
      <w:color w:val="0000FF"/>
      <w:u w:val="single"/>
    </w:rPr>
  </w:style>
  <w:style w:type="paragraph" w:styleId="ListParagraph">
    <w:name w:val="List Paragraph"/>
    <w:basedOn w:val="Normal"/>
    <w:uiPriority w:val="34"/>
    <w:qFormat/>
    <w:rsid w:val="00CC3DC1"/>
    <w:pPr>
      <w:ind w:left="720"/>
      <w:contextualSpacing/>
    </w:pPr>
  </w:style>
  <w:style w:type="paragraph" w:styleId="BalloonText">
    <w:name w:val="Balloon Text"/>
    <w:basedOn w:val="Normal"/>
    <w:link w:val="BalloonTextChar"/>
    <w:uiPriority w:val="99"/>
    <w:semiHidden/>
    <w:unhideWhenUsed/>
    <w:rsid w:val="00F462F6"/>
    <w:rPr>
      <w:rFonts w:ascii="Tahoma" w:hAnsi="Tahoma" w:cs="Tahoma"/>
      <w:sz w:val="16"/>
      <w:szCs w:val="16"/>
    </w:rPr>
  </w:style>
  <w:style w:type="character" w:customStyle="1" w:styleId="BalloonTextChar">
    <w:name w:val="Balloon Text Char"/>
    <w:basedOn w:val="DefaultParagraphFont"/>
    <w:link w:val="BalloonText"/>
    <w:uiPriority w:val="99"/>
    <w:semiHidden/>
    <w:rsid w:val="00F462F6"/>
    <w:rPr>
      <w:rFonts w:ascii="Tahoma" w:eastAsia="Times New Roman" w:hAnsi="Tahoma" w:cs="Tahoma"/>
      <w:sz w:val="16"/>
      <w:szCs w:val="16"/>
    </w:rPr>
  </w:style>
  <w:style w:type="table" w:styleId="TableGrid">
    <w:name w:val="Table Grid"/>
    <w:basedOn w:val="TableNormal"/>
    <w:uiPriority w:val="59"/>
    <w:rsid w:val="00F46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17D2"/>
    <w:rPr>
      <w:sz w:val="16"/>
      <w:szCs w:val="16"/>
    </w:rPr>
  </w:style>
  <w:style w:type="paragraph" w:styleId="CommentText">
    <w:name w:val="annotation text"/>
    <w:basedOn w:val="Normal"/>
    <w:link w:val="CommentTextChar"/>
    <w:uiPriority w:val="99"/>
    <w:semiHidden/>
    <w:unhideWhenUsed/>
    <w:rsid w:val="003C17D2"/>
    <w:rPr>
      <w:sz w:val="20"/>
      <w:szCs w:val="20"/>
    </w:rPr>
  </w:style>
  <w:style w:type="character" w:customStyle="1" w:styleId="CommentTextChar">
    <w:name w:val="Comment Text Char"/>
    <w:basedOn w:val="DefaultParagraphFont"/>
    <w:link w:val="CommentText"/>
    <w:uiPriority w:val="99"/>
    <w:semiHidden/>
    <w:rsid w:val="003C17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17D2"/>
    <w:rPr>
      <w:b/>
      <w:bCs/>
    </w:rPr>
  </w:style>
  <w:style w:type="character" w:customStyle="1" w:styleId="CommentSubjectChar">
    <w:name w:val="Comment Subject Char"/>
    <w:basedOn w:val="CommentTextChar"/>
    <w:link w:val="CommentSubject"/>
    <w:uiPriority w:val="99"/>
    <w:semiHidden/>
    <w:rsid w:val="003C17D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7244EA"/>
    <w:rPr>
      <w:color w:val="800080" w:themeColor="followedHyperlink"/>
      <w:u w:val="single"/>
    </w:rPr>
  </w:style>
  <w:style w:type="paragraph" w:styleId="Header">
    <w:name w:val="header"/>
    <w:basedOn w:val="Normal"/>
    <w:link w:val="HeaderChar"/>
    <w:uiPriority w:val="99"/>
    <w:unhideWhenUsed/>
    <w:rsid w:val="008E574C"/>
    <w:pPr>
      <w:tabs>
        <w:tab w:val="center" w:pos="4680"/>
        <w:tab w:val="right" w:pos="9360"/>
      </w:tabs>
    </w:pPr>
  </w:style>
  <w:style w:type="character" w:customStyle="1" w:styleId="HeaderChar">
    <w:name w:val="Header Char"/>
    <w:basedOn w:val="DefaultParagraphFont"/>
    <w:link w:val="Header"/>
    <w:uiPriority w:val="99"/>
    <w:rsid w:val="008E57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574C"/>
    <w:pPr>
      <w:tabs>
        <w:tab w:val="center" w:pos="4680"/>
        <w:tab w:val="right" w:pos="9360"/>
      </w:tabs>
    </w:pPr>
  </w:style>
  <w:style w:type="character" w:customStyle="1" w:styleId="FooterChar">
    <w:name w:val="Footer Char"/>
    <w:basedOn w:val="DefaultParagraphFont"/>
    <w:link w:val="Footer"/>
    <w:uiPriority w:val="99"/>
    <w:rsid w:val="008E574C"/>
    <w:rPr>
      <w:rFonts w:ascii="Times New Roman" w:eastAsia="Times New Roman" w:hAnsi="Times New Roman" w:cs="Times New Roman"/>
      <w:sz w:val="24"/>
      <w:szCs w:val="24"/>
    </w:rPr>
  </w:style>
  <w:style w:type="character" w:styleId="PageNumber">
    <w:name w:val="page number"/>
    <w:basedOn w:val="DefaultParagraphFont"/>
    <w:rsid w:val="00A76C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1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618B"/>
    <w:rPr>
      <w:color w:val="0000FF"/>
      <w:u w:val="single"/>
    </w:rPr>
  </w:style>
  <w:style w:type="paragraph" w:styleId="ListParagraph">
    <w:name w:val="List Paragraph"/>
    <w:basedOn w:val="Normal"/>
    <w:uiPriority w:val="34"/>
    <w:qFormat/>
    <w:rsid w:val="00CC3DC1"/>
    <w:pPr>
      <w:ind w:left="720"/>
      <w:contextualSpacing/>
    </w:pPr>
  </w:style>
  <w:style w:type="paragraph" w:styleId="BalloonText">
    <w:name w:val="Balloon Text"/>
    <w:basedOn w:val="Normal"/>
    <w:link w:val="BalloonTextChar"/>
    <w:uiPriority w:val="99"/>
    <w:semiHidden/>
    <w:unhideWhenUsed/>
    <w:rsid w:val="00F462F6"/>
    <w:rPr>
      <w:rFonts w:ascii="Tahoma" w:hAnsi="Tahoma" w:cs="Tahoma"/>
      <w:sz w:val="16"/>
      <w:szCs w:val="16"/>
    </w:rPr>
  </w:style>
  <w:style w:type="character" w:customStyle="1" w:styleId="BalloonTextChar">
    <w:name w:val="Balloon Text Char"/>
    <w:basedOn w:val="DefaultParagraphFont"/>
    <w:link w:val="BalloonText"/>
    <w:uiPriority w:val="99"/>
    <w:semiHidden/>
    <w:rsid w:val="00F462F6"/>
    <w:rPr>
      <w:rFonts w:ascii="Tahoma" w:eastAsia="Times New Roman" w:hAnsi="Tahoma" w:cs="Tahoma"/>
      <w:sz w:val="16"/>
      <w:szCs w:val="16"/>
    </w:rPr>
  </w:style>
  <w:style w:type="table" w:styleId="TableGrid">
    <w:name w:val="Table Grid"/>
    <w:basedOn w:val="TableNormal"/>
    <w:uiPriority w:val="59"/>
    <w:rsid w:val="00F46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17D2"/>
    <w:rPr>
      <w:sz w:val="16"/>
      <w:szCs w:val="16"/>
    </w:rPr>
  </w:style>
  <w:style w:type="paragraph" w:styleId="CommentText">
    <w:name w:val="annotation text"/>
    <w:basedOn w:val="Normal"/>
    <w:link w:val="CommentTextChar"/>
    <w:uiPriority w:val="99"/>
    <w:semiHidden/>
    <w:unhideWhenUsed/>
    <w:rsid w:val="003C17D2"/>
    <w:rPr>
      <w:sz w:val="20"/>
      <w:szCs w:val="20"/>
    </w:rPr>
  </w:style>
  <w:style w:type="character" w:customStyle="1" w:styleId="CommentTextChar">
    <w:name w:val="Comment Text Char"/>
    <w:basedOn w:val="DefaultParagraphFont"/>
    <w:link w:val="CommentText"/>
    <w:uiPriority w:val="99"/>
    <w:semiHidden/>
    <w:rsid w:val="003C17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17D2"/>
    <w:rPr>
      <w:b/>
      <w:bCs/>
    </w:rPr>
  </w:style>
  <w:style w:type="character" w:customStyle="1" w:styleId="CommentSubjectChar">
    <w:name w:val="Comment Subject Char"/>
    <w:basedOn w:val="CommentTextChar"/>
    <w:link w:val="CommentSubject"/>
    <w:uiPriority w:val="99"/>
    <w:semiHidden/>
    <w:rsid w:val="003C17D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7244EA"/>
    <w:rPr>
      <w:color w:val="800080" w:themeColor="followedHyperlink"/>
      <w:u w:val="single"/>
    </w:rPr>
  </w:style>
  <w:style w:type="paragraph" w:styleId="Header">
    <w:name w:val="header"/>
    <w:basedOn w:val="Normal"/>
    <w:link w:val="HeaderChar"/>
    <w:uiPriority w:val="99"/>
    <w:unhideWhenUsed/>
    <w:rsid w:val="008E574C"/>
    <w:pPr>
      <w:tabs>
        <w:tab w:val="center" w:pos="4680"/>
        <w:tab w:val="right" w:pos="9360"/>
      </w:tabs>
    </w:pPr>
  </w:style>
  <w:style w:type="character" w:customStyle="1" w:styleId="HeaderChar">
    <w:name w:val="Header Char"/>
    <w:basedOn w:val="DefaultParagraphFont"/>
    <w:link w:val="Header"/>
    <w:uiPriority w:val="99"/>
    <w:rsid w:val="008E57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574C"/>
    <w:pPr>
      <w:tabs>
        <w:tab w:val="center" w:pos="4680"/>
        <w:tab w:val="right" w:pos="9360"/>
      </w:tabs>
    </w:pPr>
  </w:style>
  <w:style w:type="character" w:customStyle="1" w:styleId="FooterChar">
    <w:name w:val="Footer Char"/>
    <w:basedOn w:val="DefaultParagraphFont"/>
    <w:link w:val="Footer"/>
    <w:uiPriority w:val="99"/>
    <w:rsid w:val="008E574C"/>
    <w:rPr>
      <w:rFonts w:ascii="Times New Roman" w:eastAsia="Times New Roman" w:hAnsi="Times New Roman" w:cs="Times New Roman"/>
      <w:sz w:val="24"/>
      <w:szCs w:val="24"/>
    </w:rPr>
  </w:style>
  <w:style w:type="character" w:styleId="PageNumber">
    <w:name w:val="page number"/>
    <w:basedOn w:val="DefaultParagraphFont"/>
    <w:rsid w:val="00A76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4218">
      <w:bodyDiv w:val="1"/>
      <w:marLeft w:val="0"/>
      <w:marRight w:val="0"/>
      <w:marTop w:val="0"/>
      <w:marBottom w:val="0"/>
      <w:divBdr>
        <w:top w:val="none" w:sz="0" w:space="0" w:color="auto"/>
        <w:left w:val="none" w:sz="0" w:space="0" w:color="auto"/>
        <w:bottom w:val="none" w:sz="0" w:space="0" w:color="auto"/>
        <w:right w:val="none" w:sz="0" w:space="0" w:color="auto"/>
      </w:divBdr>
      <w:divsChild>
        <w:div w:id="1603411024">
          <w:marLeft w:val="547"/>
          <w:marRight w:val="0"/>
          <w:marTop w:val="0"/>
          <w:marBottom w:val="0"/>
          <w:divBdr>
            <w:top w:val="none" w:sz="0" w:space="0" w:color="auto"/>
            <w:left w:val="none" w:sz="0" w:space="0" w:color="auto"/>
            <w:bottom w:val="none" w:sz="0" w:space="0" w:color="auto"/>
            <w:right w:val="none" w:sz="0" w:space="0" w:color="auto"/>
          </w:divBdr>
        </w:div>
        <w:div w:id="235168202">
          <w:marLeft w:val="547"/>
          <w:marRight w:val="0"/>
          <w:marTop w:val="0"/>
          <w:marBottom w:val="0"/>
          <w:divBdr>
            <w:top w:val="none" w:sz="0" w:space="0" w:color="auto"/>
            <w:left w:val="none" w:sz="0" w:space="0" w:color="auto"/>
            <w:bottom w:val="none" w:sz="0" w:space="0" w:color="auto"/>
            <w:right w:val="none" w:sz="0" w:space="0" w:color="auto"/>
          </w:divBdr>
        </w:div>
        <w:div w:id="285429557">
          <w:marLeft w:val="547"/>
          <w:marRight w:val="0"/>
          <w:marTop w:val="0"/>
          <w:marBottom w:val="0"/>
          <w:divBdr>
            <w:top w:val="none" w:sz="0" w:space="0" w:color="auto"/>
            <w:left w:val="none" w:sz="0" w:space="0" w:color="auto"/>
            <w:bottom w:val="none" w:sz="0" w:space="0" w:color="auto"/>
            <w:right w:val="none" w:sz="0" w:space="0" w:color="auto"/>
          </w:divBdr>
        </w:div>
        <w:div w:id="349839498">
          <w:marLeft w:val="547"/>
          <w:marRight w:val="0"/>
          <w:marTop w:val="0"/>
          <w:marBottom w:val="0"/>
          <w:divBdr>
            <w:top w:val="none" w:sz="0" w:space="0" w:color="auto"/>
            <w:left w:val="none" w:sz="0" w:space="0" w:color="auto"/>
            <w:bottom w:val="none" w:sz="0" w:space="0" w:color="auto"/>
            <w:right w:val="none" w:sz="0" w:space="0" w:color="auto"/>
          </w:divBdr>
        </w:div>
        <w:div w:id="703485925">
          <w:marLeft w:val="547"/>
          <w:marRight w:val="0"/>
          <w:marTop w:val="0"/>
          <w:marBottom w:val="0"/>
          <w:divBdr>
            <w:top w:val="none" w:sz="0" w:space="0" w:color="auto"/>
            <w:left w:val="none" w:sz="0" w:space="0" w:color="auto"/>
            <w:bottom w:val="none" w:sz="0" w:space="0" w:color="auto"/>
            <w:right w:val="none" w:sz="0" w:space="0" w:color="auto"/>
          </w:divBdr>
        </w:div>
      </w:divsChild>
    </w:div>
    <w:div w:id="161632257">
      <w:bodyDiv w:val="1"/>
      <w:marLeft w:val="0"/>
      <w:marRight w:val="0"/>
      <w:marTop w:val="0"/>
      <w:marBottom w:val="0"/>
      <w:divBdr>
        <w:top w:val="none" w:sz="0" w:space="0" w:color="auto"/>
        <w:left w:val="none" w:sz="0" w:space="0" w:color="auto"/>
        <w:bottom w:val="none" w:sz="0" w:space="0" w:color="auto"/>
        <w:right w:val="none" w:sz="0" w:space="0" w:color="auto"/>
      </w:divBdr>
    </w:div>
    <w:div w:id="341474526">
      <w:bodyDiv w:val="1"/>
      <w:marLeft w:val="0"/>
      <w:marRight w:val="0"/>
      <w:marTop w:val="0"/>
      <w:marBottom w:val="0"/>
      <w:divBdr>
        <w:top w:val="none" w:sz="0" w:space="0" w:color="auto"/>
        <w:left w:val="none" w:sz="0" w:space="0" w:color="auto"/>
        <w:bottom w:val="none" w:sz="0" w:space="0" w:color="auto"/>
        <w:right w:val="none" w:sz="0" w:space="0" w:color="auto"/>
      </w:divBdr>
      <w:divsChild>
        <w:div w:id="955797651">
          <w:marLeft w:val="547"/>
          <w:marRight w:val="0"/>
          <w:marTop w:val="0"/>
          <w:marBottom w:val="0"/>
          <w:divBdr>
            <w:top w:val="none" w:sz="0" w:space="0" w:color="auto"/>
            <w:left w:val="none" w:sz="0" w:space="0" w:color="auto"/>
            <w:bottom w:val="none" w:sz="0" w:space="0" w:color="auto"/>
            <w:right w:val="none" w:sz="0" w:space="0" w:color="auto"/>
          </w:divBdr>
        </w:div>
        <w:div w:id="1761636896">
          <w:marLeft w:val="547"/>
          <w:marRight w:val="0"/>
          <w:marTop w:val="0"/>
          <w:marBottom w:val="0"/>
          <w:divBdr>
            <w:top w:val="none" w:sz="0" w:space="0" w:color="auto"/>
            <w:left w:val="none" w:sz="0" w:space="0" w:color="auto"/>
            <w:bottom w:val="none" w:sz="0" w:space="0" w:color="auto"/>
            <w:right w:val="none" w:sz="0" w:space="0" w:color="auto"/>
          </w:divBdr>
        </w:div>
        <w:div w:id="912277643">
          <w:marLeft w:val="547"/>
          <w:marRight w:val="0"/>
          <w:marTop w:val="0"/>
          <w:marBottom w:val="0"/>
          <w:divBdr>
            <w:top w:val="none" w:sz="0" w:space="0" w:color="auto"/>
            <w:left w:val="none" w:sz="0" w:space="0" w:color="auto"/>
            <w:bottom w:val="none" w:sz="0" w:space="0" w:color="auto"/>
            <w:right w:val="none" w:sz="0" w:space="0" w:color="auto"/>
          </w:divBdr>
        </w:div>
        <w:div w:id="429397577">
          <w:marLeft w:val="547"/>
          <w:marRight w:val="0"/>
          <w:marTop w:val="0"/>
          <w:marBottom w:val="0"/>
          <w:divBdr>
            <w:top w:val="none" w:sz="0" w:space="0" w:color="auto"/>
            <w:left w:val="none" w:sz="0" w:space="0" w:color="auto"/>
            <w:bottom w:val="none" w:sz="0" w:space="0" w:color="auto"/>
            <w:right w:val="none" w:sz="0" w:space="0" w:color="auto"/>
          </w:divBdr>
        </w:div>
        <w:div w:id="729428622">
          <w:marLeft w:val="547"/>
          <w:marRight w:val="0"/>
          <w:marTop w:val="0"/>
          <w:marBottom w:val="0"/>
          <w:divBdr>
            <w:top w:val="none" w:sz="0" w:space="0" w:color="auto"/>
            <w:left w:val="none" w:sz="0" w:space="0" w:color="auto"/>
            <w:bottom w:val="none" w:sz="0" w:space="0" w:color="auto"/>
            <w:right w:val="none" w:sz="0" w:space="0" w:color="auto"/>
          </w:divBdr>
        </w:div>
      </w:divsChild>
    </w:div>
    <w:div w:id="626620484">
      <w:bodyDiv w:val="1"/>
      <w:marLeft w:val="0"/>
      <w:marRight w:val="0"/>
      <w:marTop w:val="0"/>
      <w:marBottom w:val="0"/>
      <w:divBdr>
        <w:top w:val="none" w:sz="0" w:space="0" w:color="auto"/>
        <w:left w:val="none" w:sz="0" w:space="0" w:color="auto"/>
        <w:bottom w:val="none" w:sz="0" w:space="0" w:color="auto"/>
        <w:right w:val="none" w:sz="0" w:space="0" w:color="auto"/>
      </w:divBdr>
    </w:div>
    <w:div w:id="919556006">
      <w:bodyDiv w:val="1"/>
      <w:marLeft w:val="0"/>
      <w:marRight w:val="0"/>
      <w:marTop w:val="0"/>
      <w:marBottom w:val="0"/>
      <w:divBdr>
        <w:top w:val="none" w:sz="0" w:space="0" w:color="auto"/>
        <w:left w:val="none" w:sz="0" w:space="0" w:color="auto"/>
        <w:bottom w:val="none" w:sz="0" w:space="0" w:color="auto"/>
        <w:right w:val="none" w:sz="0" w:space="0" w:color="auto"/>
      </w:divBdr>
    </w:div>
    <w:div w:id="1051733329">
      <w:bodyDiv w:val="1"/>
      <w:marLeft w:val="0"/>
      <w:marRight w:val="0"/>
      <w:marTop w:val="0"/>
      <w:marBottom w:val="0"/>
      <w:divBdr>
        <w:top w:val="none" w:sz="0" w:space="0" w:color="auto"/>
        <w:left w:val="none" w:sz="0" w:space="0" w:color="auto"/>
        <w:bottom w:val="none" w:sz="0" w:space="0" w:color="auto"/>
        <w:right w:val="none" w:sz="0" w:space="0" w:color="auto"/>
      </w:divBdr>
      <w:divsChild>
        <w:div w:id="1435898203">
          <w:marLeft w:val="547"/>
          <w:marRight w:val="0"/>
          <w:marTop w:val="0"/>
          <w:marBottom w:val="0"/>
          <w:divBdr>
            <w:top w:val="none" w:sz="0" w:space="0" w:color="auto"/>
            <w:left w:val="none" w:sz="0" w:space="0" w:color="auto"/>
            <w:bottom w:val="none" w:sz="0" w:space="0" w:color="auto"/>
            <w:right w:val="none" w:sz="0" w:space="0" w:color="auto"/>
          </w:divBdr>
        </w:div>
        <w:div w:id="134838142">
          <w:marLeft w:val="547"/>
          <w:marRight w:val="0"/>
          <w:marTop w:val="0"/>
          <w:marBottom w:val="0"/>
          <w:divBdr>
            <w:top w:val="none" w:sz="0" w:space="0" w:color="auto"/>
            <w:left w:val="none" w:sz="0" w:space="0" w:color="auto"/>
            <w:bottom w:val="none" w:sz="0" w:space="0" w:color="auto"/>
            <w:right w:val="none" w:sz="0" w:space="0" w:color="auto"/>
          </w:divBdr>
        </w:div>
      </w:divsChild>
    </w:div>
    <w:div w:id="1732659011">
      <w:bodyDiv w:val="1"/>
      <w:marLeft w:val="0"/>
      <w:marRight w:val="0"/>
      <w:marTop w:val="0"/>
      <w:marBottom w:val="0"/>
      <w:divBdr>
        <w:top w:val="none" w:sz="0" w:space="0" w:color="auto"/>
        <w:left w:val="none" w:sz="0" w:space="0" w:color="auto"/>
        <w:bottom w:val="none" w:sz="0" w:space="0" w:color="auto"/>
        <w:right w:val="none" w:sz="0" w:space="0" w:color="auto"/>
      </w:divBdr>
      <w:divsChild>
        <w:div w:id="1738285359">
          <w:marLeft w:val="547"/>
          <w:marRight w:val="0"/>
          <w:marTop w:val="0"/>
          <w:marBottom w:val="0"/>
          <w:divBdr>
            <w:top w:val="none" w:sz="0" w:space="0" w:color="auto"/>
            <w:left w:val="none" w:sz="0" w:space="0" w:color="auto"/>
            <w:bottom w:val="none" w:sz="0" w:space="0" w:color="auto"/>
            <w:right w:val="none" w:sz="0" w:space="0" w:color="auto"/>
          </w:divBdr>
        </w:div>
        <w:div w:id="1149588250">
          <w:marLeft w:val="547"/>
          <w:marRight w:val="0"/>
          <w:marTop w:val="0"/>
          <w:marBottom w:val="0"/>
          <w:divBdr>
            <w:top w:val="none" w:sz="0" w:space="0" w:color="auto"/>
            <w:left w:val="none" w:sz="0" w:space="0" w:color="auto"/>
            <w:bottom w:val="none" w:sz="0" w:space="0" w:color="auto"/>
            <w:right w:val="none" w:sz="0" w:space="0" w:color="auto"/>
          </w:divBdr>
        </w:div>
        <w:div w:id="1378360688">
          <w:marLeft w:val="547"/>
          <w:marRight w:val="0"/>
          <w:marTop w:val="0"/>
          <w:marBottom w:val="0"/>
          <w:divBdr>
            <w:top w:val="none" w:sz="0" w:space="0" w:color="auto"/>
            <w:left w:val="none" w:sz="0" w:space="0" w:color="auto"/>
            <w:bottom w:val="none" w:sz="0" w:space="0" w:color="auto"/>
            <w:right w:val="none" w:sz="0" w:space="0" w:color="auto"/>
          </w:divBdr>
        </w:div>
      </w:divsChild>
    </w:div>
    <w:div w:id="2064675038">
      <w:bodyDiv w:val="1"/>
      <w:marLeft w:val="0"/>
      <w:marRight w:val="0"/>
      <w:marTop w:val="0"/>
      <w:marBottom w:val="0"/>
      <w:divBdr>
        <w:top w:val="none" w:sz="0" w:space="0" w:color="auto"/>
        <w:left w:val="none" w:sz="0" w:space="0" w:color="auto"/>
        <w:bottom w:val="none" w:sz="0" w:space="0" w:color="auto"/>
        <w:right w:val="none" w:sz="0" w:space="0" w:color="auto"/>
      </w:divBdr>
      <w:divsChild>
        <w:div w:id="1170562898">
          <w:marLeft w:val="547"/>
          <w:marRight w:val="0"/>
          <w:marTop w:val="0"/>
          <w:marBottom w:val="0"/>
          <w:divBdr>
            <w:top w:val="none" w:sz="0" w:space="0" w:color="auto"/>
            <w:left w:val="none" w:sz="0" w:space="0" w:color="auto"/>
            <w:bottom w:val="none" w:sz="0" w:space="0" w:color="auto"/>
            <w:right w:val="none" w:sz="0" w:space="0" w:color="auto"/>
          </w:divBdr>
        </w:div>
        <w:div w:id="539247214">
          <w:marLeft w:val="547"/>
          <w:marRight w:val="0"/>
          <w:marTop w:val="0"/>
          <w:marBottom w:val="0"/>
          <w:divBdr>
            <w:top w:val="none" w:sz="0" w:space="0" w:color="auto"/>
            <w:left w:val="none" w:sz="0" w:space="0" w:color="auto"/>
            <w:bottom w:val="none" w:sz="0" w:space="0" w:color="auto"/>
            <w:right w:val="none" w:sz="0" w:space="0" w:color="auto"/>
          </w:divBdr>
        </w:div>
        <w:div w:id="1724719051">
          <w:marLeft w:val="547"/>
          <w:marRight w:val="0"/>
          <w:marTop w:val="0"/>
          <w:marBottom w:val="0"/>
          <w:divBdr>
            <w:top w:val="none" w:sz="0" w:space="0" w:color="auto"/>
            <w:left w:val="none" w:sz="0" w:space="0" w:color="auto"/>
            <w:bottom w:val="none" w:sz="0" w:space="0" w:color="auto"/>
            <w:right w:val="none" w:sz="0" w:space="0" w:color="auto"/>
          </w:divBdr>
        </w:div>
        <w:div w:id="1934121304">
          <w:marLeft w:val="547"/>
          <w:marRight w:val="0"/>
          <w:marTop w:val="0"/>
          <w:marBottom w:val="0"/>
          <w:divBdr>
            <w:top w:val="none" w:sz="0" w:space="0" w:color="auto"/>
            <w:left w:val="none" w:sz="0" w:space="0" w:color="auto"/>
            <w:bottom w:val="none" w:sz="0" w:space="0" w:color="auto"/>
            <w:right w:val="none" w:sz="0" w:space="0" w:color="auto"/>
          </w:divBdr>
        </w:div>
        <w:div w:id="2136017941">
          <w:marLeft w:val="547"/>
          <w:marRight w:val="0"/>
          <w:marTop w:val="0"/>
          <w:marBottom w:val="0"/>
          <w:divBdr>
            <w:top w:val="none" w:sz="0" w:space="0" w:color="auto"/>
            <w:left w:val="none" w:sz="0" w:space="0" w:color="auto"/>
            <w:bottom w:val="none" w:sz="0" w:space="0" w:color="auto"/>
            <w:right w:val="none" w:sz="0" w:space="0" w:color="auto"/>
          </w:divBdr>
        </w:div>
      </w:divsChild>
    </w:div>
    <w:div w:id="2135513751">
      <w:bodyDiv w:val="1"/>
      <w:marLeft w:val="0"/>
      <w:marRight w:val="0"/>
      <w:marTop w:val="0"/>
      <w:marBottom w:val="0"/>
      <w:divBdr>
        <w:top w:val="none" w:sz="0" w:space="0" w:color="auto"/>
        <w:left w:val="none" w:sz="0" w:space="0" w:color="auto"/>
        <w:bottom w:val="none" w:sz="0" w:space="0" w:color="auto"/>
        <w:right w:val="none" w:sz="0" w:space="0" w:color="auto"/>
      </w:divBdr>
      <w:divsChild>
        <w:div w:id="704453420">
          <w:marLeft w:val="0"/>
          <w:marRight w:val="0"/>
          <w:marTop w:val="0"/>
          <w:marBottom w:val="150"/>
          <w:divBdr>
            <w:top w:val="single" w:sz="12" w:space="0" w:color="FFFFFF"/>
            <w:left w:val="single" w:sz="12" w:space="0" w:color="FFFFFF"/>
            <w:bottom w:val="none" w:sz="0" w:space="0" w:color="auto"/>
            <w:right w:val="single" w:sz="12" w:space="0" w:color="FFFFFF"/>
          </w:divBdr>
          <w:divsChild>
            <w:div w:id="917986108">
              <w:marLeft w:val="0"/>
              <w:marRight w:val="0"/>
              <w:marTop w:val="0"/>
              <w:marBottom w:val="0"/>
              <w:divBdr>
                <w:top w:val="none" w:sz="0" w:space="0" w:color="auto"/>
                <w:left w:val="none" w:sz="0" w:space="0" w:color="auto"/>
                <w:bottom w:val="none" w:sz="0" w:space="0" w:color="auto"/>
                <w:right w:val="none" w:sz="0" w:space="0" w:color="auto"/>
              </w:divBdr>
              <w:divsChild>
                <w:div w:id="1779058104">
                  <w:marLeft w:val="0"/>
                  <w:marRight w:val="0"/>
                  <w:marTop w:val="0"/>
                  <w:marBottom w:val="0"/>
                  <w:divBdr>
                    <w:top w:val="none" w:sz="0" w:space="0" w:color="auto"/>
                    <w:left w:val="none" w:sz="0" w:space="0" w:color="auto"/>
                    <w:bottom w:val="none" w:sz="0" w:space="0" w:color="auto"/>
                    <w:right w:val="none" w:sz="0" w:space="0" w:color="auto"/>
                  </w:divBdr>
                  <w:divsChild>
                    <w:div w:id="888299419">
                      <w:marLeft w:val="0"/>
                      <w:marRight w:val="0"/>
                      <w:marTop w:val="0"/>
                      <w:marBottom w:val="375"/>
                      <w:divBdr>
                        <w:top w:val="none" w:sz="0" w:space="0" w:color="auto"/>
                        <w:left w:val="none" w:sz="0" w:space="0" w:color="auto"/>
                        <w:bottom w:val="none" w:sz="0" w:space="0" w:color="auto"/>
                        <w:right w:val="none" w:sz="0" w:space="0" w:color="auto"/>
                      </w:divBdr>
                      <w:divsChild>
                        <w:div w:id="85408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mg.net/docs/NIPS_AOP.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sgc.org/p/bl/et/blogaid=33" TargetMode="External"/><Relationship Id="rId5" Type="http://schemas.openxmlformats.org/officeDocument/2006/relationships/webSettings" Target="webSettings.xml"/><Relationship Id="rId10" Type="http://schemas.openxmlformats.org/officeDocument/2006/relationships/hyperlink" Target="https://www.smfm.org/publications/157-smfm-statement-maternal-serum-cell-free-dna-screening-in-low-risk-women" TargetMode="External"/><Relationship Id="rId4" Type="http://schemas.openxmlformats.org/officeDocument/2006/relationships/settings" Target="settings.xml"/><Relationship Id="rId9" Type="http://schemas.openxmlformats.org/officeDocument/2006/relationships/hyperlink" Target="http://www.acog.org/Resources-And-Publications/Committee-%20Opinions/Committee-on-Genetics/Cell-free-DNA-Screening-for-Fetal-Aneuploid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2193EE52.dotm</Template>
  <TotalTime>1</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Spectrum Health</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Zitano</dc:creator>
  <cp:lastModifiedBy>Laarman, Audrey C.</cp:lastModifiedBy>
  <cp:revision>3</cp:revision>
  <cp:lastPrinted>2016-12-14T15:12:00Z</cp:lastPrinted>
  <dcterms:created xsi:type="dcterms:W3CDTF">2017-08-25T12:10:00Z</dcterms:created>
  <dcterms:modified xsi:type="dcterms:W3CDTF">2017-08-25T13:47:00Z</dcterms:modified>
</cp:coreProperties>
</file>