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ED" w:rsidRDefault="00484EED" w:rsidP="00484EED">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678720" behindDoc="1" locked="0" layoutInCell="1" allowOverlap="1" wp14:anchorId="7F85DB9D" wp14:editId="4D471484">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EED" w:rsidRDefault="00484EED" w:rsidP="00484EED">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bGtAIAALQ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Ok1dsa0AgAAtAUA&#10;AA4AAAAAAAAAAAAAAAAALgIAAGRycy9lMm9Eb2MueG1sUEsBAi0AFAAGAAgAAAAhAIlqjMzeAAAA&#10;DQEAAA8AAAAAAAAAAAAAAAAADgUAAGRycy9kb3ducmV2LnhtbFBLBQYAAAAABAAEAPMAAAAZBgAA&#10;AAA=&#10;" filled="f" stroked="f">
                <v:textbox inset="0,0,0,0">
                  <w:txbxContent>
                    <w:p w:rsidR="00484EED" w:rsidRDefault="00484EED" w:rsidP="00484EED">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D616A4" w:rsidRPr="00D616A4" w:rsidRDefault="00D616A4" w:rsidP="00D616A4">
      <w:pPr>
        <w:spacing w:before="291" w:after="2047" w:line="406" w:lineRule="exact"/>
        <w:ind w:left="144" w:right="144"/>
        <w:jc w:val="left"/>
        <w:textAlignment w:val="baseline"/>
        <w:rPr>
          <w:rFonts w:ascii="Times New Roman" w:eastAsia="Times New Roman" w:hAnsi="Times New Roman"/>
          <w:b/>
          <w:color w:val="000000"/>
          <w:sz w:val="32"/>
          <w:lang w:val="en-US" w:eastAsia="en-US"/>
        </w:rPr>
      </w:pPr>
      <w:r w:rsidRPr="00D616A4">
        <w:rPr>
          <w:rFonts w:ascii="Times New Roman" w:eastAsia="Times New Roman" w:hAnsi="Times New Roman"/>
          <w:b/>
          <w:color w:val="000000"/>
          <w:sz w:val="32"/>
          <w:lang w:val="en-US" w:eastAsia="en-US"/>
        </w:rPr>
        <w:t>RTS 12: Draft regulatory technical standards on the determination of a material market in terms of liquidity relating to trading halt notifications</w:t>
      </w:r>
    </w:p>
    <w:p w:rsidR="00D616A4" w:rsidRPr="00D616A4" w:rsidRDefault="00D616A4" w:rsidP="00D616A4">
      <w:pPr>
        <w:spacing w:before="291" w:after="2047" w:line="406" w:lineRule="exact"/>
        <w:jc w:val="left"/>
        <w:rPr>
          <w:rFonts w:ascii="Times New Roman" w:eastAsia="PMingLiU" w:hAnsi="Times New Roman"/>
          <w:lang w:val="en-US" w:eastAsia="en-US"/>
        </w:rPr>
        <w:sectPr w:rsidR="00D616A4" w:rsidRPr="00D616A4">
          <w:pgSz w:w="11909" w:h="16838"/>
          <w:pgMar w:top="580" w:right="1259" w:bottom="960" w:left="1250" w:header="720" w:footer="720" w:gutter="0"/>
          <w:cols w:space="720"/>
        </w:sectPr>
      </w:pPr>
    </w:p>
    <w:p w:rsidR="00D616A4" w:rsidRPr="00D616A4" w:rsidRDefault="00D616A4" w:rsidP="00D616A4">
      <w:pPr>
        <w:spacing w:before="1164" w:line="288"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5648" behindDoc="1" locked="0" layoutInCell="1" allowOverlap="1">
                <wp:simplePos x="0" y="0"/>
                <wp:positionH relativeFrom="column">
                  <wp:posOffset>221615</wp:posOffset>
                </wp:positionH>
                <wp:positionV relativeFrom="paragraph">
                  <wp:posOffset>0</wp:posOffset>
                </wp:positionV>
                <wp:extent cx="2953385" cy="647065"/>
                <wp:effectExtent l="2540" t="0"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D616A4">
                              <w:trPr>
                                <w:trHeight w:hRule="exact" w:val="1019"/>
                              </w:trPr>
                              <w:tc>
                                <w:tcPr>
                                  <w:tcW w:w="1507" w:type="dxa"/>
                                  <w:tcBorders>
                                    <w:top w:val="none" w:sz="0" w:space="0" w:color="000000"/>
                                    <w:left w:val="none" w:sz="0" w:space="0" w:color="000000"/>
                                    <w:bottom w:val="none" w:sz="0" w:space="0" w:color="000000"/>
                                    <w:right w:val="none" w:sz="0" w:space="0" w:color="000000"/>
                                  </w:tcBorders>
                                </w:tcPr>
                                <w:p w:rsidR="00D616A4" w:rsidRDefault="00D616A4">
                                  <w:pPr>
                                    <w:spacing w:before="16"/>
                                    <w:jc w:val="center"/>
                                    <w:textAlignment w:val="baseline"/>
                                  </w:pPr>
                                  <w:r>
                                    <w:rPr>
                                      <w:noProof/>
                                    </w:rPr>
                                    <w:drawing>
                                      <wp:inline distT="0" distB="0" distL="0" distR="0" wp14:anchorId="36408096" wp14:editId="6391C9B1">
                                        <wp:extent cx="956945" cy="636905"/>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164"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D616A4" w:rsidRDefault="00D616A4">
                                  <w:pPr>
                                    <w:spacing w:after="737"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D616A4" w:rsidRDefault="00D616A4" w:rsidP="00D616A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17.45pt;margin-top:0;width:232.55pt;height:50.95pt;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sssQIAALI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D616A4">
                        <w:trPr>
                          <w:trHeight w:hRule="exact" w:val="1019"/>
                        </w:trPr>
                        <w:tc>
                          <w:tcPr>
                            <w:tcW w:w="1507" w:type="dxa"/>
                            <w:tcBorders>
                              <w:top w:val="none" w:sz="0" w:space="0" w:color="000000"/>
                              <w:left w:val="none" w:sz="0" w:space="0" w:color="000000"/>
                              <w:bottom w:val="none" w:sz="0" w:space="0" w:color="000000"/>
                              <w:right w:val="none" w:sz="0" w:space="0" w:color="000000"/>
                            </w:tcBorders>
                          </w:tcPr>
                          <w:p w:rsidR="00D616A4" w:rsidRDefault="00D616A4">
                            <w:pPr>
                              <w:spacing w:before="16"/>
                              <w:jc w:val="center"/>
                              <w:textAlignment w:val="baseline"/>
                            </w:pPr>
                            <w:r>
                              <w:rPr>
                                <w:noProof/>
                              </w:rPr>
                              <w:drawing>
                                <wp:inline distT="0" distB="0" distL="0" distR="0" wp14:anchorId="36408096" wp14:editId="6391C9B1">
                                  <wp:extent cx="956945" cy="636905"/>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164"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D616A4" w:rsidRDefault="00D616A4">
                            <w:pPr>
                              <w:spacing w:after="737"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D616A4" w:rsidRDefault="00D616A4" w:rsidP="00D616A4"/>
                  </w:txbxContent>
                </v:textbox>
              </v:shape>
            </w:pict>
          </mc:Fallback>
        </mc:AlternateContent>
      </w:r>
    </w:p>
    <w:p w:rsidR="00D616A4" w:rsidRPr="00D616A4" w:rsidRDefault="00D616A4" w:rsidP="00D616A4">
      <w:pPr>
        <w:jc w:val="left"/>
        <w:rPr>
          <w:rFonts w:ascii="Times New Roman" w:eastAsia="PMingLiU" w:hAnsi="Times New Roman"/>
          <w:lang w:val="en-US" w:eastAsia="en-US"/>
        </w:rPr>
        <w:sectPr w:rsidR="00D616A4" w:rsidRPr="00D616A4">
          <w:type w:val="continuous"/>
          <w:pgSz w:w="11909" w:h="16838"/>
          <w:pgMar w:top="580" w:right="1259" w:bottom="960" w:left="1125" w:header="720" w:footer="720" w:gutter="0"/>
          <w:cols w:space="720"/>
        </w:sectPr>
      </w:pPr>
    </w:p>
    <w:p w:rsidR="00D616A4" w:rsidRPr="00D616A4" w:rsidRDefault="00D616A4" w:rsidP="00D616A4">
      <w:pPr>
        <w:spacing w:before="3" w:line="269" w:lineRule="exact"/>
        <w:ind w:left="5400"/>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6672" behindDoc="1" locked="0" layoutInCell="1" allowOverlap="1">
                <wp:simplePos x="0" y="0"/>
                <wp:positionH relativeFrom="page">
                  <wp:posOffset>714375</wp:posOffset>
                </wp:positionH>
                <wp:positionV relativeFrom="page">
                  <wp:posOffset>9831070</wp:posOffset>
                </wp:positionV>
                <wp:extent cx="650240" cy="342900"/>
                <wp:effectExtent l="0" t="127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A4" w:rsidRDefault="00D616A4" w:rsidP="00D616A4">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56.25pt;margin-top:774.1pt;width:51.2pt;height:27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" filled="f" stroked="f">
                <v:textbox inset="0,0,0,0">
                  <w:txbxContent>
                    <w:p w:rsidR="00D616A4" w:rsidRDefault="00D616A4" w:rsidP="00D616A4">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59264" behindDoc="0" locked="0" layoutInCell="1" allowOverlap="1">
                <wp:simplePos x="0" y="0"/>
                <wp:positionH relativeFrom="page">
                  <wp:posOffset>3609975</wp:posOffset>
                </wp:positionH>
                <wp:positionV relativeFrom="page">
                  <wp:posOffset>9968230</wp:posOffset>
                </wp:positionV>
                <wp:extent cx="342265" cy="172720"/>
                <wp:effectExtent l="0" t="0" r="635" b="31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A4" w:rsidRDefault="00D616A4" w:rsidP="00D616A4">
                            <w:pPr>
                              <w:spacing w:before="3" w:line="268" w:lineRule="exact"/>
                              <w:textAlignment w:val="baseline"/>
                              <w:rPr>
                                <w:rFonts w:eastAsia="Times New Roman"/>
                                <w:color w:val="000000"/>
                                <w:spacing w:val="16"/>
                                <w:sz w:val="24"/>
                              </w:rPr>
                            </w:pPr>
                            <w:r>
                              <w:rPr>
                                <w:rFonts w:eastAsia="Times New Roman"/>
                                <w:color w:val="000000"/>
                                <w:spacing w:val="16"/>
                                <w:sz w:val="24"/>
                              </w:rPr>
                              <w:t>309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284.25pt;margin-top:784.9pt;width:26.95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Bvsw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" filled="f" stroked="f">
                <v:textbox inset="0,0,0,0">
                  <w:txbxContent>
                    <w:p w:rsidR="00D616A4" w:rsidRDefault="00D616A4" w:rsidP="00D616A4">
                      <w:pPr>
                        <w:spacing w:before="3" w:line="268" w:lineRule="exact"/>
                        <w:textAlignment w:val="baseline"/>
                        <w:rPr>
                          <w:rFonts w:eastAsia="Times New Roman"/>
                          <w:color w:val="000000"/>
                          <w:spacing w:val="16"/>
                          <w:sz w:val="24"/>
                        </w:rPr>
                      </w:pPr>
                      <w:r>
                        <w:rPr>
                          <w:rFonts w:eastAsia="Times New Roman"/>
                          <w:color w:val="000000"/>
                          <w:spacing w:val="16"/>
                          <w:sz w:val="24"/>
                        </w:rPr>
                        <w:t>309</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60288"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A4" w:rsidRDefault="00D616A4" w:rsidP="00D616A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487.75pt;margin-top:774.1pt;width:39.9pt;height:2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YpsgIAALE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JtcmKbICAACx&#10;BQAADgAAAAAAAAAAAAAAAAAuAgAAZHJzL2Uyb0RvYy54bWxQSwECLQAUAAYACAAAACEA028a8eIA&#10;AAAOAQAADwAAAAAAAAAAAAAAAAAMBQAAZHJzL2Rvd25yZXYueG1sUEsFBgAAAAAEAAQA8wAAABsG&#10;AAAAAA==&#10;" filled="f" stroked="f">
                <v:textbox inset="0,0,0,0">
                  <w:txbxContent>
                    <w:p w:rsidR="00D616A4" w:rsidRDefault="00D616A4" w:rsidP="00D616A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D616A4">
        <w:rPr>
          <w:rFonts w:ascii="Times New Roman" w:eastAsia="Times New Roman" w:hAnsi="Times New Roman"/>
          <w:color w:val="000000"/>
          <w:sz w:val="24"/>
          <w:lang w:val="en-US" w:eastAsia="en-US"/>
        </w:rPr>
        <w:t>Brussels, XXX</w:t>
      </w:r>
    </w:p>
    <w:p w:rsidR="00D616A4" w:rsidRPr="00D616A4" w:rsidRDefault="00D616A4" w:rsidP="00D616A4">
      <w:pPr>
        <w:spacing w:before="5" w:line="269" w:lineRule="exact"/>
        <w:ind w:left="5400"/>
        <w:jc w:val="left"/>
        <w:textAlignment w:val="baseline"/>
        <w:rPr>
          <w:rFonts w:ascii="Times New Roman" w:eastAsia="Times New Roman" w:hAnsi="Times New Roman"/>
          <w:color w:val="000000"/>
          <w:spacing w:val="1"/>
          <w:sz w:val="24"/>
          <w:lang w:val="en-US" w:eastAsia="en-US"/>
        </w:rPr>
      </w:pPr>
      <w:r w:rsidRPr="00D616A4">
        <w:rPr>
          <w:rFonts w:ascii="Times New Roman" w:eastAsia="Times New Roman" w:hAnsi="Times New Roman"/>
          <w:color w:val="000000"/>
          <w:spacing w:val="1"/>
          <w:sz w:val="24"/>
          <w:lang w:val="en-US" w:eastAsia="en-US"/>
        </w:rPr>
        <w:t>[...](2012) XXX draft</w:t>
      </w:r>
    </w:p>
    <w:p w:rsidR="00D616A4" w:rsidRPr="00D616A4" w:rsidRDefault="00D616A4" w:rsidP="00D616A4">
      <w:pPr>
        <w:spacing w:before="1463" w:line="269" w:lineRule="exact"/>
        <w:jc w:val="center"/>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COMMISSION DELEGATED REGULATION (EU) No .../..</w:t>
      </w:r>
    </w:p>
    <w:p w:rsidR="00D616A4" w:rsidRPr="00D616A4" w:rsidRDefault="00D616A4" w:rsidP="00D616A4">
      <w:pPr>
        <w:spacing w:before="365" w:line="269" w:lineRule="exact"/>
        <w:ind w:left="446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of XXX</w:t>
      </w:r>
    </w:p>
    <w:p w:rsidR="00D616A4" w:rsidRPr="00D616A4" w:rsidRDefault="00D616A4" w:rsidP="00D616A4">
      <w:pPr>
        <w:spacing w:before="417" w:line="269" w:lineRule="exact"/>
        <w:jc w:val="center"/>
        <w:textAlignment w:val="baseline"/>
        <w:rPr>
          <w:rFonts w:ascii="Times New Roman" w:eastAsia="Times New Roman" w:hAnsi="Times New Roman"/>
          <w:color w:val="000000"/>
          <w:spacing w:val="-8"/>
          <w:sz w:val="24"/>
          <w:lang w:val="en-US" w:eastAsia="en-US"/>
        </w:rPr>
      </w:pPr>
      <w:r w:rsidRPr="00D616A4">
        <w:rPr>
          <w:rFonts w:ascii="Times New Roman" w:eastAsia="Times New Roman" w:hAnsi="Times New Roman"/>
          <w:color w:val="000000"/>
          <w:spacing w:val="-8"/>
          <w:sz w:val="24"/>
          <w:lang w:val="en-US" w:eastAsia="en-US"/>
        </w:rPr>
        <w:t>[—]</w:t>
      </w:r>
    </w:p>
    <w:p w:rsidR="00D616A4" w:rsidRPr="00D616A4" w:rsidRDefault="00D616A4" w:rsidP="00D616A4">
      <w:pPr>
        <w:jc w:val="left"/>
        <w:rPr>
          <w:rFonts w:ascii="Times New Roman" w:eastAsia="PMingLiU" w:hAnsi="Times New Roman"/>
          <w:lang w:val="en-US" w:eastAsia="en-US"/>
        </w:rPr>
        <w:sectPr w:rsidR="00D616A4" w:rsidRPr="00D616A4">
          <w:type w:val="continuous"/>
          <w:pgSz w:w="11909" w:h="16838"/>
          <w:pgMar w:top="580" w:right="1384" w:bottom="960" w:left="1125" w:header="720" w:footer="720" w:gutter="0"/>
          <w:cols w:space="720"/>
        </w:sectPr>
      </w:pPr>
    </w:p>
    <w:p w:rsidR="00484EED" w:rsidRDefault="00484EED" w:rsidP="00D616A4">
      <w:pPr>
        <w:spacing w:before="286" w:line="271" w:lineRule="exact"/>
        <w:jc w:val="center"/>
        <w:textAlignment w:val="baseline"/>
        <w:rPr>
          <w:rFonts w:ascii="Times New Roman" w:eastAsia="Times New Roman" w:hAnsi="Times New Roman"/>
          <w:b/>
          <w:color w:val="000000"/>
          <w:sz w:val="24"/>
          <w:lang w:val="en-US" w:eastAsia="en-US"/>
        </w:rPr>
      </w:pPr>
    </w:p>
    <w:p w:rsidR="00D616A4" w:rsidRPr="00D616A4" w:rsidRDefault="00D616A4" w:rsidP="00D616A4">
      <w:pPr>
        <w:spacing w:before="286" w:line="271" w:lineRule="exact"/>
        <w:jc w:val="center"/>
        <w:textAlignment w:val="baseline"/>
        <w:rPr>
          <w:rFonts w:ascii="Times New Roman" w:eastAsia="Times New Roman" w:hAnsi="Times New Roman"/>
          <w:b/>
          <w:color w:val="000000"/>
          <w:sz w:val="24"/>
          <w:lang w:val="en-US" w:eastAsia="en-US"/>
        </w:rPr>
      </w:pPr>
      <w:r w:rsidRPr="00D616A4">
        <w:rPr>
          <w:rFonts w:ascii="Times New Roman" w:eastAsia="Times New Roman" w:hAnsi="Times New Roman"/>
          <w:b/>
          <w:color w:val="000000"/>
          <w:sz w:val="24"/>
          <w:lang w:val="en-US" w:eastAsia="en-US"/>
        </w:rPr>
        <w:t>COMMISSION DELEGATED REGULATION (EU) No .../..</w:t>
      </w:r>
    </w:p>
    <w:p w:rsidR="00D616A4" w:rsidRPr="00D616A4" w:rsidRDefault="00D616A4" w:rsidP="00D616A4">
      <w:pPr>
        <w:spacing w:before="156" w:line="271" w:lineRule="exact"/>
        <w:jc w:val="center"/>
        <w:textAlignment w:val="baseline"/>
        <w:rPr>
          <w:rFonts w:ascii="Times New Roman" w:eastAsia="Times New Roman" w:hAnsi="Times New Roman"/>
          <w:b/>
          <w:color w:val="000000"/>
          <w:spacing w:val="-2"/>
          <w:sz w:val="24"/>
          <w:lang w:val="en-US" w:eastAsia="en-US"/>
        </w:rPr>
      </w:pPr>
      <w:r w:rsidRPr="00D616A4">
        <w:rPr>
          <w:rFonts w:ascii="Times New Roman" w:eastAsia="Times New Roman" w:hAnsi="Times New Roman"/>
          <w:b/>
          <w:color w:val="000000"/>
          <w:spacing w:val="-2"/>
          <w:sz w:val="24"/>
          <w:lang w:val="en-US" w:eastAsia="en-US"/>
        </w:rPr>
        <w:t>of [date]</w:t>
      </w:r>
    </w:p>
    <w:p w:rsidR="00D616A4" w:rsidRPr="00D616A4" w:rsidRDefault="00D616A4" w:rsidP="00D616A4">
      <w:pPr>
        <w:spacing w:before="125" w:line="352" w:lineRule="exact"/>
        <w:jc w:val="center"/>
        <w:textAlignment w:val="baseline"/>
        <w:rPr>
          <w:rFonts w:ascii="Times New Roman" w:eastAsia="Times New Roman" w:hAnsi="Times New Roman"/>
          <w:b/>
          <w:color w:val="000000"/>
          <w:sz w:val="28"/>
          <w:lang w:val="en-US" w:eastAsia="en-US"/>
        </w:rPr>
      </w:pPr>
      <w:r w:rsidRPr="00D616A4">
        <w:rPr>
          <w:rFonts w:ascii="Times New Roman" w:eastAsia="Times New Roman" w:hAnsi="Times New Roman"/>
          <w:b/>
          <w:color w:val="000000"/>
          <w:sz w:val="28"/>
          <w:lang w:val="en-US" w:eastAsia="en-US"/>
        </w:rPr>
        <w:t xml:space="preserve">supplementing Directive 2014/65/EU of the European Parliament and of the </w:t>
      </w:r>
      <w:r w:rsidRPr="00D616A4">
        <w:rPr>
          <w:rFonts w:ascii="Times New Roman" w:eastAsia="Times New Roman" w:hAnsi="Times New Roman"/>
          <w:b/>
          <w:color w:val="000000"/>
          <w:sz w:val="28"/>
          <w:lang w:val="en-US" w:eastAsia="en-US"/>
        </w:rPr>
        <w:br/>
        <w:t xml:space="preserve">Council on markets in financial instruments with regard to regulatory </w:t>
      </w:r>
      <w:r w:rsidRPr="00D616A4">
        <w:rPr>
          <w:rFonts w:ascii="Times New Roman" w:eastAsia="Times New Roman" w:hAnsi="Times New Roman"/>
          <w:b/>
          <w:color w:val="000000"/>
          <w:sz w:val="28"/>
          <w:lang w:val="en-US" w:eastAsia="en-US"/>
        </w:rPr>
        <w:br/>
        <w:t xml:space="preserve">technical standards on the determination of a material market in terms of </w:t>
      </w:r>
      <w:r w:rsidRPr="00D616A4">
        <w:rPr>
          <w:rFonts w:ascii="Times New Roman" w:eastAsia="Times New Roman" w:hAnsi="Times New Roman"/>
          <w:b/>
          <w:color w:val="000000"/>
          <w:sz w:val="28"/>
          <w:lang w:val="en-US" w:eastAsia="en-US"/>
        </w:rPr>
        <w:br/>
        <w:t>liquidity relating to trading halt notifications</w:t>
      </w:r>
    </w:p>
    <w:p w:rsidR="00D616A4" w:rsidRPr="00D616A4" w:rsidRDefault="00D616A4" w:rsidP="00D616A4">
      <w:pPr>
        <w:spacing w:before="158" w:line="317" w:lineRule="exact"/>
        <w:jc w:val="center"/>
        <w:textAlignment w:val="baseline"/>
        <w:rPr>
          <w:rFonts w:ascii="Times New Roman" w:eastAsia="Times New Roman" w:hAnsi="Times New Roman"/>
          <w:b/>
          <w:color w:val="000000"/>
          <w:sz w:val="28"/>
          <w:lang w:val="en-US" w:eastAsia="en-US"/>
        </w:rPr>
      </w:pPr>
      <w:r w:rsidRPr="00D616A4">
        <w:rPr>
          <w:rFonts w:ascii="Times New Roman" w:eastAsia="Times New Roman" w:hAnsi="Times New Roman"/>
          <w:b/>
          <w:color w:val="000000"/>
          <w:sz w:val="28"/>
          <w:lang w:val="en-US" w:eastAsia="en-US"/>
        </w:rPr>
        <w:t>(Text with EEA relevance)</w:t>
      </w:r>
    </w:p>
    <w:p w:rsidR="00D616A4" w:rsidRPr="00D616A4" w:rsidRDefault="00D616A4" w:rsidP="00D616A4">
      <w:pPr>
        <w:spacing w:before="833" w:line="273" w:lineRule="exact"/>
        <w:ind w:lef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THE EUROPEAN COMMISSION,</w:t>
      </w:r>
    </w:p>
    <w:p w:rsidR="00D616A4" w:rsidRPr="00D616A4" w:rsidRDefault="00D616A4" w:rsidP="00D616A4">
      <w:pPr>
        <w:spacing w:before="281" w:line="273" w:lineRule="exact"/>
        <w:ind w:lef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Having regard to the Treaty on the Functioning of the European Union,</w:t>
      </w:r>
    </w:p>
    <w:p w:rsidR="00D616A4" w:rsidRPr="00D616A4" w:rsidRDefault="00D616A4" w:rsidP="00D616A4">
      <w:pPr>
        <w:spacing w:before="252" w:line="302" w:lineRule="exact"/>
        <w:ind w:left="144" w:right="144"/>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Having regard to Directive 2014/65/EU of the European Parliament and of the Council of 15 May 2014 on markets in financial instruments and amending Directive 2002/92/EC and Directive 2011/61/EU' , and in particular Article 48(12)(e) thereof,</w:t>
      </w:r>
    </w:p>
    <w:p w:rsidR="00D616A4" w:rsidRPr="00D616A4" w:rsidRDefault="00D616A4" w:rsidP="00D616A4">
      <w:pPr>
        <w:spacing w:before="283" w:line="273" w:lineRule="exact"/>
        <w:ind w:left="144"/>
        <w:jc w:val="left"/>
        <w:textAlignment w:val="baseline"/>
        <w:rPr>
          <w:rFonts w:ascii="Times New Roman" w:eastAsia="Times New Roman" w:hAnsi="Times New Roman"/>
          <w:color w:val="000000"/>
          <w:spacing w:val="-1"/>
          <w:sz w:val="24"/>
          <w:lang w:val="en-US" w:eastAsia="en-US"/>
        </w:rPr>
      </w:pPr>
      <w:r w:rsidRPr="00D616A4">
        <w:rPr>
          <w:rFonts w:ascii="Times New Roman" w:eastAsia="Times New Roman" w:hAnsi="Times New Roman"/>
          <w:color w:val="000000"/>
          <w:spacing w:val="-1"/>
          <w:sz w:val="24"/>
          <w:lang w:val="en-US" w:eastAsia="en-US"/>
        </w:rPr>
        <w:t>Whereas:</w:t>
      </w:r>
    </w:p>
    <w:p w:rsidR="00D616A4" w:rsidRPr="00D616A4" w:rsidRDefault="00D616A4" w:rsidP="00CE401C">
      <w:pPr>
        <w:numPr>
          <w:ilvl w:val="0"/>
          <w:numId w:val="27"/>
        </w:numPr>
        <w:tabs>
          <w:tab w:val="clear" w:pos="792"/>
        </w:tabs>
        <w:spacing w:before="249" w:line="304" w:lineRule="exact"/>
        <w:ind w:left="142" w:righ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 xml:space="preserve">It is necessary to adopt regulatory technical standards to clarify which regulated </w:t>
      </w:r>
      <w:r w:rsidRPr="00D616A4">
        <w:rPr>
          <w:rFonts w:ascii="Times New Roman" w:eastAsia="Times New Roman" w:hAnsi="Times New Roman"/>
          <w:color w:val="000000"/>
          <w:sz w:val="24"/>
          <w:lang w:val="en-US" w:eastAsia="en-US"/>
        </w:rPr>
        <w:br/>
        <w:t>markets should be considered material in terms of liquidity for a specific financial instrument so that those markets have in place appropriate systems and procedures for notifying competent authorities of trading halts.</w:t>
      </w:r>
    </w:p>
    <w:p w:rsidR="00D616A4" w:rsidRPr="00D616A4" w:rsidRDefault="00D616A4" w:rsidP="00CE401C">
      <w:pPr>
        <w:numPr>
          <w:ilvl w:val="0"/>
          <w:numId w:val="27"/>
        </w:numPr>
        <w:tabs>
          <w:tab w:val="clear" w:pos="792"/>
        </w:tabs>
        <w:spacing w:before="256" w:line="302" w:lineRule="exact"/>
        <w:ind w:left="142" w:right="144"/>
        <w:jc w:val="left"/>
        <w:textAlignment w:val="baseline"/>
        <w:rPr>
          <w:rFonts w:ascii="Times New Roman" w:eastAsia="Times New Roman" w:hAnsi="Times New Roman"/>
          <w:color w:val="000000"/>
          <w:spacing w:val="-1"/>
          <w:sz w:val="24"/>
          <w:lang w:val="en-US" w:eastAsia="en-US"/>
        </w:rPr>
      </w:pPr>
      <w:r w:rsidRPr="00D616A4">
        <w:rPr>
          <w:rFonts w:ascii="Times New Roman" w:eastAsia="Times New Roman" w:hAnsi="Times New Roman"/>
          <w:color w:val="000000"/>
          <w:spacing w:val="-1"/>
          <w:sz w:val="24"/>
          <w:lang w:val="en-US" w:eastAsia="en-US"/>
        </w:rPr>
        <w:t xml:space="preserve">Directive 2014/65/EU extends the requirements relating to trading halts to multilateral </w:t>
      </w:r>
      <w:r w:rsidRPr="00D616A4">
        <w:rPr>
          <w:rFonts w:ascii="Times New Roman" w:eastAsia="Times New Roman" w:hAnsi="Times New Roman"/>
          <w:color w:val="000000"/>
          <w:spacing w:val="-1"/>
          <w:sz w:val="24"/>
          <w:lang w:val="en-US" w:eastAsia="en-US"/>
        </w:rPr>
        <w:br/>
        <w:t>trading facilities and organised trading facilities and it is therefore important to ensure that financial instruments traded on those venues are also within the scope of these regulatory technical standards.</w:t>
      </w:r>
    </w:p>
    <w:p w:rsidR="00D616A4" w:rsidRPr="00D616A4" w:rsidRDefault="00D616A4" w:rsidP="00CE401C">
      <w:pPr>
        <w:numPr>
          <w:ilvl w:val="0"/>
          <w:numId w:val="27"/>
        </w:numPr>
        <w:tabs>
          <w:tab w:val="clear" w:pos="792"/>
        </w:tabs>
        <w:spacing w:before="255" w:line="303" w:lineRule="exact"/>
        <w:ind w:left="142" w:righ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 xml:space="preserve">It is important to ensure a proportionate application of the notification requirement. </w:t>
      </w:r>
      <w:r w:rsidRPr="00D616A4">
        <w:rPr>
          <w:rFonts w:ascii="Times New Roman" w:eastAsia="Times New Roman" w:hAnsi="Times New Roman"/>
          <w:color w:val="000000"/>
          <w:sz w:val="24"/>
          <w:lang w:val="en-US" w:eastAsia="en-US"/>
        </w:rPr>
        <w:br/>
        <w:t>After being notified, competent authorities are obliged to assess whether this notification should be disseminated to the rest of the market and to coordinate, where necessary, a market-wide response. Therefore, it is necessary to limit the number of notifying venues so as to reserve this mechanism for the market with the greatest potential for market wide impact when trading is halted on that market.</w:t>
      </w:r>
    </w:p>
    <w:p w:rsidR="00D616A4" w:rsidRDefault="00D616A4" w:rsidP="00CE401C">
      <w:pPr>
        <w:numPr>
          <w:ilvl w:val="0"/>
          <w:numId w:val="27"/>
        </w:numPr>
        <w:tabs>
          <w:tab w:val="clear" w:pos="792"/>
        </w:tabs>
        <w:spacing w:before="247" w:after="379" w:line="305" w:lineRule="exact"/>
        <w:ind w:left="142" w:righ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 xml:space="preserve">For equity and equity-like financial instruments, the material market in terms of </w:t>
      </w:r>
      <w:r w:rsidRPr="00D616A4">
        <w:rPr>
          <w:rFonts w:ascii="Times New Roman" w:eastAsia="Times New Roman" w:hAnsi="Times New Roman"/>
          <w:color w:val="000000"/>
          <w:sz w:val="24"/>
          <w:lang w:val="en-US" w:eastAsia="en-US"/>
        </w:rPr>
        <w:br/>
        <w:t>liquidity should be the trading venue with the highest turnover in the Union in the financial instrument concerned since this venue has the greatest scope for causing</w:t>
      </w:r>
    </w:p>
    <w:p w:rsidR="00CE401C" w:rsidRPr="00D616A4" w:rsidRDefault="00CE401C" w:rsidP="00CE401C">
      <w:pPr>
        <w:spacing w:before="247" w:after="379" w:line="305" w:lineRule="exact"/>
        <w:ind w:left="142" w:right="144"/>
        <w:jc w:val="left"/>
        <w:textAlignment w:val="baseline"/>
        <w:rPr>
          <w:rFonts w:ascii="Times New Roman" w:eastAsia="Times New Roman" w:hAnsi="Times New Roman"/>
          <w:color w:val="000000"/>
          <w:sz w:val="24"/>
          <w:lang w:val="en-US" w:eastAsia="en-US"/>
        </w:rPr>
      </w:pPr>
    </w:p>
    <w:p w:rsidR="00D616A4" w:rsidRPr="00D616A4" w:rsidRDefault="00D616A4" w:rsidP="00D616A4">
      <w:pPr>
        <w:spacing w:before="270" w:line="229" w:lineRule="exact"/>
        <w:ind w:left="144"/>
        <w:jc w:val="left"/>
        <w:textAlignment w:val="baseline"/>
        <w:rPr>
          <w:rFonts w:ascii="Bookman Old Style" w:eastAsia="Bookman Old Style" w:hAnsi="Bookman Old Style"/>
          <w:color w:val="000000"/>
          <w:spacing w:val="-5"/>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2336"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" strokeweight=".95pt">
                <w10:wrap anchorx="page" anchory="page"/>
              </v:line>
            </w:pict>
          </mc:Fallback>
        </mc:AlternateContent>
      </w:r>
      <w:r w:rsidRPr="00D616A4">
        <w:rPr>
          <w:rFonts w:ascii="Bookman Old Style" w:eastAsia="Bookman Old Style" w:hAnsi="Bookman Old Style"/>
          <w:color w:val="000000"/>
          <w:spacing w:val="-5"/>
          <w:sz w:val="13"/>
          <w:vertAlign w:val="superscript"/>
          <w:lang w:val="en-US" w:eastAsia="en-US"/>
        </w:rPr>
        <w:t>1</w:t>
      </w:r>
      <w:r w:rsidRPr="00D616A4">
        <w:rPr>
          <w:rFonts w:ascii="Times New Roman" w:eastAsia="Times New Roman" w:hAnsi="Times New Roman"/>
          <w:color w:val="000000"/>
          <w:spacing w:val="-5"/>
          <w:sz w:val="21"/>
          <w:lang w:val="en-US" w:eastAsia="en-US"/>
        </w:rPr>
        <w:t xml:space="preserve"> OJ L 173, 12.06.2014, p. 349.</w:t>
      </w:r>
    </w:p>
    <w:p w:rsidR="00D616A4" w:rsidRPr="00D616A4" w:rsidRDefault="00D616A4" w:rsidP="00D616A4">
      <w:pPr>
        <w:jc w:val="left"/>
        <w:rPr>
          <w:rFonts w:ascii="Times New Roman" w:eastAsia="PMingLiU" w:hAnsi="Times New Roman"/>
          <w:lang w:val="en-US" w:eastAsia="en-US"/>
        </w:rPr>
        <w:sectPr w:rsidR="00D616A4" w:rsidRPr="00D616A4">
          <w:pgSz w:w="11909" w:h="16838"/>
          <w:pgMar w:top="500" w:right="1242" w:bottom="960" w:left="1267" w:header="720" w:footer="720" w:gutter="0"/>
          <w:cols w:space="720"/>
        </w:sectPr>
      </w:pPr>
    </w:p>
    <w:p w:rsidR="00D616A4" w:rsidRPr="00D616A4" w:rsidRDefault="00D616A4" w:rsidP="00D616A4">
      <w:pPr>
        <w:spacing w:before="1" w:after="318"/>
        <w:ind w:left="159" w:right="8353"/>
        <w:jc w:val="left"/>
        <w:textAlignment w:val="baseline"/>
        <w:rPr>
          <w:rFonts w:ascii="Times New Roman" w:eastAsia="PMingLiU" w:hAnsi="Times New Roman"/>
          <w:lang w:val="en-US" w:eastAsia="en-US"/>
        </w:rPr>
      </w:pPr>
      <w:r w:rsidRPr="00D616A4">
        <w:rPr>
          <w:rFonts w:ascii="Times New Roman" w:eastAsia="PMingLiU" w:hAnsi="Times New Roman"/>
          <w:noProof/>
        </w:rPr>
        <w:lastRenderedPageBreak/>
        <w:drawing>
          <wp:inline distT="0" distB="0" distL="0" distR="0" wp14:anchorId="0BC692A8" wp14:editId="5BF4FBE4">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166"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D616A4" w:rsidRPr="00D616A4" w:rsidRDefault="00D616A4" w:rsidP="00D616A4">
      <w:pPr>
        <w:spacing w:line="292"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69504" behindDoc="0" locked="0" layoutInCell="1" allowOverlap="1" wp14:anchorId="1961259F" wp14:editId="3EED0773">
                <wp:simplePos x="0" y="0"/>
                <wp:positionH relativeFrom="page">
                  <wp:posOffset>857885</wp:posOffset>
                </wp:positionH>
                <wp:positionV relativeFrom="page">
                  <wp:posOffset>9831070</wp:posOffset>
                </wp:positionV>
                <wp:extent cx="506730" cy="342900"/>
                <wp:effectExtent l="635" t="127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A4" w:rsidRDefault="00D616A4" w:rsidP="00D616A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67.55pt;margin-top:774.1pt;width:39.9pt;height:27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B7sgIAALE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jZ4ge7ICAACx&#10;BQAADgAAAAAAAAAAAAAAAAAuAgAAZHJzL2Uyb0RvYy54bWxQSwECLQAUAAYACAAAACEAPpXU6OIA&#10;AAANAQAADwAAAAAAAAAAAAAAAAAMBQAAZHJzL2Rvd25yZXYueG1sUEsFBgAAAAAEAAQA8wAAABsG&#10;AAAAAA==&#10;" filled="f" stroked="f">
                <v:textbox inset="0,0,0,0">
                  <w:txbxContent>
                    <w:p w:rsidR="00D616A4" w:rsidRDefault="00D616A4" w:rsidP="00D616A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0528" behindDoc="0" locked="0" layoutInCell="1" allowOverlap="1" wp14:anchorId="26439395" wp14:editId="09817594">
                <wp:simplePos x="0" y="0"/>
                <wp:positionH relativeFrom="page">
                  <wp:posOffset>3609975</wp:posOffset>
                </wp:positionH>
                <wp:positionV relativeFrom="page">
                  <wp:posOffset>9965055</wp:posOffset>
                </wp:positionV>
                <wp:extent cx="330200" cy="172720"/>
                <wp:effectExtent l="0" t="1905" r="317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A4" w:rsidRDefault="00D616A4" w:rsidP="00D616A4">
                            <w:pPr>
                              <w:spacing w:line="262" w:lineRule="exact"/>
                              <w:textAlignment w:val="baseline"/>
                              <w:rPr>
                                <w:rFonts w:eastAsia="Times New Roman"/>
                                <w:color w:val="000000"/>
                                <w:spacing w:val="11"/>
                                <w:sz w:val="24"/>
                              </w:rPr>
                            </w:pPr>
                            <w:r>
                              <w:rPr>
                                <w:rFonts w:eastAsia="Times New Roman"/>
                                <w:color w:val="000000"/>
                                <w:spacing w:val="11"/>
                                <w:sz w:val="24"/>
                              </w:rPr>
                              <w:t>311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284.25pt;margin-top:784.65pt;width:26pt;height:13.6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UesgIAALE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" filled="f" stroked="f">
                <v:textbox inset="0,0,0,0">
                  <w:txbxContent>
                    <w:p w:rsidR="00D616A4" w:rsidRDefault="00D616A4" w:rsidP="00D616A4">
                      <w:pPr>
                        <w:spacing w:line="262" w:lineRule="exact"/>
                        <w:textAlignment w:val="baseline"/>
                        <w:rPr>
                          <w:rFonts w:eastAsia="Times New Roman"/>
                          <w:color w:val="000000"/>
                          <w:spacing w:val="11"/>
                          <w:sz w:val="24"/>
                        </w:rPr>
                      </w:pPr>
                      <w:r>
                        <w:rPr>
                          <w:rFonts w:eastAsia="Times New Roman"/>
                          <w:color w:val="000000"/>
                          <w:spacing w:val="11"/>
                          <w:sz w:val="24"/>
                        </w:rPr>
                        <w:t>311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1552" behindDoc="0" locked="0" layoutInCell="1" allowOverlap="1" wp14:anchorId="468855F4" wp14:editId="77564B67">
                <wp:simplePos x="0" y="0"/>
                <wp:positionH relativeFrom="page">
                  <wp:posOffset>6194425</wp:posOffset>
                </wp:positionH>
                <wp:positionV relativeFrom="page">
                  <wp:posOffset>9831070</wp:posOffset>
                </wp:positionV>
                <wp:extent cx="506730" cy="342900"/>
                <wp:effectExtent l="3175" t="1270" r="4445"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A4" w:rsidRDefault="00D616A4" w:rsidP="00D616A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487.75pt;margin-top:774.1pt;width:39.9pt;height:27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GfsA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" filled="f" stroked="f">
                <v:textbox inset="0,0,0,0">
                  <w:txbxContent>
                    <w:p w:rsidR="00D616A4" w:rsidRDefault="00D616A4" w:rsidP="00D616A4">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3360" behindDoc="0" locked="0" layoutInCell="1" allowOverlap="1" wp14:anchorId="44979F7C" wp14:editId="07CE35A3">
                <wp:simplePos x="0" y="0"/>
                <wp:positionH relativeFrom="page">
                  <wp:posOffset>1591310</wp:posOffset>
                </wp:positionH>
                <wp:positionV relativeFrom="page">
                  <wp:posOffset>460375</wp:posOffset>
                </wp:positionV>
                <wp:extent cx="0" cy="561340"/>
                <wp:effectExtent l="10160" t="12700" r="8890"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" strokecolor="#283583" strokeweight=".95pt">
                <w10:wrap anchorx="page" anchory="page"/>
              </v:line>
            </w:pict>
          </mc:Fallback>
        </mc:AlternateContent>
      </w:r>
      <w:r w:rsidRPr="00D616A4">
        <w:rPr>
          <w:rFonts w:ascii="Times New Roman" w:eastAsia="Times New Roman" w:hAnsi="Times New Roman"/>
          <w:color w:val="000000"/>
          <w:sz w:val="24"/>
          <w:lang w:val="en-US" w:eastAsia="en-US"/>
        </w:rPr>
        <w:t>market wide impact when halting trading. This is specified as the most relevant market in terms of liquidity for the purposes of the reference price waiver and that specification should therefore be incorporated into this Regulation.</w:t>
      </w:r>
    </w:p>
    <w:p w:rsidR="00D616A4" w:rsidRPr="00D616A4" w:rsidRDefault="00D616A4" w:rsidP="00484EED">
      <w:pPr>
        <w:numPr>
          <w:ilvl w:val="0"/>
          <w:numId w:val="28"/>
        </w:numPr>
        <w:tabs>
          <w:tab w:val="clear" w:pos="720"/>
        </w:tabs>
        <w:spacing w:before="256" w:line="303" w:lineRule="exact"/>
        <w:ind w:left="0" w:righ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 xml:space="preserve">For non-equity financial instruments, the material market in terms of liquidity should </w:t>
      </w:r>
      <w:r w:rsidRPr="00D616A4">
        <w:rPr>
          <w:rFonts w:ascii="Times New Roman" w:eastAsia="Times New Roman" w:hAnsi="Times New Roman"/>
          <w:color w:val="000000"/>
          <w:sz w:val="24"/>
          <w:lang w:val="en-US" w:eastAsia="en-US"/>
        </w:rPr>
        <w:br/>
        <w:t>be the regulated market where the financial instrument concerned was first admitted to trading or, if it is not admitted to trading on a regulated market, it should be the trading venue where it was first traded. This ensures certainty for a range of complex financial instruments by establishing a simple reference point to the trading venue on which events have important liquidity impacts on other markets trading the same financial instrument, typically due to the significant share in terms of the volumes executed in that instrument on that venue.</w:t>
      </w:r>
    </w:p>
    <w:p w:rsidR="00D616A4" w:rsidRPr="00D616A4" w:rsidRDefault="00D616A4" w:rsidP="00484EED">
      <w:pPr>
        <w:numPr>
          <w:ilvl w:val="0"/>
          <w:numId w:val="28"/>
        </w:numPr>
        <w:tabs>
          <w:tab w:val="clear" w:pos="720"/>
        </w:tabs>
        <w:spacing w:before="251" w:line="304" w:lineRule="exact"/>
        <w:ind w:left="0" w:righ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 xml:space="preserve">The new legislation of the European Parliament and of the Council on markets in </w:t>
      </w:r>
      <w:r w:rsidRPr="00D616A4">
        <w:rPr>
          <w:rFonts w:ascii="Times New Roman" w:eastAsia="Times New Roman" w:hAnsi="Times New Roman"/>
          <w:color w:val="000000"/>
          <w:sz w:val="24"/>
          <w:lang w:val="en-US" w:eastAsia="en-US"/>
        </w:rPr>
        <w:br/>
        <w:t>financial instruments set out in Directive 2014/65/EU and Regulation (EU) No 600/2014 of the European Parliament and of the Council</w:t>
      </w:r>
      <w:r w:rsidRPr="00D616A4">
        <w:rPr>
          <w:rFonts w:ascii="Times New Roman" w:eastAsia="Times New Roman" w:hAnsi="Times New Roman"/>
          <w:color w:val="000000"/>
          <w:sz w:val="24"/>
          <w:vertAlign w:val="superscript"/>
          <w:lang w:val="en-US" w:eastAsia="en-US"/>
        </w:rPr>
        <w:t>2</w:t>
      </w:r>
      <w:r w:rsidRPr="00D616A4">
        <w:rPr>
          <w:rFonts w:ascii="Times New Roman" w:eastAsia="Times New Roman" w:hAnsi="Times New Roman"/>
          <w:color w:val="000000"/>
          <w:sz w:val="24"/>
          <w:lang w:val="en-US" w:eastAsia="en-US"/>
        </w:rPr>
        <w:t xml:space="preserve"> applies from 3 January 2017. To ensure consistency and legal certainty, this Regulation should apply from the same date.</w:t>
      </w:r>
    </w:p>
    <w:p w:rsidR="00D616A4" w:rsidRPr="00D616A4" w:rsidRDefault="00D616A4" w:rsidP="00484EED">
      <w:pPr>
        <w:numPr>
          <w:ilvl w:val="0"/>
          <w:numId w:val="28"/>
        </w:numPr>
        <w:tabs>
          <w:tab w:val="clear" w:pos="720"/>
        </w:tabs>
        <w:spacing w:before="247" w:line="303" w:lineRule="exact"/>
        <w:ind w:left="0" w:righ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 xml:space="preserve">This Regulation is based on the draft regulatory technical standards submitted by the </w:t>
      </w:r>
      <w:r w:rsidRPr="00D616A4">
        <w:rPr>
          <w:rFonts w:ascii="Times New Roman" w:eastAsia="Times New Roman" w:hAnsi="Times New Roman"/>
          <w:color w:val="000000"/>
          <w:sz w:val="24"/>
          <w:lang w:val="en-US" w:eastAsia="en-US"/>
        </w:rPr>
        <w:br/>
        <w:t>European Securities and Markets Authority (ESMA) to the Commission.</w:t>
      </w:r>
    </w:p>
    <w:p w:rsidR="00D616A4" w:rsidRPr="00D616A4" w:rsidRDefault="00D616A4" w:rsidP="00484EED">
      <w:pPr>
        <w:numPr>
          <w:ilvl w:val="0"/>
          <w:numId w:val="28"/>
        </w:numPr>
        <w:tabs>
          <w:tab w:val="clear" w:pos="720"/>
        </w:tabs>
        <w:spacing w:before="259" w:line="302" w:lineRule="exact"/>
        <w:ind w:left="0" w:righ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 xml:space="preserve">ESMA has conducted open public consultations on the draft regulatory technical </w:t>
      </w:r>
      <w:r w:rsidRPr="00D616A4">
        <w:rPr>
          <w:rFonts w:ascii="Times New Roman" w:eastAsia="Times New Roman" w:hAnsi="Times New Roman"/>
          <w:color w:val="000000"/>
          <w:sz w:val="24"/>
          <w:lang w:val="en-US" w:eastAsia="en-US"/>
        </w:rPr>
        <w:br/>
        <w:t>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D616A4">
        <w:rPr>
          <w:rFonts w:ascii="Times New Roman" w:eastAsia="Times New Roman" w:hAnsi="Times New Roman"/>
          <w:color w:val="000000"/>
          <w:sz w:val="24"/>
          <w:vertAlign w:val="superscript"/>
          <w:lang w:val="en-US" w:eastAsia="en-US"/>
        </w:rPr>
        <w:t>3</w:t>
      </w:r>
      <w:r w:rsidRPr="00D616A4">
        <w:rPr>
          <w:rFonts w:ascii="Times New Roman" w:eastAsia="Times New Roman" w:hAnsi="Times New Roman"/>
          <w:color w:val="000000"/>
          <w:sz w:val="24"/>
          <w:lang w:val="en-US" w:eastAsia="en-US"/>
        </w:rPr>
        <w:t>,</w:t>
      </w:r>
    </w:p>
    <w:p w:rsidR="00D616A4" w:rsidRPr="00D616A4" w:rsidRDefault="00D616A4" w:rsidP="00D616A4">
      <w:pPr>
        <w:spacing w:before="277" w:line="274" w:lineRule="exact"/>
        <w:ind w:lef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HAS ADOPTED THIS REGULATION:</w:t>
      </w:r>
    </w:p>
    <w:p w:rsidR="00CE401C" w:rsidRDefault="00CE401C" w:rsidP="00066139">
      <w:pPr>
        <w:spacing w:before="271" w:after="823" w:line="274" w:lineRule="exact"/>
        <w:ind w:left="144"/>
        <w:jc w:val="left"/>
        <w:textAlignment w:val="baseline"/>
        <w:rPr>
          <w:rFonts w:ascii="Times New Roman" w:eastAsia="Times New Roman" w:hAnsi="Times New Roman"/>
          <w:color w:val="000000"/>
          <w:sz w:val="13"/>
          <w:vertAlign w:val="superscript"/>
          <w:lang w:val="en-US" w:eastAsia="en-US"/>
        </w:rPr>
      </w:pPr>
    </w:p>
    <w:p w:rsidR="00CE401C" w:rsidRDefault="00CE401C" w:rsidP="00066139">
      <w:pPr>
        <w:spacing w:before="271" w:after="823" w:line="274" w:lineRule="exact"/>
        <w:ind w:left="144"/>
        <w:jc w:val="left"/>
        <w:textAlignment w:val="baseline"/>
        <w:rPr>
          <w:rFonts w:ascii="Times New Roman" w:eastAsia="Times New Roman" w:hAnsi="Times New Roman"/>
          <w:color w:val="000000"/>
          <w:sz w:val="13"/>
          <w:vertAlign w:val="superscript"/>
          <w:lang w:val="en-US" w:eastAsia="en-US"/>
        </w:rPr>
      </w:pPr>
    </w:p>
    <w:p w:rsidR="00CE401C" w:rsidRDefault="00CE401C" w:rsidP="00066139">
      <w:pPr>
        <w:spacing w:before="271" w:after="823" w:line="274" w:lineRule="exact"/>
        <w:ind w:left="144"/>
        <w:jc w:val="left"/>
        <w:textAlignment w:val="baseline"/>
        <w:rPr>
          <w:rFonts w:ascii="Times New Roman" w:eastAsia="Times New Roman" w:hAnsi="Times New Roman"/>
          <w:color w:val="000000"/>
          <w:sz w:val="13"/>
          <w:vertAlign w:val="superscript"/>
          <w:lang w:val="en-US" w:eastAsia="en-US"/>
        </w:rPr>
      </w:pPr>
    </w:p>
    <w:p w:rsidR="00D616A4" w:rsidRPr="00D616A4" w:rsidRDefault="00D616A4" w:rsidP="00066139">
      <w:pPr>
        <w:spacing w:before="271" w:after="823" w:line="274" w:lineRule="exact"/>
        <w:ind w:left="144"/>
        <w:jc w:val="left"/>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4384" behindDoc="0" locked="0" layoutInCell="1" allowOverlap="1" wp14:anchorId="32574886" wp14:editId="59861744">
                <wp:simplePos x="0" y="0"/>
                <wp:positionH relativeFrom="page">
                  <wp:posOffset>899160</wp:posOffset>
                </wp:positionH>
                <wp:positionV relativeFrom="page">
                  <wp:posOffset>8649970</wp:posOffset>
                </wp:positionV>
                <wp:extent cx="1832610" cy="0"/>
                <wp:effectExtent l="13335" t="10795" r="11430"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81.1pt" to="215.1pt,6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" strokeweight=".7pt">
                <w10:wrap anchorx="page" anchory="page"/>
              </v:line>
            </w:pict>
          </mc:Fallback>
        </mc:AlternateContent>
      </w:r>
      <w:r w:rsidRPr="00D616A4">
        <w:rPr>
          <w:rFonts w:ascii="Times New Roman" w:eastAsia="Times New Roman" w:hAnsi="Times New Roman"/>
          <w:color w:val="000000"/>
          <w:sz w:val="13"/>
          <w:vertAlign w:val="superscript"/>
          <w:lang w:val="en-US" w:eastAsia="en-US"/>
        </w:rPr>
        <w:t>2</w:t>
      </w:r>
      <w:r w:rsidRPr="00D616A4">
        <w:rPr>
          <w:rFonts w:ascii="Times New Roman" w:eastAsia="Times New Roman" w:hAnsi="Times New Roman"/>
          <w:color w:val="000000"/>
          <w:sz w:val="20"/>
          <w:lang w:val="en-US" w:eastAsia="en-US"/>
        </w:rPr>
        <w:t xml:space="preserve"> Regulation (EU) No 600/2014 of the European Parliament and of the Council of 15 May 2014 on markets in financial instruments and amending Regulation (EU) No 648/2012 (OJ L 173, 12.6.2014, p. 84)</w:t>
      </w:r>
    </w:p>
    <w:p w:rsidR="00D616A4" w:rsidRPr="00D616A4" w:rsidRDefault="00D616A4" w:rsidP="00D616A4">
      <w:pPr>
        <w:spacing w:before="11" w:line="228" w:lineRule="exact"/>
        <w:ind w:left="144" w:right="144"/>
        <w:textAlignment w:val="baseline"/>
        <w:rPr>
          <w:rFonts w:ascii="Times New Roman" w:eastAsia="Times New Roman" w:hAnsi="Times New Roman"/>
          <w:color w:val="000000"/>
          <w:sz w:val="13"/>
          <w:vertAlign w:val="superscript"/>
          <w:lang w:val="en-US" w:eastAsia="en-US"/>
        </w:rPr>
      </w:pPr>
      <w:r w:rsidRPr="00D616A4">
        <w:rPr>
          <w:rFonts w:ascii="Times New Roman" w:eastAsia="Times New Roman" w:hAnsi="Times New Roman"/>
          <w:color w:val="000000"/>
          <w:sz w:val="13"/>
          <w:vertAlign w:val="superscript"/>
          <w:lang w:val="en-US" w:eastAsia="en-US"/>
        </w:rPr>
        <w:t>3</w:t>
      </w:r>
      <w:r w:rsidRPr="00D616A4">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D616A4" w:rsidRDefault="00D616A4" w:rsidP="00D616A4">
      <w:pPr>
        <w:jc w:val="left"/>
        <w:rPr>
          <w:rFonts w:ascii="Times New Roman" w:eastAsia="PMingLiU" w:hAnsi="Times New Roman"/>
          <w:lang w:val="en-US" w:eastAsia="en-US"/>
        </w:rPr>
      </w:pPr>
    </w:p>
    <w:p w:rsidR="00066139" w:rsidRDefault="00066139" w:rsidP="00D616A4">
      <w:pPr>
        <w:jc w:val="left"/>
        <w:rPr>
          <w:rFonts w:ascii="Times New Roman" w:eastAsia="PMingLiU" w:hAnsi="Times New Roman"/>
          <w:lang w:val="en-US" w:eastAsia="en-US"/>
        </w:rPr>
      </w:pPr>
    </w:p>
    <w:p w:rsidR="00CE401C" w:rsidRPr="00D616A4" w:rsidRDefault="00CE401C" w:rsidP="00CE401C">
      <w:pPr>
        <w:spacing w:before="710" w:line="278" w:lineRule="exact"/>
        <w:jc w:val="center"/>
        <w:textAlignment w:val="baseline"/>
        <w:rPr>
          <w:rFonts w:ascii="Times New Roman" w:eastAsia="Times New Roman" w:hAnsi="Times New Roman"/>
          <w:i/>
          <w:color w:val="000000"/>
          <w:sz w:val="24"/>
          <w:lang w:val="en-US" w:eastAsia="en-US"/>
        </w:rPr>
      </w:pPr>
      <w:r w:rsidRPr="00D616A4">
        <w:rPr>
          <w:rFonts w:ascii="Times New Roman" w:eastAsia="Times New Roman" w:hAnsi="Times New Roman"/>
          <w:i/>
          <w:color w:val="000000"/>
          <w:sz w:val="24"/>
          <w:lang w:val="en-US" w:eastAsia="en-US"/>
        </w:rPr>
        <w:t>Article 1</w:t>
      </w:r>
    </w:p>
    <w:p w:rsidR="00CE401C" w:rsidRPr="00D616A4" w:rsidRDefault="00CE401C" w:rsidP="00CE401C">
      <w:pPr>
        <w:spacing w:line="422" w:lineRule="exact"/>
        <w:jc w:val="center"/>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 xml:space="preserve">(Article 48(5) of Directive 2014/65/EU) </w:t>
      </w:r>
      <w:r w:rsidRPr="00D616A4">
        <w:rPr>
          <w:rFonts w:ascii="Times New Roman" w:eastAsia="Times New Roman" w:hAnsi="Times New Roman"/>
          <w:color w:val="000000"/>
          <w:sz w:val="24"/>
          <w:lang w:val="en-US" w:eastAsia="en-US"/>
        </w:rPr>
        <w:br/>
      </w:r>
      <w:r w:rsidRPr="00D616A4">
        <w:rPr>
          <w:rFonts w:ascii="Times New Roman" w:eastAsia="Times New Roman" w:hAnsi="Times New Roman"/>
          <w:b/>
          <w:color w:val="000000"/>
          <w:sz w:val="24"/>
          <w:lang w:val="en-US" w:eastAsia="en-US"/>
        </w:rPr>
        <w:t>Material market in terms of liquidity</w:t>
      </w:r>
    </w:p>
    <w:p w:rsidR="00CE401C" w:rsidRDefault="00CE401C" w:rsidP="00CE401C">
      <w:pPr>
        <w:spacing w:before="271" w:after="823" w:line="274" w:lineRule="exact"/>
        <w:ind w:lef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A material market in terms of liquidity shall be:</w:t>
      </w:r>
    </w:p>
    <w:p w:rsidR="00066139" w:rsidRPr="00D616A4" w:rsidRDefault="00066139" w:rsidP="00066139">
      <w:pPr>
        <w:numPr>
          <w:ilvl w:val="0"/>
          <w:numId w:val="29"/>
        </w:numPr>
        <w:tabs>
          <w:tab w:val="left" w:pos="792"/>
        </w:tabs>
        <w:spacing w:before="567" w:line="302" w:lineRule="exact"/>
        <w:ind w:left="648" w:righ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in respect of a share, depositary receipt, exchange-traded fund, certificate or other similar financial instrument, the trading venue which is the most relevant market in terms of liquidity for that instrument as set out in Article 4 of Commission Delegated Regulation (EU) No [xxxx/xxxx] [RTS on transparency requirements in respect of shares, depositary receipts, exchange-traded funds, certificates and other similar financial instruments and</w:t>
      </w:r>
      <w:bookmarkStart w:id="0" w:name="_GoBack"/>
      <w:bookmarkEnd w:id="0"/>
      <w:r w:rsidRPr="00D616A4">
        <w:rPr>
          <w:rFonts w:ascii="Times New Roman" w:eastAsia="Times New Roman" w:hAnsi="Times New Roman"/>
          <w:color w:val="000000"/>
          <w:sz w:val="24"/>
          <w:lang w:val="en-US" w:eastAsia="en-US"/>
        </w:rPr>
        <w:t xml:space="preserve"> on the trading obligation for firms],</w:t>
      </w:r>
    </w:p>
    <w:p w:rsidR="00066139" w:rsidRPr="00D616A4" w:rsidRDefault="00066139" w:rsidP="00066139">
      <w:pPr>
        <w:numPr>
          <w:ilvl w:val="0"/>
          <w:numId w:val="29"/>
        </w:numPr>
        <w:tabs>
          <w:tab w:val="left" w:pos="792"/>
        </w:tabs>
        <w:spacing w:before="252" w:line="304" w:lineRule="exact"/>
        <w:ind w:left="648" w:righ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 xml:space="preserve">in respect of a </w:t>
      </w:r>
      <w:r w:rsidR="00484EED">
        <w:rPr>
          <w:rFonts w:ascii="Times New Roman" w:eastAsia="Times New Roman" w:hAnsi="Times New Roman"/>
          <w:color w:val="000000"/>
          <w:sz w:val="24"/>
          <w:lang w:val="en-US" w:eastAsia="en-US"/>
        </w:rPr>
        <w:t>financial</w:t>
      </w:r>
      <w:r w:rsidRPr="00D616A4">
        <w:rPr>
          <w:rFonts w:ascii="Times New Roman" w:eastAsia="Times New Roman" w:hAnsi="Times New Roman"/>
          <w:color w:val="000000"/>
          <w:sz w:val="24"/>
          <w:lang w:val="en-US" w:eastAsia="en-US"/>
        </w:rPr>
        <w:t xml:space="preserve"> instrument other than those set out in point (a) and which is admitted to trading on a regulated market, the regulated market where that financial instrument was first admitted to trading;</w:t>
      </w:r>
    </w:p>
    <w:p w:rsidR="00066139" w:rsidRPr="00D616A4" w:rsidRDefault="00066139" w:rsidP="00066139">
      <w:pPr>
        <w:numPr>
          <w:ilvl w:val="0"/>
          <w:numId w:val="29"/>
        </w:numPr>
        <w:tabs>
          <w:tab w:val="left" w:pos="792"/>
        </w:tabs>
        <w:spacing w:before="249" w:line="304" w:lineRule="exact"/>
        <w:ind w:left="648" w:righ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 xml:space="preserve">in respect of a </w:t>
      </w:r>
      <w:r w:rsidR="00484EED">
        <w:rPr>
          <w:rFonts w:ascii="Times New Roman" w:eastAsia="Times New Roman" w:hAnsi="Times New Roman"/>
          <w:color w:val="000000"/>
          <w:sz w:val="24"/>
          <w:lang w:val="en-US" w:eastAsia="en-US"/>
        </w:rPr>
        <w:t>financial</w:t>
      </w:r>
      <w:r w:rsidRPr="00D616A4">
        <w:rPr>
          <w:rFonts w:ascii="Times New Roman" w:eastAsia="Times New Roman" w:hAnsi="Times New Roman"/>
          <w:color w:val="000000"/>
          <w:sz w:val="24"/>
          <w:lang w:val="en-US" w:eastAsia="en-US"/>
        </w:rPr>
        <w:t xml:space="preserve"> instrument other than those set out in point (a) and which is not admitted to trading on a regulated market, the trading venue where that financial instrument was first traded.</w:t>
      </w:r>
    </w:p>
    <w:p w:rsidR="00066139" w:rsidRPr="00D616A4" w:rsidRDefault="00066139" w:rsidP="00066139">
      <w:pPr>
        <w:spacing w:before="703" w:line="271" w:lineRule="exact"/>
        <w:jc w:val="center"/>
        <w:textAlignment w:val="baseline"/>
        <w:rPr>
          <w:rFonts w:ascii="Times New Roman" w:eastAsia="Times New Roman" w:hAnsi="Times New Roman"/>
          <w:i/>
          <w:color w:val="000000"/>
          <w:spacing w:val="1"/>
          <w:sz w:val="24"/>
          <w:lang w:val="en-US" w:eastAsia="en-US"/>
        </w:rPr>
      </w:pPr>
      <w:r w:rsidRPr="00D616A4">
        <w:rPr>
          <w:rFonts w:ascii="Times New Roman" w:eastAsia="Times New Roman" w:hAnsi="Times New Roman"/>
          <w:i/>
          <w:color w:val="000000"/>
          <w:spacing w:val="1"/>
          <w:sz w:val="24"/>
          <w:lang w:val="en-US" w:eastAsia="en-US"/>
        </w:rPr>
        <w:t>Article 2</w:t>
      </w:r>
    </w:p>
    <w:p w:rsidR="00066139" w:rsidRPr="00D616A4" w:rsidRDefault="00066139" w:rsidP="00066139">
      <w:pPr>
        <w:spacing w:before="158" w:line="275" w:lineRule="exact"/>
        <w:jc w:val="center"/>
        <w:textAlignment w:val="baseline"/>
        <w:rPr>
          <w:rFonts w:ascii="Times New Roman" w:eastAsia="Times New Roman" w:hAnsi="Times New Roman"/>
          <w:b/>
          <w:color w:val="000000"/>
          <w:sz w:val="24"/>
          <w:lang w:val="en-US" w:eastAsia="en-US"/>
        </w:rPr>
      </w:pPr>
      <w:r w:rsidRPr="00D616A4">
        <w:rPr>
          <w:rFonts w:ascii="Times New Roman" w:eastAsia="Times New Roman" w:hAnsi="Times New Roman"/>
          <w:b/>
          <w:color w:val="000000"/>
          <w:sz w:val="24"/>
          <w:lang w:val="en-US" w:eastAsia="en-US"/>
        </w:rPr>
        <w:t>Entry into force and application</w:t>
      </w:r>
    </w:p>
    <w:p w:rsidR="00066139" w:rsidRPr="00D616A4" w:rsidRDefault="00066139" w:rsidP="00066139">
      <w:pPr>
        <w:spacing w:before="242" w:line="303" w:lineRule="exact"/>
        <w:ind w:left="144" w:right="144"/>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066139" w:rsidRPr="00D616A4" w:rsidRDefault="00066139" w:rsidP="00066139">
      <w:pPr>
        <w:spacing w:before="278" w:line="272" w:lineRule="exact"/>
        <w:ind w:left="144"/>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It shall apply from 3 January 2017.</w:t>
      </w:r>
    </w:p>
    <w:p w:rsidR="00066139" w:rsidRPr="00D616A4" w:rsidRDefault="00066139" w:rsidP="00066139">
      <w:pPr>
        <w:spacing w:before="686" w:line="424" w:lineRule="exact"/>
        <w:ind w:left="144" w:right="432"/>
        <w:jc w:val="left"/>
        <w:textAlignment w:val="baseline"/>
        <w:rPr>
          <w:rFonts w:ascii="Times New Roman" w:eastAsia="Times New Roman" w:hAnsi="Times New Roman"/>
          <w:color w:val="000000"/>
          <w:sz w:val="24"/>
          <w:lang w:val="en-US" w:eastAsia="en-US"/>
        </w:rPr>
      </w:pPr>
      <w:r w:rsidRPr="00D616A4">
        <w:rPr>
          <w:rFonts w:ascii="Times New Roman" w:eastAsia="Times New Roman" w:hAnsi="Times New Roman"/>
          <w:color w:val="000000"/>
          <w:sz w:val="24"/>
          <w:lang w:val="en-US" w:eastAsia="en-US"/>
        </w:rPr>
        <w:t>This Regulation shall be binding in its entirety and directly applicable in all Member States. Done at Brussels,</w:t>
      </w:r>
    </w:p>
    <w:p w:rsidR="00066139" w:rsidRPr="00D616A4" w:rsidRDefault="00066139" w:rsidP="00066139">
      <w:pPr>
        <w:spacing w:before="716" w:line="277" w:lineRule="exact"/>
        <w:ind w:left="4392" w:right="3024"/>
        <w:jc w:val="left"/>
        <w:textAlignment w:val="baseline"/>
        <w:rPr>
          <w:rFonts w:ascii="Times New Roman" w:eastAsia="Times New Roman" w:hAnsi="Times New Roman"/>
          <w:i/>
          <w:color w:val="000000"/>
          <w:sz w:val="24"/>
          <w:lang w:val="en-US" w:eastAsia="en-US"/>
        </w:rPr>
      </w:pPr>
      <w:r w:rsidRPr="00D616A4">
        <w:rPr>
          <w:rFonts w:ascii="Times New Roman" w:eastAsia="Times New Roman" w:hAnsi="Times New Roman"/>
          <w:i/>
          <w:color w:val="000000"/>
          <w:sz w:val="24"/>
          <w:lang w:val="en-US" w:eastAsia="en-US"/>
        </w:rPr>
        <w:t>For the Commission The President</w:t>
      </w:r>
    </w:p>
    <w:p w:rsidR="00066139" w:rsidRPr="00D616A4" w:rsidRDefault="00066139" w:rsidP="00066139">
      <w:pPr>
        <w:spacing w:before="1003" w:line="271" w:lineRule="exact"/>
        <w:ind w:left="4392"/>
        <w:jc w:val="left"/>
        <w:textAlignment w:val="baseline"/>
        <w:rPr>
          <w:rFonts w:ascii="Times New Roman" w:eastAsia="Times New Roman" w:hAnsi="Times New Roman"/>
          <w:i/>
          <w:color w:val="000000"/>
          <w:sz w:val="24"/>
          <w:lang w:val="en-US" w:eastAsia="en-US"/>
        </w:rPr>
      </w:pPr>
      <w:r w:rsidRPr="00D616A4">
        <w:rPr>
          <w:rFonts w:ascii="Times New Roman" w:eastAsia="Times New Roman" w:hAnsi="Times New Roman"/>
          <w:i/>
          <w:color w:val="000000"/>
          <w:sz w:val="24"/>
          <w:lang w:val="en-US" w:eastAsia="en-US"/>
        </w:rPr>
        <w:t>[For the Commission</w:t>
      </w:r>
    </w:p>
    <w:p w:rsidR="00066139" w:rsidRPr="00D616A4" w:rsidRDefault="00066139" w:rsidP="00066139">
      <w:pPr>
        <w:spacing w:before="2" w:line="271" w:lineRule="exact"/>
        <w:ind w:left="4392"/>
        <w:jc w:val="left"/>
        <w:textAlignment w:val="baseline"/>
        <w:rPr>
          <w:rFonts w:ascii="Times New Roman" w:eastAsia="Times New Roman" w:hAnsi="Times New Roman"/>
          <w:i/>
          <w:color w:val="000000"/>
          <w:sz w:val="24"/>
          <w:lang w:val="en-US" w:eastAsia="en-US"/>
        </w:rPr>
      </w:pPr>
      <w:r w:rsidRPr="00D616A4">
        <w:rPr>
          <w:rFonts w:ascii="Times New Roman" w:eastAsia="Times New Roman" w:hAnsi="Times New Roman"/>
          <w:i/>
          <w:color w:val="000000"/>
          <w:sz w:val="24"/>
          <w:lang w:val="en-US" w:eastAsia="en-US"/>
        </w:rPr>
        <w:t>On behalf of the President</w:t>
      </w:r>
    </w:p>
    <w:sectPr w:rsidR="00066139" w:rsidRPr="00D616A4" w:rsidSect="00484EED">
      <w:headerReference w:type="even" r:id="rId11"/>
      <w:headerReference w:type="default" r:id="rId12"/>
      <w:footerReference w:type="even" r:id="rId13"/>
      <w:footerReference w:type="default" r:id="rId14"/>
      <w:headerReference w:type="first" r:id="rId15"/>
      <w:footerReference w:type="first" r:id="rId16"/>
      <w:pgSz w:w="11909" w:h="16838"/>
      <w:pgMar w:top="580" w:right="1242" w:bottom="960" w:left="12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1DD" w:rsidRDefault="00D711DD" w:rsidP="002145F3">
      <w:r>
        <w:separator/>
      </w:r>
    </w:p>
  </w:endnote>
  <w:endnote w:type="continuationSeparator" w:id="0">
    <w:p w:rsidR="00D711DD" w:rsidRDefault="00D711DD"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29" w:rsidRDefault="00446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CE401C" w:rsidP="002172F2">
    <w:pPr>
      <w:pStyle w:val="Footer"/>
      <w:tabs>
        <w:tab w:val="right" w:pos="9540"/>
      </w:tabs>
      <w:rPr>
        <w:sz w:val="20"/>
      </w:rPr>
    </w:pPr>
    <w:bookmarkStart w:id="1" w:name="bmkDocRefContinuation"/>
    <w:r>
      <w:t>FMFS/072735-00007/CXMS/SJWA</w:t>
    </w:r>
    <w:bookmarkEnd w:id="1"/>
    <w:r w:rsidR="002145F3" w:rsidRPr="00FA6CFE">
      <w:t xml:space="preserve">   </w:t>
    </w:r>
    <w:bookmarkStart w:id="2" w:name="bmkAssetContinuation"/>
    <w:r>
      <w:t>SJWA(LDN7W20998)</w:t>
    </w:r>
    <w:bookmarkEnd w:id="2"/>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Pr>
        <w:rStyle w:val="PageNumber"/>
        <w:noProof/>
      </w:rPr>
      <w:t>4</w:t>
    </w:r>
    <w:r w:rsidR="002145F3" w:rsidRPr="00FA6CFE">
      <w:rPr>
        <w:rStyle w:val="PageNumber"/>
      </w:rPr>
      <w:fldChar w:fldCharType="end"/>
    </w:r>
    <w:r w:rsidR="002145F3" w:rsidRPr="00FA6CFE">
      <w:tab/>
      <w:t xml:space="preserve"> </w:t>
    </w:r>
    <w:bookmarkStart w:id="3" w:name="bmkDocIDContinuation"/>
    <w:r>
      <w:t>L_LIVE_EMEA1:29431479v1</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CE401C">
    <w:pPr>
      <w:pStyle w:val="Footer"/>
      <w:tabs>
        <w:tab w:val="clear" w:pos="4763"/>
        <w:tab w:val="clear" w:pos="9497"/>
        <w:tab w:val="right" w:pos="9540"/>
        <w:tab w:val="right" w:pos="9570"/>
      </w:tabs>
    </w:pPr>
    <w:bookmarkStart w:id="4" w:name="bmkDocRef"/>
    <w:r>
      <w:t>FMFS/072735-00007/CXMS/SJWA</w:t>
    </w:r>
    <w:bookmarkEnd w:id="4"/>
    <w:r w:rsidR="002145F3" w:rsidRPr="00FA6CFE">
      <w:t xml:space="preserve">  </w:t>
    </w:r>
    <w:bookmarkStart w:id="5" w:name="bmkAsset"/>
    <w:r>
      <w:t>SJWA(LDN7W20998)</w:t>
    </w:r>
    <w:bookmarkEnd w:id="5"/>
    <w:r w:rsidR="002145F3" w:rsidRPr="00FA6CFE">
      <w:tab/>
    </w:r>
    <w:bookmarkStart w:id="6" w:name="bmkDocID"/>
    <w:r>
      <w:t>L_LIVE_EMEA1:29431479v1</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1DD" w:rsidRDefault="00D711DD" w:rsidP="002145F3">
      <w:r>
        <w:separator/>
      </w:r>
    </w:p>
  </w:footnote>
  <w:footnote w:type="continuationSeparator" w:id="0">
    <w:p w:rsidR="00D711DD" w:rsidRDefault="00D711DD"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29" w:rsidRDefault="00446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29" w:rsidRDefault="004465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29" w:rsidRDefault="00446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7270173"/>
    <w:multiLevelType w:val="multilevel"/>
    <w:tmpl w:val="71CADD9C"/>
    <w:numStyleLink w:val="AppendixNumbering"/>
  </w:abstractNum>
  <w:abstractNum w:abstractNumId="11">
    <w:nsid w:val="0A9C30C7"/>
    <w:multiLevelType w:val="multilevel"/>
    <w:tmpl w:val="F28EC3D0"/>
    <w:lvl w:ilvl="0">
      <w:start w:val="1"/>
      <w:numFmt w:val="decimal"/>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2D5649B"/>
    <w:multiLevelType w:val="multilevel"/>
    <w:tmpl w:val="E7229E7C"/>
    <w:numStyleLink w:val="ExhibitNumbering"/>
  </w:abstractNum>
  <w:abstractNum w:abstractNumId="16">
    <w:nsid w:val="34281940"/>
    <w:multiLevelType w:val="multilevel"/>
    <w:tmpl w:val="71CADD9C"/>
    <w:numStyleLink w:val="AppendixNumbering"/>
  </w:abstractNum>
  <w:abstractNum w:abstractNumId="17">
    <w:nsid w:val="355E0BB2"/>
    <w:multiLevelType w:val="multilevel"/>
    <w:tmpl w:val="54D02D98"/>
    <w:numStyleLink w:val="PartNumbering"/>
  </w:abstractNum>
  <w:abstractNum w:abstractNumId="18">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BE50B6E"/>
    <w:multiLevelType w:val="multilevel"/>
    <w:tmpl w:val="7144D7AE"/>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85586C"/>
    <w:multiLevelType w:val="multilevel"/>
    <w:tmpl w:val="E7229E7C"/>
    <w:numStyleLink w:val="ExhibitNumbering"/>
  </w:abstractNum>
  <w:abstractNum w:abstractNumId="22">
    <w:nsid w:val="4400737D"/>
    <w:multiLevelType w:val="multilevel"/>
    <w:tmpl w:val="C8D6362C"/>
    <w:numStyleLink w:val="ListHeadings"/>
  </w:abstractNum>
  <w:abstractNum w:abstractNumId="23">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D195A0C"/>
    <w:multiLevelType w:val="multilevel"/>
    <w:tmpl w:val="94B4362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8E29CB"/>
    <w:multiLevelType w:val="multilevel"/>
    <w:tmpl w:val="06E2487A"/>
    <w:numStyleLink w:val="ScheduleNumbering"/>
  </w:abstractNum>
  <w:abstractNum w:abstractNumId="26">
    <w:nsid w:val="6DC023DB"/>
    <w:multiLevelType w:val="multilevel"/>
    <w:tmpl w:val="54D02D98"/>
    <w:numStyleLink w:val="PartNumbering"/>
  </w:abstractNum>
  <w:abstractNum w:abstractNumId="27">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28">
    <w:nsid w:val="7F7618A8"/>
    <w:multiLevelType w:val="multilevel"/>
    <w:tmpl w:val="1130A0CA"/>
    <w:numStyleLink w:val="SectionNumbering"/>
  </w:abstractNum>
  <w:num w:numId="1">
    <w:abstractNumId w:val="23"/>
  </w:num>
  <w:num w:numId="2">
    <w:abstractNumId w:val="12"/>
  </w:num>
  <w:num w:numId="3">
    <w:abstractNumId w:val="14"/>
  </w:num>
  <w:num w:numId="4">
    <w:abstractNumId w:val="13"/>
  </w:num>
  <w:num w:numId="5">
    <w:abstractNumId w:val="18"/>
  </w:num>
  <w:num w:numId="6">
    <w:abstractNumId w:val="10"/>
  </w:num>
  <w:num w:numId="7">
    <w:abstractNumId w:val="21"/>
  </w:num>
  <w:num w:numId="8">
    <w:abstractNumId w:val="22"/>
  </w:num>
  <w:num w:numId="9">
    <w:abstractNumId w:val="26"/>
  </w:num>
  <w:num w:numId="10">
    <w:abstractNumId w:val="2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5"/>
  </w:num>
  <w:num w:numId="23">
    <w:abstractNumId w:val="17"/>
  </w:num>
  <w:num w:numId="24">
    <w:abstractNumId w:val="19"/>
  </w:num>
  <w:num w:numId="25">
    <w:abstractNumId w:val="28"/>
  </w:num>
  <w:num w:numId="26">
    <w:abstractNumId w:val="28"/>
  </w:num>
  <w:num w:numId="27">
    <w:abstractNumId w:val="11"/>
  </w:num>
  <w:num w:numId="28">
    <w:abstractNumId w:val="20"/>
  </w:num>
  <w:num w:numId="2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D711DD"/>
    <w:rsid w:val="0003545D"/>
    <w:rsid w:val="00044E5C"/>
    <w:rsid w:val="00066139"/>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4078CF"/>
    <w:rsid w:val="00414ED0"/>
    <w:rsid w:val="004357E6"/>
    <w:rsid w:val="00446529"/>
    <w:rsid w:val="00455A1A"/>
    <w:rsid w:val="00457E41"/>
    <w:rsid w:val="00465953"/>
    <w:rsid w:val="00484EED"/>
    <w:rsid w:val="004928A1"/>
    <w:rsid w:val="00493ADC"/>
    <w:rsid w:val="004A360E"/>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C0FC8"/>
    <w:rsid w:val="008E2CB9"/>
    <w:rsid w:val="008F46B3"/>
    <w:rsid w:val="00903624"/>
    <w:rsid w:val="00923465"/>
    <w:rsid w:val="009D4EB0"/>
    <w:rsid w:val="009F102B"/>
    <w:rsid w:val="00A74E44"/>
    <w:rsid w:val="00A87ADC"/>
    <w:rsid w:val="00B00EC2"/>
    <w:rsid w:val="00B04590"/>
    <w:rsid w:val="00B147B4"/>
    <w:rsid w:val="00B25E0D"/>
    <w:rsid w:val="00B31F8B"/>
    <w:rsid w:val="00B53B05"/>
    <w:rsid w:val="00C31756"/>
    <w:rsid w:val="00C45AC9"/>
    <w:rsid w:val="00CD2DD3"/>
    <w:rsid w:val="00CE401C"/>
    <w:rsid w:val="00D10B49"/>
    <w:rsid w:val="00D2677F"/>
    <w:rsid w:val="00D60D03"/>
    <w:rsid w:val="00D616A4"/>
    <w:rsid w:val="00D711DD"/>
    <w:rsid w:val="00D8197C"/>
    <w:rsid w:val="00D87CAA"/>
    <w:rsid w:val="00DE4ACA"/>
    <w:rsid w:val="00E147B9"/>
    <w:rsid w:val="00E23D22"/>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 w:type="paragraph" w:styleId="FootnoteText">
    <w:name w:val="footnote text"/>
    <w:basedOn w:val="Normal"/>
    <w:link w:val="FootnoteTextChar"/>
    <w:uiPriority w:val="99"/>
    <w:semiHidden/>
    <w:unhideWhenUsed/>
    <w:rsid w:val="00066139"/>
    <w:rPr>
      <w:sz w:val="20"/>
      <w:szCs w:val="20"/>
    </w:rPr>
  </w:style>
  <w:style w:type="character" w:customStyle="1" w:styleId="FootnoteTextChar">
    <w:name w:val="Footnote Text Char"/>
    <w:basedOn w:val="DefaultParagraphFont"/>
    <w:link w:val="FootnoteText"/>
    <w:uiPriority w:val="99"/>
    <w:semiHidden/>
    <w:rsid w:val="00066139"/>
    <w:rPr>
      <w:rFonts w:asciiTheme="minorHAnsi" w:eastAsia="MingLiU" w:hAnsiTheme="minorHAnsi"/>
      <w:sz w:val="20"/>
      <w:szCs w:val="20"/>
    </w:rPr>
  </w:style>
  <w:style w:type="character" w:styleId="FootnoteReference">
    <w:name w:val="footnote reference"/>
    <w:basedOn w:val="DefaultParagraphFont"/>
    <w:uiPriority w:val="99"/>
    <w:semiHidden/>
    <w:unhideWhenUsed/>
    <w:rsid w:val="000661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 w:type="paragraph" w:styleId="FootnoteText">
    <w:name w:val="footnote text"/>
    <w:basedOn w:val="Normal"/>
    <w:link w:val="FootnoteTextChar"/>
    <w:uiPriority w:val="99"/>
    <w:semiHidden/>
    <w:unhideWhenUsed/>
    <w:rsid w:val="00066139"/>
    <w:rPr>
      <w:sz w:val="20"/>
      <w:szCs w:val="20"/>
    </w:rPr>
  </w:style>
  <w:style w:type="character" w:customStyle="1" w:styleId="FootnoteTextChar">
    <w:name w:val="Footnote Text Char"/>
    <w:basedOn w:val="DefaultParagraphFont"/>
    <w:link w:val="FootnoteText"/>
    <w:uiPriority w:val="99"/>
    <w:semiHidden/>
    <w:rsid w:val="00066139"/>
    <w:rPr>
      <w:rFonts w:asciiTheme="minorHAnsi" w:eastAsia="MingLiU" w:hAnsiTheme="minorHAnsi"/>
      <w:sz w:val="20"/>
      <w:szCs w:val="20"/>
    </w:rPr>
  </w:style>
  <w:style w:type="character" w:styleId="FootnoteReference">
    <w:name w:val="footnote reference"/>
    <w:basedOn w:val="DefaultParagraphFont"/>
    <w:uiPriority w:val="99"/>
    <w:semiHidden/>
    <w:unhideWhenUsed/>
    <w:rsid w:val="000661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849ED-9D00-457F-B293-A8BBC165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5</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6</cp:revision>
  <dcterms:created xsi:type="dcterms:W3CDTF">2015-11-16T13:00:00Z</dcterms:created>
  <dcterms:modified xsi:type="dcterms:W3CDTF">2015-11-19T14:55:00Z</dcterms:modified>
</cp:coreProperties>
</file>