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1EE3" w:rsidRPr="00731EE3" w:rsidRDefault="00731EE3" w:rsidP="00731EE3">
      <w:pPr>
        <w:pStyle w:val="ssPara1"/>
        <w:jc w:val="center"/>
        <w:rPr>
          <w:b/>
        </w:rPr>
      </w:pPr>
      <w:bookmarkStart w:id="0" w:name="_GoBack"/>
      <w:bookmarkEnd w:id="0"/>
      <w:r w:rsidRPr="00731EE3">
        <w:rPr>
          <w:b/>
        </w:rPr>
        <w:t>COSTS &amp; CHARGES</w:t>
      </w:r>
    </w:p>
    <w:p w:rsidR="00731EE3" w:rsidRPr="00731EE3" w:rsidRDefault="00731EE3" w:rsidP="00731EE3">
      <w:pPr>
        <w:pStyle w:val="ssPara1"/>
        <w:jc w:val="center"/>
        <w:rPr>
          <w:b/>
        </w:rPr>
      </w:pPr>
      <w:r w:rsidRPr="00731EE3">
        <w:rPr>
          <w:b/>
        </w:rPr>
        <w:t>COMPARISON BETWEEN</w:t>
      </w:r>
    </w:p>
    <w:p w:rsidR="00731EE3" w:rsidRPr="00731EE3" w:rsidRDefault="00731EE3" w:rsidP="00731EE3">
      <w:pPr>
        <w:pStyle w:val="ssPara1"/>
        <w:jc w:val="center"/>
        <w:rPr>
          <w:b/>
        </w:rPr>
      </w:pPr>
      <w:r w:rsidRPr="00731EE3">
        <w:rPr>
          <w:b/>
        </w:rPr>
        <w:t xml:space="preserve">ESMA </w:t>
      </w:r>
      <w:hyperlink r:id="rId8" w:history="1">
        <w:r w:rsidRPr="00731EE3">
          <w:rPr>
            <w:rStyle w:val="Hyperlink"/>
          </w:rPr>
          <w:t>Technical Advice</w:t>
        </w:r>
      </w:hyperlink>
      <w:r w:rsidRPr="00731EE3">
        <w:rPr>
          <w:b/>
        </w:rPr>
        <w:t xml:space="preserve"> (19 December 2014)</w:t>
      </w:r>
      <w:r>
        <w:rPr>
          <w:b/>
        </w:rPr>
        <w:br/>
      </w:r>
      <w:r w:rsidRPr="00731EE3">
        <w:rPr>
          <w:b/>
        </w:rPr>
        <w:t>vs.</w:t>
      </w:r>
      <w:r>
        <w:rPr>
          <w:b/>
        </w:rPr>
        <w:br/>
      </w:r>
      <w:r w:rsidRPr="00731EE3">
        <w:rPr>
          <w:b/>
        </w:rPr>
        <w:t xml:space="preserve">European Commission </w:t>
      </w:r>
      <w:hyperlink r:id="rId9" w:history="1">
        <w:r w:rsidRPr="00731EE3">
          <w:rPr>
            <w:rStyle w:val="Hyperlink"/>
          </w:rPr>
          <w:t>Draft Delegated Regulation</w:t>
        </w:r>
      </w:hyperlink>
      <w:r w:rsidRPr="00731EE3">
        <w:rPr>
          <w:b/>
        </w:rPr>
        <w:t xml:space="preserve"> (25 April 2016)</w:t>
      </w:r>
    </w:p>
    <w:p w:rsidR="00731EE3" w:rsidRPr="00731EE3" w:rsidRDefault="00731EE3" w:rsidP="00731EE3">
      <w:pPr>
        <w:pStyle w:val="ssPara1"/>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938"/>
      </w:tblGrid>
      <w:tr w:rsidR="00731EE3" w:rsidRPr="001807BA" w:rsidTr="00731EE3">
        <w:tc>
          <w:tcPr>
            <w:tcW w:w="675" w:type="dxa"/>
            <w:shd w:val="clear" w:color="auto" w:fill="92D050"/>
          </w:tcPr>
          <w:p w:rsidR="00731EE3" w:rsidRPr="001807BA" w:rsidRDefault="00731EE3" w:rsidP="00A7460B">
            <w:pPr>
              <w:rPr>
                <w:rFonts w:cs="Arial"/>
                <w:szCs w:val="20"/>
              </w:rPr>
            </w:pPr>
          </w:p>
        </w:tc>
        <w:tc>
          <w:tcPr>
            <w:tcW w:w="7938" w:type="dxa"/>
          </w:tcPr>
          <w:p w:rsidR="00731EE3" w:rsidRPr="001807BA" w:rsidRDefault="00731EE3" w:rsidP="001F21EF">
            <w:pPr>
              <w:rPr>
                <w:rFonts w:cs="Arial"/>
                <w:szCs w:val="20"/>
              </w:rPr>
            </w:pPr>
            <w:r w:rsidRPr="001807BA">
              <w:rPr>
                <w:rFonts w:cs="Arial"/>
                <w:szCs w:val="20"/>
              </w:rPr>
              <w:t>No change or minor / immaterial change</w:t>
            </w:r>
          </w:p>
        </w:tc>
      </w:tr>
      <w:tr w:rsidR="00731EE3" w:rsidRPr="001807BA" w:rsidTr="00731EE3">
        <w:tc>
          <w:tcPr>
            <w:tcW w:w="675" w:type="dxa"/>
            <w:shd w:val="clear" w:color="auto" w:fill="FFC000"/>
          </w:tcPr>
          <w:p w:rsidR="00731EE3" w:rsidRPr="001807BA" w:rsidRDefault="00731EE3" w:rsidP="00A7460B">
            <w:pPr>
              <w:rPr>
                <w:rFonts w:cs="Arial"/>
                <w:szCs w:val="20"/>
              </w:rPr>
            </w:pPr>
          </w:p>
        </w:tc>
        <w:tc>
          <w:tcPr>
            <w:tcW w:w="7938" w:type="dxa"/>
          </w:tcPr>
          <w:p w:rsidR="00731EE3" w:rsidRPr="001807BA" w:rsidRDefault="00731EE3" w:rsidP="002F49E3">
            <w:pPr>
              <w:rPr>
                <w:rFonts w:cs="Arial"/>
                <w:szCs w:val="20"/>
              </w:rPr>
            </w:pPr>
            <w:r w:rsidRPr="001807BA">
              <w:rPr>
                <w:rFonts w:cs="Arial"/>
                <w:szCs w:val="20"/>
              </w:rPr>
              <w:t>Change to be reviewed, but not requiring gap assessment to be revisited with business</w:t>
            </w:r>
          </w:p>
        </w:tc>
      </w:tr>
      <w:tr w:rsidR="00731EE3" w:rsidRPr="001807BA" w:rsidTr="00731EE3">
        <w:tc>
          <w:tcPr>
            <w:tcW w:w="675" w:type="dxa"/>
            <w:shd w:val="clear" w:color="auto" w:fill="FF0000"/>
          </w:tcPr>
          <w:p w:rsidR="00731EE3" w:rsidRPr="001807BA" w:rsidRDefault="00731EE3" w:rsidP="00A7460B">
            <w:pPr>
              <w:rPr>
                <w:rFonts w:cs="Arial"/>
                <w:szCs w:val="20"/>
              </w:rPr>
            </w:pPr>
          </w:p>
        </w:tc>
        <w:tc>
          <w:tcPr>
            <w:tcW w:w="7938" w:type="dxa"/>
          </w:tcPr>
          <w:p w:rsidR="00731EE3" w:rsidRPr="001807BA" w:rsidRDefault="00731EE3" w:rsidP="002F49E3">
            <w:pPr>
              <w:rPr>
                <w:rFonts w:cs="Arial"/>
                <w:szCs w:val="20"/>
              </w:rPr>
            </w:pPr>
            <w:r w:rsidRPr="001807BA">
              <w:rPr>
                <w:rFonts w:cs="Arial"/>
                <w:szCs w:val="20"/>
              </w:rPr>
              <w:t xml:space="preserve">Significant change requiring detailed review </w:t>
            </w:r>
          </w:p>
        </w:tc>
      </w:tr>
    </w:tbl>
    <w:p w:rsidR="00731EE3" w:rsidRPr="001807BA" w:rsidRDefault="00731EE3" w:rsidP="00A7460B">
      <w:pPr>
        <w:rPr>
          <w:rFonts w:cs="Arial"/>
          <w:szCs w:val="20"/>
        </w:rPr>
      </w:pPr>
    </w:p>
    <w:p w:rsidR="00731EE3" w:rsidRPr="001807BA" w:rsidRDefault="00731EE3" w:rsidP="00B14584">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693"/>
        <w:gridCol w:w="8931"/>
      </w:tblGrid>
      <w:tr w:rsidR="00731EE3" w:rsidRPr="00731EE3" w:rsidTr="00731EE3">
        <w:trPr>
          <w:tblHeader/>
        </w:trPr>
        <w:tc>
          <w:tcPr>
            <w:tcW w:w="2518" w:type="dxa"/>
            <w:shd w:val="clear" w:color="auto" w:fill="32464D"/>
          </w:tcPr>
          <w:p w:rsidR="00731EE3" w:rsidRPr="00731EE3" w:rsidRDefault="00731EE3" w:rsidP="001955B3">
            <w:pPr>
              <w:jc w:val="center"/>
              <w:rPr>
                <w:rFonts w:cs="Arial"/>
                <w:b/>
                <w:color w:val="FFFFFF" w:themeColor="background1"/>
                <w:szCs w:val="20"/>
              </w:rPr>
            </w:pPr>
            <w:r w:rsidRPr="00731EE3">
              <w:rPr>
                <w:rFonts w:cs="Arial"/>
                <w:b/>
                <w:color w:val="FFFFFF" w:themeColor="background1"/>
                <w:szCs w:val="20"/>
              </w:rPr>
              <w:t>ESMA Technical Advice</w:t>
            </w:r>
          </w:p>
          <w:p w:rsidR="00731EE3" w:rsidRPr="00731EE3" w:rsidRDefault="00731EE3" w:rsidP="00F947CA">
            <w:pPr>
              <w:spacing w:after="120"/>
              <w:jc w:val="center"/>
              <w:rPr>
                <w:rFonts w:cs="Arial"/>
                <w:b/>
                <w:color w:val="FFFFFF" w:themeColor="background1"/>
                <w:szCs w:val="20"/>
              </w:rPr>
            </w:pPr>
            <w:r w:rsidRPr="00731EE3">
              <w:rPr>
                <w:rFonts w:cs="Arial"/>
                <w:b/>
                <w:color w:val="FFFFFF" w:themeColor="background1"/>
                <w:szCs w:val="20"/>
              </w:rPr>
              <w:t>Section 2.14 pages 121-126</w:t>
            </w:r>
          </w:p>
        </w:tc>
        <w:tc>
          <w:tcPr>
            <w:tcW w:w="2693" w:type="dxa"/>
            <w:shd w:val="clear" w:color="auto" w:fill="32464D"/>
          </w:tcPr>
          <w:p w:rsidR="00731EE3" w:rsidRPr="00731EE3" w:rsidRDefault="00731EE3" w:rsidP="001955B3">
            <w:pPr>
              <w:jc w:val="center"/>
              <w:rPr>
                <w:rFonts w:cs="Arial"/>
                <w:b/>
                <w:color w:val="FFFFFF" w:themeColor="background1"/>
                <w:szCs w:val="20"/>
              </w:rPr>
            </w:pPr>
            <w:r w:rsidRPr="00731EE3">
              <w:rPr>
                <w:rFonts w:cs="Arial"/>
                <w:b/>
                <w:color w:val="FFFFFF" w:themeColor="background1"/>
                <w:szCs w:val="20"/>
              </w:rPr>
              <w:t>Commission Draft Delegated Regulation</w:t>
            </w:r>
          </w:p>
          <w:p w:rsidR="00731EE3" w:rsidRPr="00731EE3" w:rsidRDefault="00731EE3" w:rsidP="001955B3">
            <w:pPr>
              <w:jc w:val="center"/>
              <w:rPr>
                <w:rFonts w:cs="Arial"/>
                <w:b/>
                <w:color w:val="FFFFFF" w:themeColor="background1"/>
                <w:szCs w:val="20"/>
              </w:rPr>
            </w:pPr>
            <w:r w:rsidRPr="00731EE3">
              <w:rPr>
                <w:rFonts w:cs="Arial"/>
                <w:b/>
                <w:color w:val="FFFFFF" w:themeColor="background1"/>
                <w:szCs w:val="20"/>
              </w:rPr>
              <w:t>Article 50</w:t>
            </w:r>
          </w:p>
        </w:tc>
        <w:tc>
          <w:tcPr>
            <w:tcW w:w="8931" w:type="dxa"/>
            <w:shd w:val="clear" w:color="auto" w:fill="32464D"/>
          </w:tcPr>
          <w:p w:rsidR="00731EE3" w:rsidRPr="00731EE3" w:rsidRDefault="00731EE3" w:rsidP="001955B3">
            <w:pPr>
              <w:jc w:val="center"/>
              <w:rPr>
                <w:rFonts w:cs="Arial"/>
                <w:b/>
                <w:color w:val="FFFFFF" w:themeColor="background1"/>
                <w:szCs w:val="20"/>
              </w:rPr>
            </w:pPr>
            <w:r w:rsidRPr="00731EE3">
              <w:rPr>
                <w:rFonts w:cs="Arial"/>
                <w:b/>
                <w:color w:val="FFFFFF" w:themeColor="background1"/>
                <w:szCs w:val="20"/>
              </w:rPr>
              <w:t>Summary of Key Changes in Commission Draft Delegated Regulation</w:t>
            </w:r>
          </w:p>
        </w:tc>
      </w:tr>
      <w:tr w:rsidR="00731EE3" w:rsidRPr="001807BA" w:rsidTr="00731EE3">
        <w:tc>
          <w:tcPr>
            <w:tcW w:w="2518" w:type="dxa"/>
            <w:shd w:val="clear" w:color="auto" w:fill="32464D"/>
          </w:tcPr>
          <w:p w:rsidR="00731EE3" w:rsidRPr="00731EE3" w:rsidRDefault="00731EE3" w:rsidP="00D804FC">
            <w:pPr>
              <w:rPr>
                <w:rFonts w:cs="Arial"/>
                <w:color w:val="FFFFFF" w:themeColor="background1"/>
                <w:szCs w:val="20"/>
              </w:rPr>
            </w:pPr>
            <w:r w:rsidRPr="00731EE3">
              <w:rPr>
                <w:rFonts w:cs="Arial"/>
                <w:color w:val="FFFFFF" w:themeColor="background1"/>
                <w:szCs w:val="20"/>
              </w:rPr>
              <w:t>Paragraph 1</w:t>
            </w:r>
          </w:p>
        </w:tc>
        <w:tc>
          <w:tcPr>
            <w:tcW w:w="2693" w:type="dxa"/>
          </w:tcPr>
          <w:p w:rsidR="00731EE3" w:rsidRPr="001807BA" w:rsidRDefault="00731EE3">
            <w:pPr>
              <w:rPr>
                <w:rFonts w:cs="Arial"/>
                <w:szCs w:val="20"/>
              </w:rPr>
            </w:pPr>
            <w:r w:rsidRPr="001807BA">
              <w:rPr>
                <w:rFonts w:cs="Arial"/>
                <w:szCs w:val="20"/>
              </w:rPr>
              <w:t>Article 50(1)</w:t>
            </w:r>
          </w:p>
        </w:tc>
        <w:tc>
          <w:tcPr>
            <w:tcW w:w="8931" w:type="dxa"/>
            <w:shd w:val="clear" w:color="auto" w:fill="92D050"/>
          </w:tcPr>
          <w:p w:rsidR="00731EE3" w:rsidRPr="001807BA" w:rsidRDefault="00731EE3" w:rsidP="00680E86">
            <w:pPr>
              <w:spacing w:after="120"/>
              <w:rPr>
                <w:rFonts w:cs="Arial"/>
                <w:szCs w:val="20"/>
              </w:rPr>
            </w:pPr>
            <w:r w:rsidRPr="001807BA">
              <w:rPr>
                <w:rFonts w:cs="Arial"/>
                <w:szCs w:val="20"/>
              </w:rPr>
              <w:t>New introductory language, including statement that, for the purposes of providing information to clients pursuant to the MiFID2 Level 1 Article 24(4) provisions on costs and charges, investment firms must comply with the detailed MiFID2 Level 2 requirements.</w:t>
            </w:r>
          </w:p>
        </w:tc>
      </w:tr>
      <w:tr w:rsidR="00731EE3" w:rsidRPr="001807BA" w:rsidTr="00731EE3">
        <w:tc>
          <w:tcPr>
            <w:tcW w:w="2518" w:type="dxa"/>
            <w:shd w:val="clear" w:color="auto" w:fill="32464D"/>
          </w:tcPr>
          <w:p w:rsidR="00731EE3" w:rsidRPr="00731EE3" w:rsidRDefault="00731EE3">
            <w:pPr>
              <w:rPr>
                <w:rFonts w:cs="Arial"/>
                <w:color w:val="FFFFFF" w:themeColor="background1"/>
                <w:szCs w:val="20"/>
              </w:rPr>
            </w:pPr>
            <w:r w:rsidRPr="00731EE3">
              <w:rPr>
                <w:rFonts w:cs="Arial"/>
                <w:color w:val="FFFFFF" w:themeColor="background1"/>
                <w:szCs w:val="20"/>
              </w:rPr>
              <w:t>Paragraph 2</w:t>
            </w:r>
          </w:p>
        </w:tc>
        <w:tc>
          <w:tcPr>
            <w:tcW w:w="2693" w:type="dxa"/>
          </w:tcPr>
          <w:p w:rsidR="00731EE3" w:rsidRPr="001807BA" w:rsidRDefault="00731EE3">
            <w:pPr>
              <w:rPr>
                <w:rFonts w:cs="Arial"/>
                <w:szCs w:val="20"/>
              </w:rPr>
            </w:pPr>
            <w:r w:rsidRPr="001807BA">
              <w:rPr>
                <w:rFonts w:cs="Arial"/>
                <w:szCs w:val="20"/>
              </w:rPr>
              <w:t xml:space="preserve">Article 50(1) </w:t>
            </w:r>
          </w:p>
        </w:tc>
        <w:tc>
          <w:tcPr>
            <w:tcW w:w="8931" w:type="dxa"/>
            <w:shd w:val="clear" w:color="auto" w:fill="92D050"/>
          </w:tcPr>
          <w:p w:rsidR="00731EE3" w:rsidRPr="001807BA" w:rsidRDefault="00731EE3" w:rsidP="00680E86">
            <w:pPr>
              <w:spacing w:after="120"/>
              <w:rPr>
                <w:rFonts w:cs="Arial"/>
                <w:szCs w:val="20"/>
              </w:rPr>
            </w:pPr>
            <w:r w:rsidRPr="001807BA">
              <w:rPr>
                <w:rFonts w:cs="Arial"/>
                <w:szCs w:val="20"/>
              </w:rPr>
              <w:t xml:space="preserve">More explicit statement that firms </w:t>
            </w:r>
            <w:r w:rsidRPr="001807BA">
              <w:rPr>
                <w:rFonts w:cs="Arial"/>
                <w:b/>
                <w:szCs w:val="20"/>
                <w:u w:val="single"/>
              </w:rPr>
              <w:t>shall not</w:t>
            </w:r>
            <w:r w:rsidRPr="001807BA">
              <w:rPr>
                <w:rFonts w:cs="Arial"/>
                <w:szCs w:val="20"/>
              </w:rPr>
              <w:t xml:space="preserve"> be allowed to agree limited application of the requirements when investment advice/portfolio management services are provided, or when the relevant financial instruments embed a derivative.</w:t>
            </w:r>
          </w:p>
        </w:tc>
      </w:tr>
      <w:tr w:rsidR="00731EE3" w:rsidRPr="001807BA" w:rsidTr="00731EE3">
        <w:tc>
          <w:tcPr>
            <w:tcW w:w="2518" w:type="dxa"/>
            <w:shd w:val="clear" w:color="auto" w:fill="32464D"/>
          </w:tcPr>
          <w:p w:rsidR="00731EE3" w:rsidRPr="00731EE3" w:rsidRDefault="00731EE3">
            <w:pPr>
              <w:rPr>
                <w:rFonts w:cs="Arial"/>
                <w:color w:val="FFFFFF" w:themeColor="background1"/>
                <w:szCs w:val="20"/>
              </w:rPr>
            </w:pPr>
            <w:r w:rsidRPr="00731EE3">
              <w:rPr>
                <w:rFonts w:cs="Arial"/>
                <w:color w:val="FFFFFF" w:themeColor="background1"/>
                <w:szCs w:val="20"/>
              </w:rPr>
              <w:t>Paragraph 3</w:t>
            </w:r>
          </w:p>
        </w:tc>
        <w:tc>
          <w:tcPr>
            <w:tcW w:w="2693" w:type="dxa"/>
          </w:tcPr>
          <w:p w:rsidR="00731EE3" w:rsidRPr="001807BA" w:rsidRDefault="00731EE3" w:rsidP="007D16CC">
            <w:pPr>
              <w:rPr>
                <w:rFonts w:cs="Arial"/>
                <w:szCs w:val="20"/>
              </w:rPr>
            </w:pPr>
            <w:r w:rsidRPr="001807BA">
              <w:rPr>
                <w:rFonts w:cs="Arial"/>
                <w:szCs w:val="20"/>
              </w:rPr>
              <w:t>Article 50(1)</w:t>
            </w:r>
          </w:p>
        </w:tc>
        <w:tc>
          <w:tcPr>
            <w:tcW w:w="8931" w:type="dxa"/>
            <w:shd w:val="clear" w:color="auto" w:fill="92D050"/>
          </w:tcPr>
          <w:p w:rsidR="00731EE3" w:rsidRPr="001807BA" w:rsidRDefault="00731EE3" w:rsidP="00680E86">
            <w:pPr>
              <w:spacing w:after="120"/>
              <w:rPr>
                <w:rFonts w:cs="Arial"/>
                <w:szCs w:val="20"/>
              </w:rPr>
            </w:pPr>
            <w:r w:rsidRPr="001807BA">
              <w:rPr>
                <w:rFonts w:cs="Arial"/>
                <w:szCs w:val="20"/>
              </w:rPr>
              <w:t>Minimal changes – language tidy-up.</w:t>
            </w:r>
          </w:p>
        </w:tc>
      </w:tr>
      <w:tr w:rsidR="00731EE3" w:rsidRPr="001807BA" w:rsidTr="00731EE3">
        <w:tc>
          <w:tcPr>
            <w:tcW w:w="2518" w:type="dxa"/>
            <w:shd w:val="clear" w:color="auto" w:fill="32464D"/>
          </w:tcPr>
          <w:p w:rsidR="00731EE3" w:rsidRPr="00731EE3" w:rsidRDefault="00731EE3">
            <w:pPr>
              <w:rPr>
                <w:rFonts w:cs="Arial"/>
                <w:color w:val="FFFFFF" w:themeColor="background1"/>
                <w:szCs w:val="20"/>
              </w:rPr>
            </w:pPr>
            <w:r w:rsidRPr="00731EE3">
              <w:rPr>
                <w:rFonts w:cs="Arial"/>
                <w:color w:val="FFFFFF" w:themeColor="background1"/>
                <w:szCs w:val="20"/>
              </w:rPr>
              <w:t>Paragraph 4</w:t>
            </w:r>
          </w:p>
        </w:tc>
        <w:tc>
          <w:tcPr>
            <w:tcW w:w="2693" w:type="dxa"/>
          </w:tcPr>
          <w:p w:rsidR="00731EE3" w:rsidRPr="001807BA" w:rsidRDefault="00731EE3">
            <w:pPr>
              <w:rPr>
                <w:rFonts w:cs="Arial"/>
                <w:szCs w:val="20"/>
              </w:rPr>
            </w:pPr>
            <w:r w:rsidRPr="001807BA">
              <w:rPr>
                <w:rFonts w:cs="Arial"/>
                <w:szCs w:val="20"/>
              </w:rPr>
              <w:t>Article 50(5)</w:t>
            </w:r>
          </w:p>
        </w:tc>
        <w:tc>
          <w:tcPr>
            <w:tcW w:w="8931" w:type="dxa"/>
            <w:shd w:val="clear" w:color="auto" w:fill="FFC000"/>
          </w:tcPr>
          <w:p w:rsidR="00731EE3" w:rsidRPr="001807BA" w:rsidRDefault="00731EE3" w:rsidP="00977143">
            <w:pPr>
              <w:rPr>
                <w:rFonts w:cs="Arial"/>
                <w:szCs w:val="20"/>
              </w:rPr>
            </w:pPr>
            <w:r w:rsidRPr="001807BA">
              <w:rPr>
                <w:rFonts w:cs="Arial"/>
                <w:szCs w:val="20"/>
              </w:rPr>
              <w:t>Phrase “</w:t>
            </w:r>
            <w:r w:rsidRPr="001807BA">
              <w:rPr>
                <w:rFonts w:cs="Arial"/>
                <w:b/>
                <w:szCs w:val="20"/>
              </w:rPr>
              <w:t>point of sale</w:t>
            </w:r>
            <w:r w:rsidRPr="001807BA">
              <w:rPr>
                <w:rFonts w:cs="Arial"/>
                <w:szCs w:val="20"/>
              </w:rPr>
              <w:t>” removed and replaced with “</w:t>
            </w:r>
            <w:r w:rsidRPr="001807BA">
              <w:rPr>
                <w:rFonts w:cs="Arial"/>
                <w:b/>
                <w:szCs w:val="20"/>
              </w:rPr>
              <w:t>in good time</w:t>
            </w:r>
            <w:r w:rsidRPr="001807BA">
              <w:rPr>
                <w:rFonts w:cs="Arial"/>
                <w:szCs w:val="20"/>
              </w:rPr>
              <w:t>”.  Providing clients or potential clients with aggregated information about all costs and charges was required “in good time” under Technical Advice paragraph 15 and is now reflected in Delegated Regulation paragraph 50(5).</w:t>
            </w:r>
          </w:p>
          <w:p w:rsidR="00731EE3" w:rsidRPr="001807BA" w:rsidRDefault="00731EE3" w:rsidP="00977143">
            <w:pPr>
              <w:rPr>
                <w:rFonts w:cs="Arial"/>
                <w:szCs w:val="20"/>
              </w:rPr>
            </w:pPr>
          </w:p>
          <w:p w:rsidR="00731EE3" w:rsidRPr="001807BA" w:rsidRDefault="00731EE3" w:rsidP="00B2076D">
            <w:pPr>
              <w:rPr>
                <w:rFonts w:cs="Arial"/>
                <w:szCs w:val="20"/>
              </w:rPr>
            </w:pPr>
            <w:r w:rsidRPr="001807BA">
              <w:rPr>
                <w:rFonts w:cs="Arial"/>
                <w:b/>
                <w:szCs w:val="20"/>
              </w:rPr>
              <w:t>Note:</w:t>
            </w:r>
            <w:r w:rsidRPr="001807BA">
              <w:rPr>
                <w:rFonts w:cs="Arial"/>
                <w:szCs w:val="20"/>
              </w:rPr>
              <w:t xml:space="preserve"> Recital 83 of </w:t>
            </w:r>
            <w:hyperlink r:id="rId10" w:history="1">
              <w:r w:rsidRPr="001807BA">
                <w:rPr>
                  <w:rFonts w:cs="Arial"/>
                  <w:szCs w:val="20"/>
                </w:rPr>
                <w:t>MiFID2</w:t>
              </w:r>
            </w:hyperlink>
            <w:r w:rsidRPr="001807BA">
              <w:rPr>
                <w:rFonts w:cs="Arial"/>
                <w:szCs w:val="20"/>
              </w:rPr>
              <w:t xml:space="preserve"> clarifies what constitutes “</w:t>
            </w:r>
            <w:r w:rsidRPr="001807BA">
              <w:rPr>
                <w:rFonts w:cs="Arial"/>
                <w:b/>
                <w:szCs w:val="20"/>
              </w:rPr>
              <w:t>the provision of information provided in good time</w:t>
            </w:r>
            <w:r w:rsidRPr="001807BA">
              <w:rPr>
                <w:rFonts w:cs="Arial"/>
                <w:szCs w:val="20"/>
              </w:rPr>
              <w:t>”:</w:t>
            </w:r>
          </w:p>
          <w:p w:rsidR="00731EE3" w:rsidRPr="001807BA" w:rsidRDefault="00731EE3" w:rsidP="00680E86">
            <w:pPr>
              <w:spacing w:after="120"/>
              <w:rPr>
                <w:rFonts w:cs="Arial"/>
                <w:szCs w:val="20"/>
              </w:rPr>
            </w:pPr>
            <w:r w:rsidRPr="001807BA">
              <w:rPr>
                <w:rFonts w:cs="Arial"/>
                <w:szCs w:val="20"/>
              </w:rPr>
              <w:t xml:space="preserve">“In determining what constitutes the provision of information in good time before a time specified in this Directive, an investment firm should </w:t>
            </w:r>
            <w:proofErr w:type="gramStart"/>
            <w:r w:rsidRPr="001807BA">
              <w:rPr>
                <w:rFonts w:cs="Arial"/>
                <w:szCs w:val="20"/>
              </w:rPr>
              <w:t>take into account</w:t>
            </w:r>
            <w:proofErr w:type="gramEnd"/>
            <w:r w:rsidRPr="001807BA">
              <w:rPr>
                <w:rFonts w:cs="Arial"/>
                <w:szCs w:val="20"/>
              </w:rPr>
              <w:t xml:space="preserve">, having regard to the urgency of the situation, the client’s need for sufficient time to read and understand it before taking an investment </w:t>
            </w:r>
            <w:r w:rsidRPr="001807BA">
              <w:rPr>
                <w:rFonts w:cs="Arial"/>
                <w:szCs w:val="20"/>
              </w:rPr>
              <w:lastRenderedPageBreak/>
              <w:t>decision. A client is likely to require more time to review information given on a complex or unfamiliar product or service, or a product or service a client has no experience with than a client considering a simpler or more familiar product or service, or where the client has relevant prior experience.”</w:t>
            </w:r>
          </w:p>
        </w:tc>
      </w:tr>
      <w:tr w:rsidR="00731EE3" w:rsidRPr="001807BA" w:rsidTr="00731EE3">
        <w:tc>
          <w:tcPr>
            <w:tcW w:w="2518" w:type="dxa"/>
            <w:shd w:val="clear" w:color="auto" w:fill="32464D"/>
          </w:tcPr>
          <w:p w:rsidR="00731EE3" w:rsidRPr="00731EE3" w:rsidRDefault="00731EE3">
            <w:pPr>
              <w:rPr>
                <w:rFonts w:cs="Arial"/>
                <w:color w:val="FFFFFF" w:themeColor="background1"/>
                <w:szCs w:val="20"/>
              </w:rPr>
            </w:pPr>
            <w:r w:rsidRPr="00731EE3">
              <w:rPr>
                <w:rFonts w:cs="Arial"/>
                <w:color w:val="FFFFFF" w:themeColor="background1"/>
                <w:szCs w:val="20"/>
              </w:rPr>
              <w:lastRenderedPageBreak/>
              <w:t>Paragraph 5</w:t>
            </w:r>
          </w:p>
        </w:tc>
        <w:tc>
          <w:tcPr>
            <w:tcW w:w="2693" w:type="dxa"/>
          </w:tcPr>
          <w:p w:rsidR="00731EE3" w:rsidRPr="001807BA" w:rsidRDefault="00731EE3">
            <w:pPr>
              <w:rPr>
                <w:rFonts w:cs="Arial"/>
                <w:szCs w:val="20"/>
              </w:rPr>
            </w:pPr>
            <w:r w:rsidRPr="001807BA">
              <w:rPr>
                <w:rFonts w:cs="Arial"/>
                <w:szCs w:val="20"/>
              </w:rPr>
              <w:t>Article 50(6)</w:t>
            </w:r>
          </w:p>
        </w:tc>
        <w:tc>
          <w:tcPr>
            <w:tcW w:w="8931" w:type="dxa"/>
            <w:shd w:val="clear" w:color="auto" w:fill="92D050"/>
          </w:tcPr>
          <w:p w:rsidR="00731EE3" w:rsidRPr="001807BA" w:rsidRDefault="00731EE3" w:rsidP="00680E86">
            <w:pPr>
              <w:spacing w:after="120"/>
              <w:rPr>
                <w:rFonts w:cs="Arial"/>
                <w:szCs w:val="20"/>
              </w:rPr>
            </w:pPr>
            <w:r w:rsidRPr="001807BA">
              <w:rPr>
                <w:rFonts w:cs="Arial"/>
                <w:szCs w:val="20"/>
              </w:rPr>
              <w:t>Minimal changes – language tidy-up.</w:t>
            </w:r>
          </w:p>
        </w:tc>
      </w:tr>
      <w:tr w:rsidR="00731EE3" w:rsidRPr="001807BA" w:rsidTr="00731EE3">
        <w:tc>
          <w:tcPr>
            <w:tcW w:w="2518" w:type="dxa"/>
            <w:shd w:val="clear" w:color="auto" w:fill="32464D"/>
          </w:tcPr>
          <w:p w:rsidR="00731EE3" w:rsidRPr="00731EE3" w:rsidRDefault="00731EE3">
            <w:pPr>
              <w:rPr>
                <w:rFonts w:cs="Arial"/>
                <w:color w:val="FFFFFF" w:themeColor="background1"/>
                <w:szCs w:val="20"/>
              </w:rPr>
            </w:pPr>
            <w:r w:rsidRPr="00731EE3">
              <w:rPr>
                <w:rFonts w:cs="Arial"/>
                <w:color w:val="FFFFFF" w:themeColor="background1"/>
                <w:szCs w:val="20"/>
              </w:rPr>
              <w:t>Paragraph 6</w:t>
            </w:r>
          </w:p>
        </w:tc>
        <w:tc>
          <w:tcPr>
            <w:tcW w:w="2693" w:type="dxa"/>
          </w:tcPr>
          <w:p w:rsidR="00731EE3" w:rsidRPr="001807BA" w:rsidRDefault="00731EE3">
            <w:pPr>
              <w:rPr>
                <w:rFonts w:cs="Arial"/>
                <w:szCs w:val="20"/>
              </w:rPr>
            </w:pPr>
            <w:r w:rsidRPr="001807BA">
              <w:rPr>
                <w:rFonts w:cs="Arial"/>
                <w:szCs w:val="20"/>
              </w:rPr>
              <w:t>Article 50(7)</w:t>
            </w:r>
          </w:p>
        </w:tc>
        <w:tc>
          <w:tcPr>
            <w:tcW w:w="8931" w:type="dxa"/>
            <w:shd w:val="clear" w:color="auto" w:fill="92D050"/>
          </w:tcPr>
          <w:p w:rsidR="00731EE3" w:rsidRPr="001807BA" w:rsidRDefault="00731EE3" w:rsidP="002C4E4E">
            <w:pPr>
              <w:spacing w:after="120"/>
              <w:rPr>
                <w:rFonts w:cs="Arial"/>
                <w:szCs w:val="20"/>
              </w:rPr>
            </w:pPr>
            <w:r w:rsidRPr="001807BA">
              <w:rPr>
                <w:rFonts w:cs="Arial"/>
                <w:szCs w:val="20"/>
              </w:rPr>
              <w:t>Minimal changes – language tidy-up.</w:t>
            </w:r>
          </w:p>
        </w:tc>
      </w:tr>
      <w:tr w:rsidR="00731EE3" w:rsidRPr="001807BA" w:rsidTr="00731EE3">
        <w:tc>
          <w:tcPr>
            <w:tcW w:w="2518" w:type="dxa"/>
            <w:shd w:val="clear" w:color="auto" w:fill="32464D"/>
          </w:tcPr>
          <w:p w:rsidR="00731EE3" w:rsidRPr="00731EE3" w:rsidRDefault="00731EE3">
            <w:pPr>
              <w:rPr>
                <w:rFonts w:cs="Arial"/>
                <w:color w:val="FFFFFF" w:themeColor="background1"/>
                <w:szCs w:val="20"/>
              </w:rPr>
            </w:pPr>
            <w:r w:rsidRPr="00731EE3">
              <w:rPr>
                <w:rFonts w:cs="Arial"/>
                <w:color w:val="FFFFFF" w:themeColor="background1"/>
                <w:szCs w:val="20"/>
              </w:rPr>
              <w:t>Paragraph 7</w:t>
            </w:r>
          </w:p>
        </w:tc>
        <w:tc>
          <w:tcPr>
            <w:tcW w:w="2693" w:type="dxa"/>
          </w:tcPr>
          <w:p w:rsidR="00731EE3" w:rsidRPr="001807BA" w:rsidRDefault="00731EE3">
            <w:pPr>
              <w:rPr>
                <w:rFonts w:cs="Arial"/>
                <w:szCs w:val="20"/>
              </w:rPr>
            </w:pPr>
            <w:r w:rsidRPr="001807BA">
              <w:rPr>
                <w:rFonts w:cs="Arial"/>
                <w:szCs w:val="20"/>
              </w:rPr>
              <w:t>Article 50(9)</w:t>
            </w:r>
          </w:p>
        </w:tc>
        <w:tc>
          <w:tcPr>
            <w:tcW w:w="8931" w:type="dxa"/>
            <w:shd w:val="clear" w:color="auto" w:fill="92D050"/>
          </w:tcPr>
          <w:p w:rsidR="00731EE3" w:rsidRPr="001807BA" w:rsidRDefault="00731EE3" w:rsidP="00060ACC">
            <w:pPr>
              <w:spacing w:after="120"/>
              <w:rPr>
                <w:rFonts w:cs="Arial"/>
                <w:szCs w:val="20"/>
              </w:rPr>
            </w:pPr>
            <w:r w:rsidRPr="001807BA">
              <w:rPr>
                <w:rFonts w:cs="Arial"/>
                <w:szCs w:val="20"/>
              </w:rPr>
              <w:t>Minimal changes – language tidy-up.</w:t>
            </w:r>
          </w:p>
        </w:tc>
      </w:tr>
      <w:tr w:rsidR="00731EE3" w:rsidRPr="001807BA" w:rsidTr="00731EE3">
        <w:tc>
          <w:tcPr>
            <w:tcW w:w="2518" w:type="dxa"/>
            <w:shd w:val="clear" w:color="auto" w:fill="32464D"/>
          </w:tcPr>
          <w:p w:rsidR="00731EE3" w:rsidRPr="00731EE3" w:rsidRDefault="00731EE3">
            <w:pPr>
              <w:rPr>
                <w:rFonts w:cs="Arial"/>
                <w:color w:val="FFFFFF" w:themeColor="background1"/>
                <w:szCs w:val="20"/>
              </w:rPr>
            </w:pPr>
            <w:r w:rsidRPr="00731EE3">
              <w:rPr>
                <w:rFonts w:cs="Arial"/>
                <w:color w:val="FFFFFF" w:themeColor="background1"/>
                <w:szCs w:val="20"/>
              </w:rPr>
              <w:t>Paragraph 8</w:t>
            </w:r>
          </w:p>
        </w:tc>
        <w:tc>
          <w:tcPr>
            <w:tcW w:w="2693" w:type="dxa"/>
          </w:tcPr>
          <w:p w:rsidR="00731EE3" w:rsidRPr="001807BA" w:rsidRDefault="00731EE3">
            <w:pPr>
              <w:rPr>
                <w:rFonts w:cs="Arial"/>
                <w:szCs w:val="20"/>
              </w:rPr>
            </w:pPr>
            <w:r w:rsidRPr="001807BA">
              <w:rPr>
                <w:rFonts w:cs="Arial"/>
                <w:szCs w:val="20"/>
              </w:rPr>
              <w:t>Article 50(9)</w:t>
            </w:r>
          </w:p>
        </w:tc>
        <w:tc>
          <w:tcPr>
            <w:tcW w:w="8931" w:type="dxa"/>
            <w:shd w:val="clear" w:color="auto" w:fill="92D050"/>
          </w:tcPr>
          <w:p w:rsidR="00731EE3" w:rsidRPr="001807BA" w:rsidRDefault="00731EE3" w:rsidP="001021A8">
            <w:pPr>
              <w:spacing w:after="120"/>
              <w:rPr>
                <w:rFonts w:cs="Arial"/>
                <w:szCs w:val="20"/>
              </w:rPr>
            </w:pPr>
            <w:r w:rsidRPr="001807BA">
              <w:rPr>
                <w:rFonts w:cs="Arial"/>
                <w:szCs w:val="20"/>
              </w:rPr>
              <w:t>Minimal changes – language tidy-up.</w:t>
            </w:r>
          </w:p>
        </w:tc>
      </w:tr>
      <w:tr w:rsidR="00731EE3" w:rsidRPr="001807BA" w:rsidTr="00731EE3">
        <w:tc>
          <w:tcPr>
            <w:tcW w:w="2518" w:type="dxa"/>
            <w:shd w:val="clear" w:color="auto" w:fill="32464D"/>
          </w:tcPr>
          <w:p w:rsidR="00731EE3" w:rsidRPr="00731EE3" w:rsidRDefault="00731EE3">
            <w:pPr>
              <w:rPr>
                <w:rFonts w:cs="Arial"/>
                <w:color w:val="FFFFFF" w:themeColor="background1"/>
                <w:szCs w:val="20"/>
              </w:rPr>
            </w:pPr>
            <w:r w:rsidRPr="00731EE3">
              <w:rPr>
                <w:rFonts w:cs="Arial"/>
                <w:color w:val="FFFFFF" w:themeColor="background1"/>
                <w:szCs w:val="20"/>
              </w:rPr>
              <w:t>Paragraph 9</w:t>
            </w:r>
          </w:p>
        </w:tc>
        <w:tc>
          <w:tcPr>
            <w:tcW w:w="2693" w:type="dxa"/>
          </w:tcPr>
          <w:p w:rsidR="00731EE3" w:rsidRPr="001807BA" w:rsidRDefault="00731EE3">
            <w:pPr>
              <w:rPr>
                <w:rFonts w:cs="Arial"/>
                <w:szCs w:val="20"/>
              </w:rPr>
            </w:pPr>
            <w:r w:rsidRPr="001807BA">
              <w:rPr>
                <w:rFonts w:cs="Arial"/>
                <w:szCs w:val="20"/>
              </w:rPr>
              <w:t>Article 50(2)</w:t>
            </w:r>
          </w:p>
        </w:tc>
        <w:tc>
          <w:tcPr>
            <w:tcW w:w="8931" w:type="dxa"/>
            <w:shd w:val="clear" w:color="auto" w:fill="92D050"/>
          </w:tcPr>
          <w:p w:rsidR="00731EE3" w:rsidRPr="001807BA" w:rsidRDefault="00731EE3" w:rsidP="00772C74">
            <w:pPr>
              <w:spacing w:after="120"/>
              <w:rPr>
                <w:rFonts w:cs="Arial"/>
                <w:szCs w:val="20"/>
              </w:rPr>
            </w:pPr>
            <w:r w:rsidRPr="001807BA">
              <w:rPr>
                <w:rFonts w:cs="Arial"/>
                <w:szCs w:val="20"/>
              </w:rPr>
              <w:t>Indication in Technical Advice paragraph 9 that relevant costs are listed in Annex II to the Regulation moved to Delegated Regulation Article 50(2).</w:t>
            </w:r>
          </w:p>
        </w:tc>
      </w:tr>
      <w:tr w:rsidR="00731EE3" w:rsidRPr="001807BA" w:rsidTr="00731EE3">
        <w:tc>
          <w:tcPr>
            <w:tcW w:w="2518" w:type="dxa"/>
            <w:shd w:val="clear" w:color="auto" w:fill="32464D"/>
          </w:tcPr>
          <w:p w:rsidR="00731EE3" w:rsidRPr="00731EE3" w:rsidRDefault="00731EE3">
            <w:pPr>
              <w:rPr>
                <w:rFonts w:cs="Arial"/>
                <w:color w:val="FFFFFF" w:themeColor="background1"/>
                <w:szCs w:val="20"/>
              </w:rPr>
            </w:pPr>
            <w:r w:rsidRPr="00731EE3">
              <w:rPr>
                <w:rFonts w:cs="Arial"/>
                <w:color w:val="FFFFFF" w:themeColor="background1"/>
                <w:szCs w:val="20"/>
              </w:rPr>
              <w:t xml:space="preserve">Paragraph 10 </w:t>
            </w:r>
          </w:p>
        </w:tc>
        <w:tc>
          <w:tcPr>
            <w:tcW w:w="2693" w:type="dxa"/>
          </w:tcPr>
          <w:p w:rsidR="00731EE3" w:rsidRPr="001807BA" w:rsidRDefault="00731EE3">
            <w:pPr>
              <w:rPr>
                <w:rFonts w:cs="Arial"/>
                <w:szCs w:val="20"/>
              </w:rPr>
            </w:pPr>
            <w:r w:rsidRPr="001807BA">
              <w:rPr>
                <w:rFonts w:cs="Arial"/>
                <w:szCs w:val="20"/>
              </w:rPr>
              <w:t>Article 50(2)</w:t>
            </w:r>
          </w:p>
        </w:tc>
        <w:tc>
          <w:tcPr>
            <w:tcW w:w="8931" w:type="dxa"/>
            <w:shd w:val="clear" w:color="auto" w:fill="92D050"/>
          </w:tcPr>
          <w:p w:rsidR="00731EE3" w:rsidRPr="001807BA" w:rsidRDefault="00731EE3" w:rsidP="00680E86">
            <w:pPr>
              <w:spacing w:after="120"/>
              <w:rPr>
                <w:rFonts w:cs="Arial"/>
                <w:szCs w:val="20"/>
              </w:rPr>
            </w:pPr>
            <w:r w:rsidRPr="001807BA">
              <w:rPr>
                <w:rFonts w:cs="Arial"/>
                <w:szCs w:val="20"/>
              </w:rPr>
              <w:t>Text from Technical Advice paragraph 10 replicated in Delegated Regulation Article 50(2)(a) and (b).  Confirms application to ex-ante and ex-post disclosure of information on costs and charges to clients.</w:t>
            </w:r>
          </w:p>
        </w:tc>
      </w:tr>
      <w:tr w:rsidR="00731EE3" w:rsidRPr="001807BA" w:rsidTr="00731EE3">
        <w:tc>
          <w:tcPr>
            <w:tcW w:w="2518" w:type="dxa"/>
            <w:shd w:val="clear" w:color="auto" w:fill="32464D"/>
          </w:tcPr>
          <w:p w:rsidR="00731EE3" w:rsidRPr="00731EE3" w:rsidRDefault="00731EE3">
            <w:pPr>
              <w:rPr>
                <w:rFonts w:cs="Arial"/>
                <w:color w:val="FFFFFF" w:themeColor="background1"/>
                <w:szCs w:val="20"/>
              </w:rPr>
            </w:pPr>
            <w:r w:rsidRPr="00731EE3">
              <w:rPr>
                <w:rFonts w:cs="Arial"/>
                <w:color w:val="FFFFFF" w:themeColor="background1"/>
                <w:szCs w:val="20"/>
              </w:rPr>
              <w:t>Paragraph 11</w:t>
            </w:r>
          </w:p>
        </w:tc>
        <w:tc>
          <w:tcPr>
            <w:tcW w:w="2693" w:type="dxa"/>
          </w:tcPr>
          <w:p w:rsidR="00731EE3" w:rsidRPr="001807BA" w:rsidRDefault="00731EE3">
            <w:pPr>
              <w:rPr>
                <w:rFonts w:cs="Arial"/>
                <w:szCs w:val="20"/>
              </w:rPr>
            </w:pPr>
            <w:r w:rsidRPr="001807BA">
              <w:rPr>
                <w:rFonts w:cs="Arial"/>
                <w:szCs w:val="20"/>
              </w:rPr>
              <w:t>Article 50(2)</w:t>
            </w:r>
          </w:p>
        </w:tc>
        <w:tc>
          <w:tcPr>
            <w:tcW w:w="8931" w:type="dxa"/>
            <w:shd w:val="clear" w:color="auto" w:fill="92D050"/>
          </w:tcPr>
          <w:p w:rsidR="00731EE3" w:rsidRPr="001807BA" w:rsidRDefault="00731EE3" w:rsidP="0024773A">
            <w:pPr>
              <w:spacing w:after="120"/>
              <w:rPr>
                <w:rFonts w:cs="Arial"/>
                <w:szCs w:val="20"/>
              </w:rPr>
            </w:pPr>
            <w:r w:rsidRPr="001807BA">
              <w:rPr>
                <w:rFonts w:cs="Arial"/>
                <w:szCs w:val="20"/>
              </w:rPr>
              <w:t>Text from Technical Advice paragraph 11 repeated with minor changes in Delegated Regulation Article 50(2).</w:t>
            </w:r>
          </w:p>
        </w:tc>
      </w:tr>
      <w:tr w:rsidR="00731EE3" w:rsidRPr="001807BA" w:rsidTr="00731EE3">
        <w:tc>
          <w:tcPr>
            <w:tcW w:w="2518" w:type="dxa"/>
            <w:shd w:val="clear" w:color="auto" w:fill="32464D"/>
          </w:tcPr>
          <w:p w:rsidR="00731EE3" w:rsidRPr="00731EE3" w:rsidRDefault="00731EE3">
            <w:pPr>
              <w:rPr>
                <w:rFonts w:cs="Arial"/>
                <w:color w:val="FFFFFF" w:themeColor="background1"/>
                <w:szCs w:val="20"/>
              </w:rPr>
            </w:pPr>
            <w:r w:rsidRPr="00731EE3">
              <w:rPr>
                <w:rFonts w:cs="Arial"/>
                <w:color w:val="FFFFFF" w:themeColor="background1"/>
                <w:szCs w:val="20"/>
              </w:rPr>
              <w:t>Paragraph 12</w:t>
            </w:r>
          </w:p>
        </w:tc>
        <w:tc>
          <w:tcPr>
            <w:tcW w:w="2693" w:type="dxa"/>
          </w:tcPr>
          <w:p w:rsidR="00731EE3" w:rsidRPr="001807BA" w:rsidRDefault="00731EE3">
            <w:pPr>
              <w:rPr>
                <w:rFonts w:cs="Arial"/>
                <w:szCs w:val="20"/>
              </w:rPr>
            </w:pPr>
            <w:r w:rsidRPr="001807BA">
              <w:rPr>
                <w:rFonts w:cs="Arial"/>
                <w:szCs w:val="20"/>
              </w:rPr>
              <w:t>Article 50(2)</w:t>
            </w:r>
          </w:p>
        </w:tc>
        <w:tc>
          <w:tcPr>
            <w:tcW w:w="8931" w:type="dxa"/>
            <w:shd w:val="clear" w:color="auto" w:fill="92D050"/>
          </w:tcPr>
          <w:p w:rsidR="00731EE3" w:rsidRPr="001807BA" w:rsidRDefault="00731EE3" w:rsidP="00680E86">
            <w:pPr>
              <w:spacing w:after="120"/>
              <w:rPr>
                <w:rFonts w:cs="Arial"/>
                <w:szCs w:val="20"/>
              </w:rPr>
            </w:pPr>
            <w:r w:rsidRPr="001807BA">
              <w:rPr>
                <w:rFonts w:cs="Arial"/>
                <w:szCs w:val="20"/>
              </w:rPr>
              <w:t>Text from Technical Advice paragraph 10 replicated in Delegated Regulation Article 50(2), final sentence.</w:t>
            </w:r>
          </w:p>
        </w:tc>
      </w:tr>
      <w:tr w:rsidR="00731EE3" w:rsidRPr="001807BA" w:rsidTr="00731EE3">
        <w:tc>
          <w:tcPr>
            <w:tcW w:w="2518" w:type="dxa"/>
            <w:shd w:val="clear" w:color="auto" w:fill="32464D"/>
          </w:tcPr>
          <w:p w:rsidR="00731EE3" w:rsidRPr="00731EE3" w:rsidRDefault="00731EE3">
            <w:pPr>
              <w:rPr>
                <w:rFonts w:cs="Arial"/>
                <w:color w:val="FFFFFF" w:themeColor="background1"/>
                <w:szCs w:val="20"/>
              </w:rPr>
            </w:pPr>
            <w:r w:rsidRPr="00731EE3">
              <w:rPr>
                <w:rFonts w:cs="Arial"/>
                <w:color w:val="FFFFFF" w:themeColor="background1"/>
                <w:szCs w:val="20"/>
              </w:rPr>
              <w:t>Paragraph 13</w:t>
            </w:r>
          </w:p>
        </w:tc>
        <w:tc>
          <w:tcPr>
            <w:tcW w:w="2693" w:type="dxa"/>
          </w:tcPr>
          <w:p w:rsidR="00731EE3" w:rsidRPr="001807BA" w:rsidRDefault="00731EE3">
            <w:pPr>
              <w:rPr>
                <w:rFonts w:cs="Arial"/>
                <w:szCs w:val="20"/>
              </w:rPr>
            </w:pPr>
            <w:r w:rsidRPr="001807BA">
              <w:rPr>
                <w:rFonts w:cs="Arial"/>
                <w:szCs w:val="20"/>
              </w:rPr>
              <w:t>Recital 80</w:t>
            </w:r>
          </w:p>
        </w:tc>
        <w:tc>
          <w:tcPr>
            <w:tcW w:w="8931" w:type="dxa"/>
            <w:shd w:val="clear" w:color="auto" w:fill="92D050"/>
          </w:tcPr>
          <w:p w:rsidR="00731EE3" w:rsidRPr="001807BA" w:rsidRDefault="00731EE3" w:rsidP="00046822">
            <w:pPr>
              <w:spacing w:after="120"/>
              <w:rPr>
                <w:rFonts w:cs="Arial"/>
                <w:szCs w:val="20"/>
              </w:rPr>
            </w:pPr>
            <w:r w:rsidRPr="001807BA">
              <w:rPr>
                <w:rFonts w:cs="Arial"/>
                <w:szCs w:val="20"/>
              </w:rPr>
              <w:t xml:space="preserve">Text from Technical Advice paragraph 13 moved to Delegated Regulation Recital 80 with minimal changes. </w:t>
            </w:r>
            <w:r w:rsidRPr="001807BA">
              <w:rPr>
                <w:rFonts w:cs="Arial"/>
                <w:b/>
                <w:szCs w:val="20"/>
              </w:rPr>
              <w:t>Note:</w:t>
            </w:r>
            <w:r w:rsidRPr="001807BA">
              <w:rPr>
                <w:rFonts w:cs="Arial"/>
                <w:szCs w:val="20"/>
              </w:rPr>
              <w:t xml:space="preserve"> Whilst recitals do not have the force of law, they are considered important guidance for interpretation.</w:t>
            </w:r>
          </w:p>
          <w:p w:rsidR="00731EE3" w:rsidRPr="001807BA" w:rsidRDefault="00731EE3" w:rsidP="00046822">
            <w:pPr>
              <w:spacing w:after="120"/>
              <w:rPr>
                <w:rFonts w:cs="Arial"/>
                <w:szCs w:val="20"/>
              </w:rPr>
            </w:pPr>
            <w:r w:rsidRPr="001807BA">
              <w:rPr>
                <w:rFonts w:cs="Arial"/>
                <w:szCs w:val="20"/>
              </w:rPr>
              <w:t>“While investment firms should aggregate all costs and charges in accordance with Article 24(4) of Directive 2014/65/EU and provide clients with the overall costs expressed both as a monetary amount and as a percentage, investment firms should, in addition, be allowed to provide clients or prospective clients with separate figures comprising aggregated initial costs and charges, aggregated on-going costs and charges and aggregated exit costs.”</w:t>
            </w:r>
          </w:p>
        </w:tc>
      </w:tr>
      <w:tr w:rsidR="00731EE3" w:rsidRPr="001807BA" w:rsidTr="00731EE3">
        <w:tc>
          <w:tcPr>
            <w:tcW w:w="2518" w:type="dxa"/>
            <w:shd w:val="clear" w:color="auto" w:fill="32464D"/>
          </w:tcPr>
          <w:p w:rsidR="00731EE3" w:rsidRPr="00731EE3" w:rsidRDefault="00731EE3">
            <w:pPr>
              <w:rPr>
                <w:rFonts w:cs="Arial"/>
                <w:color w:val="FFFFFF" w:themeColor="background1"/>
                <w:szCs w:val="20"/>
              </w:rPr>
            </w:pPr>
            <w:r w:rsidRPr="00731EE3">
              <w:rPr>
                <w:rFonts w:cs="Arial"/>
                <w:color w:val="FFFFFF" w:themeColor="background1"/>
                <w:szCs w:val="20"/>
              </w:rPr>
              <w:t>Paragraph 14</w:t>
            </w:r>
          </w:p>
        </w:tc>
        <w:tc>
          <w:tcPr>
            <w:tcW w:w="2693" w:type="dxa"/>
          </w:tcPr>
          <w:p w:rsidR="00731EE3" w:rsidRPr="001807BA" w:rsidRDefault="00731EE3">
            <w:pPr>
              <w:rPr>
                <w:rFonts w:cs="Arial"/>
                <w:szCs w:val="20"/>
              </w:rPr>
            </w:pPr>
            <w:r w:rsidRPr="001807BA">
              <w:rPr>
                <w:rFonts w:cs="Arial"/>
                <w:szCs w:val="20"/>
              </w:rPr>
              <w:t>Article 50(4)</w:t>
            </w:r>
          </w:p>
        </w:tc>
        <w:tc>
          <w:tcPr>
            <w:tcW w:w="8931" w:type="dxa"/>
            <w:shd w:val="clear" w:color="auto" w:fill="92D050"/>
          </w:tcPr>
          <w:p w:rsidR="00731EE3" w:rsidRPr="001807BA" w:rsidRDefault="00731EE3" w:rsidP="00680E86">
            <w:pPr>
              <w:spacing w:after="120"/>
              <w:rPr>
                <w:rFonts w:cs="Arial"/>
                <w:szCs w:val="20"/>
              </w:rPr>
            </w:pPr>
            <w:r w:rsidRPr="001807BA">
              <w:rPr>
                <w:rFonts w:cs="Arial"/>
                <w:szCs w:val="20"/>
              </w:rPr>
              <w:t xml:space="preserve">Text from Technical Advice paragraph 14 repeated with minor changes in Delegated Regulation Article 50(4).  </w:t>
            </w:r>
          </w:p>
        </w:tc>
      </w:tr>
      <w:tr w:rsidR="00731EE3" w:rsidRPr="001807BA" w:rsidTr="00731EE3">
        <w:tc>
          <w:tcPr>
            <w:tcW w:w="2518" w:type="dxa"/>
            <w:shd w:val="clear" w:color="auto" w:fill="32464D"/>
          </w:tcPr>
          <w:p w:rsidR="00731EE3" w:rsidRPr="00731EE3" w:rsidRDefault="00731EE3">
            <w:pPr>
              <w:rPr>
                <w:rFonts w:cs="Arial"/>
                <w:color w:val="FFFFFF" w:themeColor="background1"/>
                <w:szCs w:val="20"/>
              </w:rPr>
            </w:pPr>
            <w:r w:rsidRPr="00731EE3">
              <w:rPr>
                <w:rFonts w:cs="Arial"/>
                <w:color w:val="FFFFFF" w:themeColor="background1"/>
                <w:szCs w:val="20"/>
              </w:rPr>
              <w:lastRenderedPageBreak/>
              <w:t>Paragraph 15</w:t>
            </w:r>
          </w:p>
        </w:tc>
        <w:tc>
          <w:tcPr>
            <w:tcW w:w="2693" w:type="dxa"/>
          </w:tcPr>
          <w:p w:rsidR="00731EE3" w:rsidRPr="001807BA" w:rsidRDefault="00731EE3">
            <w:pPr>
              <w:rPr>
                <w:rFonts w:cs="Arial"/>
                <w:szCs w:val="20"/>
              </w:rPr>
            </w:pPr>
            <w:r w:rsidRPr="001807BA">
              <w:rPr>
                <w:rFonts w:cs="Arial"/>
                <w:szCs w:val="20"/>
              </w:rPr>
              <w:t>Article 50(5)</w:t>
            </w:r>
          </w:p>
        </w:tc>
        <w:tc>
          <w:tcPr>
            <w:tcW w:w="8931" w:type="dxa"/>
            <w:shd w:val="clear" w:color="auto" w:fill="92D050"/>
          </w:tcPr>
          <w:p w:rsidR="00731EE3" w:rsidRPr="001807BA" w:rsidRDefault="00731EE3" w:rsidP="00680E86">
            <w:pPr>
              <w:spacing w:after="120"/>
              <w:rPr>
                <w:rFonts w:cs="Arial"/>
                <w:szCs w:val="20"/>
              </w:rPr>
            </w:pPr>
            <w:r w:rsidRPr="001807BA">
              <w:rPr>
                <w:rFonts w:cs="Arial"/>
                <w:szCs w:val="20"/>
              </w:rPr>
              <w:t>Now reflected in Delegated Regulation Article 50(5).</w:t>
            </w:r>
          </w:p>
        </w:tc>
      </w:tr>
      <w:tr w:rsidR="00731EE3" w:rsidRPr="001807BA" w:rsidTr="00731EE3">
        <w:tc>
          <w:tcPr>
            <w:tcW w:w="2518" w:type="dxa"/>
            <w:shd w:val="clear" w:color="auto" w:fill="32464D"/>
          </w:tcPr>
          <w:p w:rsidR="00731EE3" w:rsidRPr="00731EE3" w:rsidRDefault="00731EE3">
            <w:pPr>
              <w:rPr>
                <w:rFonts w:cs="Arial"/>
                <w:color w:val="FFFFFF" w:themeColor="background1"/>
                <w:szCs w:val="20"/>
              </w:rPr>
            </w:pPr>
            <w:r w:rsidRPr="00731EE3">
              <w:rPr>
                <w:rFonts w:cs="Arial"/>
                <w:color w:val="FFFFFF" w:themeColor="background1"/>
                <w:szCs w:val="20"/>
              </w:rPr>
              <w:t>Paragraph 16</w:t>
            </w:r>
          </w:p>
        </w:tc>
        <w:tc>
          <w:tcPr>
            <w:tcW w:w="2693" w:type="dxa"/>
          </w:tcPr>
          <w:p w:rsidR="00731EE3" w:rsidRPr="001807BA" w:rsidRDefault="00731EE3">
            <w:pPr>
              <w:rPr>
                <w:rFonts w:cs="Arial"/>
                <w:szCs w:val="20"/>
              </w:rPr>
            </w:pPr>
            <w:r w:rsidRPr="001807BA">
              <w:rPr>
                <w:rFonts w:cs="Arial"/>
                <w:szCs w:val="20"/>
              </w:rPr>
              <w:t>Article 50(8)</w:t>
            </w:r>
          </w:p>
        </w:tc>
        <w:tc>
          <w:tcPr>
            <w:tcW w:w="8931" w:type="dxa"/>
            <w:shd w:val="clear" w:color="auto" w:fill="92D050"/>
          </w:tcPr>
          <w:p w:rsidR="00731EE3" w:rsidRPr="001807BA" w:rsidRDefault="00731EE3" w:rsidP="006D0B5E">
            <w:pPr>
              <w:spacing w:after="120"/>
              <w:rPr>
                <w:rFonts w:cs="Arial"/>
                <w:szCs w:val="20"/>
              </w:rPr>
            </w:pPr>
            <w:r w:rsidRPr="001807BA">
              <w:rPr>
                <w:rFonts w:cs="Arial"/>
                <w:szCs w:val="20"/>
              </w:rPr>
              <w:t>Text from Technical Advice paragraph 16 repeated with minor changes in Delegated Regulation Article 50(8).</w:t>
            </w:r>
          </w:p>
        </w:tc>
      </w:tr>
      <w:tr w:rsidR="00731EE3" w:rsidRPr="001807BA" w:rsidTr="00731EE3">
        <w:tc>
          <w:tcPr>
            <w:tcW w:w="2518" w:type="dxa"/>
            <w:shd w:val="clear" w:color="auto" w:fill="32464D"/>
          </w:tcPr>
          <w:p w:rsidR="00731EE3" w:rsidRPr="00731EE3" w:rsidRDefault="00731EE3" w:rsidP="00AB25E2">
            <w:pPr>
              <w:rPr>
                <w:rFonts w:cs="Arial"/>
                <w:color w:val="FFFFFF" w:themeColor="background1"/>
                <w:szCs w:val="20"/>
              </w:rPr>
            </w:pPr>
            <w:r w:rsidRPr="00731EE3">
              <w:rPr>
                <w:rFonts w:cs="Arial"/>
                <w:color w:val="FFFFFF" w:themeColor="background1"/>
                <w:szCs w:val="20"/>
              </w:rPr>
              <w:t>Paragraph 17</w:t>
            </w:r>
          </w:p>
        </w:tc>
        <w:tc>
          <w:tcPr>
            <w:tcW w:w="2693" w:type="dxa"/>
          </w:tcPr>
          <w:p w:rsidR="00731EE3" w:rsidRPr="001807BA" w:rsidRDefault="00731EE3">
            <w:pPr>
              <w:rPr>
                <w:rFonts w:cs="Arial"/>
                <w:szCs w:val="20"/>
              </w:rPr>
            </w:pPr>
            <w:r w:rsidRPr="001807BA">
              <w:rPr>
                <w:rFonts w:cs="Arial"/>
                <w:szCs w:val="20"/>
              </w:rPr>
              <w:t>Article 50(8)</w:t>
            </w:r>
          </w:p>
        </w:tc>
        <w:tc>
          <w:tcPr>
            <w:tcW w:w="8931" w:type="dxa"/>
            <w:shd w:val="clear" w:color="auto" w:fill="92D050"/>
          </w:tcPr>
          <w:p w:rsidR="00731EE3" w:rsidRPr="001807BA" w:rsidRDefault="00731EE3" w:rsidP="006D0B5E">
            <w:pPr>
              <w:spacing w:after="120"/>
              <w:rPr>
                <w:rFonts w:cs="Arial"/>
                <w:szCs w:val="20"/>
              </w:rPr>
            </w:pPr>
            <w:r w:rsidRPr="001807BA">
              <w:rPr>
                <w:rFonts w:cs="Arial"/>
                <w:szCs w:val="20"/>
              </w:rPr>
              <w:t>Text from Technical Advice paragraph 17 replicated in Delegated Regulation Article 50(8), final sentence.</w:t>
            </w:r>
          </w:p>
        </w:tc>
      </w:tr>
      <w:tr w:rsidR="00731EE3" w:rsidRPr="001807BA" w:rsidTr="00731EE3">
        <w:tc>
          <w:tcPr>
            <w:tcW w:w="2518" w:type="dxa"/>
            <w:shd w:val="clear" w:color="auto" w:fill="32464D"/>
          </w:tcPr>
          <w:p w:rsidR="00731EE3" w:rsidRPr="00731EE3" w:rsidRDefault="00731EE3">
            <w:pPr>
              <w:rPr>
                <w:rFonts w:cs="Arial"/>
                <w:color w:val="FFFFFF" w:themeColor="background1"/>
                <w:szCs w:val="20"/>
              </w:rPr>
            </w:pPr>
            <w:r w:rsidRPr="00731EE3">
              <w:rPr>
                <w:rFonts w:cs="Arial"/>
                <w:color w:val="FFFFFF" w:themeColor="background1"/>
                <w:szCs w:val="20"/>
              </w:rPr>
              <w:t>Paragraph 18</w:t>
            </w:r>
          </w:p>
        </w:tc>
        <w:tc>
          <w:tcPr>
            <w:tcW w:w="2693" w:type="dxa"/>
          </w:tcPr>
          <w:p w:rsidR="00731EE3" w:rsidRPr="001807BA" w:rsidRDefault="00731EE3">
            <w:pPr>
              <w:rPr>
                <w:rFonts w:cs="Arial"/>
                <w:szCs w:val="20"/>
              </w:rPr>
            </w:pPr>
            <w:r w:rsidRPr="001807BA">
              <w:rPr>
                <w:rFonts w:cs="Arial"/>
                <w:szCs w:val="20"/>
              </w:rPr>
              <w:t>Article 50(9)</w:t>
            </w:r>
          </w:p>
        </w:tc>
        <w:tc>
          <w:tcPr>
            <w:tcW w:w="8931" w:type="dxa"/>
            <w:shd w:val="clear" w:color="auto" w:fill="FFC000"/>
          </w:tcPr>
          <w:p w:rsidR="00731EE3" w:rsidRPr="001807BA" w:rsidRDefault="00731EE3" w:rsidP="00060ACC">
            <w:pPr>
              <w:spacing w:after="120"/>
              <w:rPr>
                <w:rFonts w:cs="Arial"/>
                <w:szCs w:val="20"/>
              </w:rPr>
            </w:pPr>
            <w:r w:rsidRPr="001807BA">
              <w:rPr>
                <w:rFonts w:cs="Arial"/>
                <w:szCs w:val="20"/>
              </w:rPr>
              <w:t>Text from Technical Advice paragraph 18 repeated with minor changes in Delegated Regulation Article 50(9).  Phrase “provided on regular basis during the life of the investment” removed, although, generally, this is understood.</w:t>
            </w:r>
          </w:p>
          <w:p w:rsidR="00731EE3" w:rsidRPr="001807BA" w:rsidRDefault="00731EE3" w:rsidP="00F0672D">
            <w:pPr>
              <w:spacing w:after="120"/>
              <w:rPr>
                <w:rFonts w:cs="Arial"/>
                <w:szCs w:val="20"/>
              </w:rPr>
            </w:pPr>
            <w:r w:rsidRPr="001807BA">
              <w:rPr>
                <w:rFonts w:cs="Arial"/>
                <w:szCs w:val="20"/>
              </w:rPr>
              <w:t>Topic also covered in Article 46 “General requirements for information to clients”.</w:t>
            </w:r>
          </w:p>
        </w:tc>
      </w:tr>
      <w:tr w:rsidR="00731EE3" w:rsidRPr="001807BA" w:rsidTr="00731EE3">
        <w:tc>
          <w:tcPr>
            <w:tcW w:w="2518" w:type="dxa"/>
            <w:shd w:val="clear" w:color="auto" w:fill="32464D"/>
          </w:tcPr>
          <w:p w:rsidR="00731EE3" w:rsidRPr="00731EE3" w:rsidRDefault="00731EE3">
            <w:pPr>
              <w:rPr>
                <w:rFonts w:cs="Arial"/>
                <w:color w:val="FFFFFF" w:themeColor="background1"/>
                <w:szCs w:val="20"/>
              </w:rPr>
            </w:pPr>
            <w:r w:rsidRPr="00731EE3">
              <w:rPr>
                <w:rFonts w:cs="Arial"/>
                <w:color w:val="FFFFFF" w:themeColor="background1"/>
                <w:szCs w:val="20"/>
              </w:rPr>
              <w:t>Paragraph 19</w:t>
            </w:r>
          </w:p>
        </w:tc>
        <w:tc>
          <w:tcPr>
            <w:tcW w:w="2693" w:type="dxa"/>
          </w:tcPr>
          <w:p w:rsidR="00731EE3" w:rsidRPr="001807BA" w:rsidRDefault="00731EE3">
            <w:pPr>
              <w:rPr>
                <w:rFonts w:cs="Arial"/>
                <w:szCs w:val="20"/>
              </w:rPr>
            </w:pPr>
            <w:r w:rsidRPr="001807BA">
              <w:rPr>
                <w:rFonts w:cs="Arial"/>
                <w:szCs w:val="20"/>
              </w:rPr>
              <w:t>Article 50(10)</w:t>
            </w:r>
          </w:p>
        </w:tc>
        <w:tc>
          <w:tcPr>
            <w:tcW w:w="8931" w:type="dxa"/>
            <w:shd w:val="clear" w:color="auto" w:fill="FFC000"/>
          </w:tcPr>
          <w:p w:rsidR="00731EE3" w:rsidRPr="001807BA" w:rsidRDefault="00731EE3" w:rsidP="00825D1F">
            <w:pPr>
              <w:spacing w:after="120"/>
              <w:rPr>
                <w:rFonts w:cs="Arial"/>
                <w:szCs w:val="20"/>
              </w:rPr>
            </w:pPr>
            <w:r w:rsidRPr="001807BA">
              <w:rPr>
                <w:rFonts w:cs="Arial"/>
                <w:szCs w:val="20"/>
              </w:rPr>
              <w:t xml:space="preserve">Text from Technical Advice paragraph 19 repeated with some changes in Delegated Regulation Article 50(10).  </w:t>
            </w:r>
            <w:proofErr w:type="gramStart"/>
            <w:r w:rsidRPr="001807BA">
              <w:rPr>
                <w:rFonts w:cs="Arial"/>
                <w:szCs w:val="20"/>
              </w:rPr>
              <w:t>In particular, the</w:t>
            </w:r>
            <w:proofErr w:type="gramEnd"/>
            <w:r w:rsidRPr="001807BA">
              <w:rPr>
                <w:rFonts w:cs="Arial"/>
                <w:szCs w:val="20"/>
              </w:rPr>
              <w:t xml:space="preserve"> phrase “point of sale” has been removed.</w:t>
            </w:r>
          </w:p>
        </w:tc>
      </w:tr>
      <w:tr w:rsidR="00731EE3" w:rsidRPr="001807BA" w:rsidTr="00731EE3">
        <w:tc>
          <w:tcPr>
            <w:tcW w:w="2518" w:type="dxa"/>
            <w:shd w:val="clear" w:color="auto" w:fill="32464D"/>
          </w:tcPr>
          <w:p w:rsidR="00731EE3" w:rsidRPr="00731EE3" w:rsidRDefault="00731EE3">
            <w:pPr>
              <w:rPr>
                <w:rFonts w:cs="Arial"/>
                <w:color w:val="FFFFFF" w:themeColor="background1"/>
                <w:szCs w:val="20"/>
              </w:rPr>
            </w:pPr>
            <w:r w:rsidRPr="00731EE3">
              <w:rPr>
                <w:rFonts w:cs="Arial"/>
                <w:color w:val="FFFFFF" w:themeColor="background1"/>
                <w:szCs w:val="20"/>
              </w:rPr>
              <w:t>N/A</w:t>
            </w:r>
          </w:p>
        </w:tc>
        <w:tc>
          <w:tcPr>
            <w:tcW w:w="2693" w:type="dxa"/>
          </w:tcPr>
          <w:p w:rsidR="00731EE3" w:rsidRPr="001807BA" w:rsidRDefault="00731EE3">
            <w:pPr>
              <w:rPr>
                <w:rFonts w:cs="Arial"/>
                <w:szCs w:val="20"/>
              </w:rPr>
            </w:pPr>
            <w:r w:rsidRPr="001807BA">
              <w:rPr>
                <w:rFonts w:cs="Arial"/>
                <w:szCs w:val="20"/>
              </w:rPr>
              <w:t>Article 50(3)</w:t>
            </w:r>
          </w:p>
        </w:tc>
        <w:tc>
          <w:tcPr>
            <w:tcW w:w="8931" w:type="dxa"/>
            <w:shd w:val="clear" w:color="auto" w:fill="FF0000"/>
          </w:tcPr>
          <w:p w:rsidR="00731EE3" w:rsidRPr="001807BA" w:rsidRDefault="00731EE3">
            <w:pPr>
              <w:rPr>
                <w:rFonts w:cs="Arial"/>
                <w:szCs w:val="20"/>
              </w:rPr>
            </w:pPr>
            <w:r w:rsidRPr="001807BA">
              <w:rPr>
                <w:rFonts w:cs="Arial"/>
                <w:szCs w:val="20"/>
              </w:rPr>
              <w:t xml:space="preserve">New paragraph: </w:t>
            </w:r>
          </w:p>
          <w:p w:rsidR="00731EE3" w:rsidRPr="001807BA" w:rsidRDefault="00731EE3">
            <w:pPr>
              <w:rPr>
                <w:rFonts w:cs="Arial"/>
                <w:szCs w:val="20"/>
              </w:rPr>
            </w:pPr>
            <w:r w:rsidRPr="001807BA">
              <w:rPr>
                <w:rFonts w:cs="Arial"/>
                <w:szCs w:val="20"/>
              </w:rPr>
              <w:t>“Where any part of the total costs and charges is to be paid in or represents an amount of foreign currency, investment firms shall provide an indication of the currency involved and the applicable currency conversion rates and costs. Investments firms shall also inform about the arrangements for payment or other performance.”</w:t>
            </w:r>
          </w:p>
          <w:p w:rsidR="00731EE3" w:rsidRPr="001807BA" w:rsidRDefault="00731EE3">
            <w:pPr>
              <w:rPr>
                <w:rFonts w:cs="Arial"/>
                <w:szCs w:val="20"/>
              </w:rPr>
            </w:pPr>
          </w:p>
        </w:tc>
      </w:tr>
      <w:tr w:rsidR="00731EE3" w:rsidRPr="001807BA" w:rsidTr="00731EE3">
        <w:tc>
          <w:tcPr>
            <w:tcW w:w="2518" w:type="dxa"/>
            <w:shd w:val="clear" w:color="auto" w:fill="32464D"/>
          </w:tcPr>
          <w:p w:rsidR="00731EE3" w:rsidRPr="00731EE3" w:rsidRDefault="00731EE3">
            <w:pPr>
              <w:rPr>
                <w:rFonts w:cs="Arial"/>
                <w:color w:val="FFFFFF" w:themeColor="background1"/>
                <w:szCs w:val="20"/>
              </w:rPr>
            </w:pPr>
            <w:r w:rsidRPr="00731EE3">
              <w:rPr>
                <w:rFonts w:cs="Arial"/>
                <w:color w:val="FFFFFF" w:themeColor="background1"/>
                <w:szCs w:val="20"/>
              </w:rPr>
              <w:t>Annex 2.14.1</w:t>
            </w:r>
          </w:p>
          <w:p w:rsidR="00731EE3" w:rsidRPr="00731EE3" w:rsidRDefault="00731EE3">
            <w:pPr>
              <w:rPr>
                <w:rFonts w:cs="Arial"/>
                <w:color w:val="FFFFFF" w:themeColor="background1"/>
                <w:szCs w:val="20"/>
              </w:rPr>
            </w:pPr>
            <w:r w:rsidRPr="00731EE3">
              <w:rPr>
                <w:rFonts w:cs="Arial"/>
                <w:color w:val="FFFFFF" w:themeColor="background1"/>
                <w:szCs w:val="20"/>
              </w:rPr>
              <w:t>Table 1</w:t>
            </w:r>
          </w:p>
        </w:tc>
        <w:tc>
          <w:tcPr>
            <w:tcW w:w="2693" w:type="dxa"/>
          </w:tcPr>
          <w:p w:rsidR="00731EE3" w:rsidRPr="001807BA" w:rsidRDefault="00731EE3">
            <w:pPr>
              <w:rPr>
                <w:rFonts w:cs="Arial"/>
                <w:szCs w:val="20"/>
              </w:rPr>
            </w:pPr>
            <w:r w:rsidRPr="001807BA">
              <w:rPr>
                <w:rFonts w:cs="Arial"/>
                <w:szCs w:val="20"/>
              </w:rPr>
              <w:t>Annex 2</w:t>
            </w:r>
          </w:p>
          <w:p w:rsidR="00731EE3" w:rsidRPr="001807BA" w:rsidRDefault="00731EE3">
            <w:pPr>
              <w:rPr>
                <w:rFonts w:cs="Arial"/>
                <w:szCs w:val="20"/>
              </w:rPr>
            </w:pPr>
            <w:r w:rsidRPr="001807BA">
              <w:rPr>
                <w:rFonts w:cs="Arial"/>
                <w:szCs w:val="20"/>
              </w:rPr>
              <w:t>Table 1</w:t>
            </w:r>
          </w:p>
        </w:tc>
        <w:tc>
          <w:tcPr>
            <w:tcW w:w="8931" w:type="dxa"/>
            <w:shd w:val="clear" w:color="auto" w:fill="92D050"/>
          </w:tcPr>
          <w:p w:rsidR="00731EE3" w:rsidRPr="001807BA" w:rsidRDefault="00731EE3">
            <w:pPr>
              <w:rPr>
                <w:rFonts w:cs="Arial"/>
                <w:szCs w:val="20"/>
              </w:rPr>
            </w:pPr>
            <w:r w:rsidRPr="001807BA">
              <w:rPr>
                <w:rFonts w:cs="Arial"/>
                <w:szCs w:val="20"/>
              </w:rPr>
              <w:t>Minimal changes</w:t>
            </w:r>
          </w:p>
          <w:p w:rsidR="00731EE3" w:rsidRPr="001807BA" w:rsidRDefault="00731EE3">
            <w:pPr>
              <w:rPr>
                <w:rFonts w:cs="Arial"/>
                <w:szCs w:val="20"/>
              </w:rPr>
            </w:pPr>
          </w:p>
        </w:tc>
      </w:tr>
      <w:tr w:rsidR="00731EE3" w:rsidRPr="001807BA" w:rsidTr="00731EE3">
        <w:tc>
          <w:tcPr>
            <w:tcW w:w="2518" w:type="dxa"/>
            <w:shd w:val="clear" w:color="auto" w:fill="32464D"/>
          </w:tcPr>
          <w:p w:rsidR="00731EE3" w:rsidRPr="00731EE3" w:rsidRDefault="00731EE3" w:rsidP="00EF182E">
            <w:pPr>
              <w:rPr>
                <w:rFonts w:cs="Arial"/>
                <w:color w:val="FFFFFF" w:themeColor="background1"/>
                <w:szCs w:val="20"/>
              </w:rPr>
            </w:pPr>
            <w:r w:rsidRPr="00731EE3">
              <w:rPr>
                <w:rFonts w:cs="Arial"/>
                <w:color w:val="FFFFFF" w:themeColor="background1"/>
                <w:szCs w:val="20"/>
              </w:rPr>
              <w:t>Annex 2.14.1</w:t>
            </w:r>
          </w:p>
          <w:p w:rsidR="00731EE3" w:rsidRPr="00731EE3" w:rsidRDefault="00731EE3" w:rsidP="00EF182E">
            <w:pPr>
              <w:rPr>
                <w:rFonts w:cs="Arial"/>
                <w:color w:val="FFFFFF" w:themeColor="background1"/>
                <w:szCs w:val="20"/>
              </w:rPr>
            </w:pPr>
            <w:r w:rsidRPr="00731EE3">
              <w:rPr>
                <w:rFonts w:cs="Arial"/>
                <w:color w:val="FFFFFF" w:themeColor="background1"/>
                <w:szCs w:val="20"/>
              </w:rPr>
              <w:t>Table 2</w:t>
            </w:r>
          </w:p>
        </w:tc>
        <w:tc>
          <w:tcPr>
            <w:tcW w:w="2693" w:type="dxa"/>
          </w:tcPr>
          <w:p w:rsidR="00731EE3" w:rsidRPr="001807BA" w:rsidRDefault="00731EE3" w:rsidP="00EF182E">
            <w:pPr>
              <w:rPr>
                <w:rFonts w:cs="Arial"/>
                <w:szCs w:val="20"/>
              </w:rPr>
            </w:pPr>
            <w:r w:rsidRPr="001807BA">
              <w:rPr>
                <w:rFonts w:cs="Arial"/>
                <w:szCs w:val="20"/>
              </w:rPr>
              <w:t>Annex 2</w:t>
            </w:r>
          </w:p>
          <w:p w:rsidR="00731EE3" w:rsidRPr="001807BA" w:rsidRDefault="00731EE3" w:rsidP="00EF182E">
            <w:pPr>
              <w:rPr>
                <w:rFonts w:cs="Arial"/>
                <w:szCs w:val="20"/>
              </w:rPr>
            </w:pPr>
            <w:r w:rsidRPr="001807BA">
              <w:rPr>
                <w:rFonts w:cs="Arial"/>
                <w:szCs w:val="20"/>
              </w:rPr>
              <w:t>Table 1</w:t>
            </w:r>
          </w:p>
        </w:tc>
        <w:tc>
          <w:tcPr>
            <w:tcW w:w="8931" w:type="dxa"/>
            <w:shd w:val="clear" w:color="auto" w:fill="92D050"/>
          </w:tcPr>
          <w:p w:rsidR="00731EE3" w:rsidRPr="001807BA" w:rsidRDefault="00731EE3">
            <w:pPr>
              <w:rPr>
                <w:rFonts w:cs="Arial"/>
                <w:szCs w:val="20"/>
              </w:rPr>
            </w:pPr>
            <w:r w:rsidRPr="001807BA">
              <w:rPr>
                <w:rFonts w:cs="Arial"/>
                <w:szCs w:val="20"/>
              </w:rPr>
              <w:t>Minimal changes</w:t>
            </w:r>
          </w:p>
        </w:tc>
      </w:tr>
    </w:tbl>
    <w:p w:rsidR="00731EE3" w:rsidRPr="001807BA" w:rsidRDefault="00731EE3">
      <w:pPr>
        <w:rPr>
          <w:rFonts w:cs="Arial"/>
          <w:szCs w:val="20"/>
        </w:rPr>
      </w:pPr>
    </w:p>
    <w:p w:rsidR="00CE3BE1" w:rsidRDefault="00CE3BE1">
      <w:pPr>
        <w:spacing w:after="200" w:line="276" w:lineRule="auto"/>
        <w:rPr>
          <w:rFonts w:cs="Arial"/>
          <w:szCs w:val="20"/>
        </w:rPr>
        <w:sectPr w:rsidR="00CE3BE1" w:rsidSect="00CB058A">
          <w:headerReference w:type="default" r:id="rId11"/>
          <w:footerReference w:type="even" r:id="rId12"/>
          <w:footerReference w:type="default" r:id="rId13"/>
          <w:footerReference w:type="first" r:id="rId14"/>
          <w:pgSz w:w="16838" w:h="11906" w:orient="landscape" w:code="9"/>
          <w:pgMar w:top="1418" w:right="1418" w:bottom="1418" w:left="1418" w:header="709" w:footer="709" w:gutter="0"/>
          <w:cols w:space="708"/>
          <w:docGrid w:linePitch="360"/>
        </w:sectPr>
      </w:pPr>
    </w:p>
    <w:p w:rsidR="00731EE3" w:rsidRPr="00731EE3" w:rsidRDefault="00731EE3" w:rsidP="00731EE3">
      <w:pPr>
        <w:pStyle w:val="ssPara1"/>
        <w:jc w:val="center"/>
        <w:rPr>
          <w:b/>
        </w:rPr>
      </w:pPr>
      <w:r w:rsidRPr="00731EE3">
        <w:rPr>
          <w:b/>
        </w:rPr>
        <w:lastRenderedPageBreak/>
        <w:t>Costs and Charges</w:t>
      </w:r>
    </w:p>
    <w:p w:rsidR="00731EE3" w:rsidRPr="00731EE3" w:rsidRDefault="00731EE3" w:rsidP="00731EE3">
      <w:pPr>
        <w:pStyle w:val="ssPara1"/>
        <w:jc w:val="center"/>
        <w:rPr>
          <w:b/>
        </w:rPr>
      </w:pPr>
      <w:r w:rsidRPr="00731EE3">
        <w:rPr>
          <w:b/>
        </w:rPr>
        <w:t>Technical Advice</w:t>
      </w:r>
    </w:p>
    <w:p w:rsidR="00731EE3" w:rsidRPr="00731EE3" w:rsidRDefault="00731EE3" w:rsidP="00731EE3">
      <w:pPr>
        <w:pStyle w:val="ssPara1"/>
        <w:rPr>
          <w:b/>
        </w:rPr>
      </w:pPr>
      <w:r w:rsidRPr="00731EE3">
        <w:rPr>
          <w:b/>
        </w:rPr>
        <w:t>Scope – retail clients, professional clients and eligible counterparties</w:t>
      </w:r>
    </w:p>
    <w:p w:rsidR="00731EE3" w:rsidRPr="001807BA" w:rsidRDefault="00731EE3" w:rsidP="00731EE3">
      <w:pPr>
        <w:pStyle w:val="ssNoHeading1"/>
      </w:pPr>
      <w:r w:rsidRPr="001807BA">
        <w:t>The following detailed information on costs and associated charges should be made available to retail clients, professional clients and eligible counterparties.</w:t>
      </w:r>
    </w:p>
    <w:p w:rsidR="00731EE3" w:rsidRPr="001807BA" w:rsidRDefault="00731EE3" w:rsidP="00731EE3">
      <w:pPr>
        <w:pStyle w:val="ssNoHeading1"/>
      </w:pPr>
      <w:r w:rsidRPr="001807BA">
        <w:t>When providing investment services to professional clients, investment firms shall be able to agree a limited application of these detailed requirements, except in the following situations:</w:t>
      </w:r>
    </w:p>
    <w:p w:rsidR="00731EE3" w:rsidRPr="001807BA" w:rsidRDefault="00731EE3" w:rsidP="00731EE3">
      <w:pPr>
        <w:pStyle w:val="ssPara2"/>
        <w:numPr>
          <w:ilvl w:val="0"/>
          <w:numId w:val="30"/>
        </w:numPr>
        <w:ind w:hanging="709"/>
      </w:pPr>
      <w:r w:rsidRPr="001807BA">
        <w:t>when the services of investment advice or portfolio management are provided, or</w:t>
      </w:r>
    </w:p>
    <w:p w:rsidR="00731EE3" w:rsidRPr="001807BA" w:rsidRDefault="00731EE3" w:rsidP="00731EE3">
      <w:pPr>
        <w:pStyle w:val="ssPara2"/>
        <w:numPr>
          <w:ilvl w:val="0"/>
          <w:numId w:val="30"/>
        </w:numPr>
        <w:ind w:hanging="709"/>
      </w:pPr>
      <w:r w:rsidRPr="001807BA">
        <w:t>when, irrespective of the investment service provided, the financial instruments concerned embed a derivative.</w:t>
      </w:r>
    </w:p>
    <w:p w:rsidR="00731EE3" w:rsidRPr="001807BA" w:rsidRDefault="00731EE3" w:rsidP="00731EE3">
      <w:pPr>
        <w:pStyle w:val="ssNoHeading1"/>
      </w:pPr>
      <w:r w:rsidRPr="001807BA">
        <w:t>When providing investment services to eligible counterparties, investment firms shall be able to agree a limited application of these detailed requirements, except when, irrespective of the investment service provided, the financial instruments concerned embed a derivative and the eligible counterparty intends to offer them to its clients.</w:t>
      </w:r>
    </w:p>
    <w:p w:rsidR="00731EE3" w:rsidRPr="001807BA" w:rsidRDefault="00731EE3" w:rsidP="001807BA">
      <w:pPr>
        <w:pStyle w:val="ssPara1"/>
        <w:rPr>
          <w:rFonts w:cs="Arial"/>
          <w:b/>
          <w:szCs w:val="20"/>
        </w:rPr>
      </w:pPr>
      <w:r w:rsidRPr="001807BA">
        <w:rPr>
          <w:rFonts w:cs="Arial"/>
          <w:b/>
          <w:szCs w:val="20"/>
        </w:rPr>
        <w:t>Scope – point of sale disclosure (ex-ante)</w:t>
      </w:r>
    </w:p>
    <w:p w:rsidR="00731EE3" w:rsidRPr="001807BA" w:rsidRDefault="00731EE3" w:rsidP="00731EE3">
      <w:pPr>
        <w:pStyle w:val="ssNoHeading1"/>
      </w:pPr>
      <w:r w:rsidRPr="001807BA">
        <w:t>The obligation to provide a full point of sale disclosure, where aggregated information about the costs related to the financial instrument and the costs related to the investment or ancillary service is provided, should apply to investment firms in the following situations:</w:t>
      </w:r>
    </w:p>
    <w:p w:rsidR="00731EE3" w:rsidRPr="001807BA" w:rsidRDefault="00731EE3" w:rsidP="00731EE3">
      <w:pPr>
        <w:pStyle w:val="ssPara2"/>
        <w:numPr>
          <w:ilvl w:val="0"/>
          <w:numId w:val="33"/>
        </w:numPr>
        <w:ind w:hanging="709"/>
      </w:pPr>
      <w:r w:rsidRPr="001807BA">
        <w:t>when the investment firm recommends or markets financial instruments to clients; or</w:t>
      </w:r>
    </w:p>
    <w:p w:rsidR="00731EE3" w:rsidRPr="001807BA" w:rsidRDefault="00731EE3" w:rsidP="00731EE3">
      <w:pPr>
        <w:pStyle w:val="ssPara2"/>
        <w:numPr>
          <w:ilvl w:val="0"/>
          <w:numId w:val="33"/>
        </w:numPr>
        <w:ind w:hanging="709"/>
      </w:pPr>
      <w:r w:rsidRPr="001807BA">
        <w:t xml:space="preserve">when the investment firm providing any </w:t>
      </w:r>
      <w:proofErr w:type="gramStart"/>
      <w:r w:rsidRPr="001807BA">
        <w:t>investment</w:t>
      </w:r>
      <w:proofErr w:type="gramEnd"/>
      <w:r w:rsidRPr="001807BA">
        <w:t xml:space="preserve"> services is required to provide clients with a KID/KIID in relation to the relevant financial instruments, in accordance with relevant Union legislation.</w:t>
      </w:r>
    </w:p>
    <w:p w:rsidR="00731EE3" w:rsidRPr="001807BA" w:rsidRDefault="00731EE3" w:rsidP="00731EE3">
      <w:pPr>
        <w:pStyle w:val="ssNoHeading1"/>
      </w:pPr>
      <w:r w:rsidRPr="001807BA">
        <w:t xml:space="preserve">If the investment firm does not recommend or market a financial instrument to the client and is not obliged to provide the client with a KID/KIID in accordance with relevant Union legislation, the investment firm </w:t>
      </w:r>
      <w:proofErr w:type="gramStart"/>
      <w:r w:rsidRPr="001807BA">
        <w:t>has to</w:t>
      </w:r>
      <w:proofErr w:type="gramEnd"/>
      <w:r w:rsidRPr="001807BA">
        <w:t xml:space="preserve"> inform the client about all costs and charges relating to the investment and/or ancillary service provided.</w:t>
      </w:r>
    </w:p>
    <w:p w:rsidR="00731EE3" w:rsidRPr="001807BA" w:rsidRDefault="00731EE3" w:rsidP="00731EE3">
      <w:pPr>
        <w:pStyle w:val="ssNoHeading1"/>
      </w:pPr>
      <w:r w:rsidRPr="001807BA">
        <w:t xml:space="preserve">When more than one investment firm provides investment or ancillary services to the client, each investment firm should provide information about the costs of the investment or ancillary services it provides. An investment firm that recommends or markets to its clients the services provided by another firm, should aggregate the cost of its services together with the cost of the services provided by the other firm. An investment firm should only </w:t>
      </w:r>
      <w:proofErr w:type="gramStart"/>
      <w:r w:rsidRPr="001807BA">
        <w:t>take into account</w:t>
      </w:r>
      <w:proofErr w:type="gramEnd"/>
      <w:r w:rsidRPr="001807BA">
        <w:t xml:space="preserve"> the costs associated to the provision by other firms of other investment or ancillary services (in addition to the costs associated to the services provided by itself) if it has directed the client to these firms.</w:t>
      </w:r>
    </w:p>
    <w:p w:rsidR="00731EE3" w:rsidRPr="001807BA" w:rsidRDefault="00731EE3" w:rsidP="001807BA">
      <w:pPr>
        <w:pStyle w:val="ssPara1"/>
        <w:rPr>
          <w:rFonts w:cs="Arial"/>
          <w:b/>
          <w:szCs w:val="20"/>
        </w:rPr>
      </w:pPr>
      <w:r w:rsidRPr="001807BA">
        <w:rPr>
          <w:rFonts w:cs="Arial"/>
          <w:b/>
          <w:szCs w:val="20"/>
        </w:rPr>
        <w:t>Scope of post-sale periodic disclosure</w:t>
      </w:r>
    </w:p>
    <w:p w:rsidR="00731EE3" w:rsidRPr="001807BA" w:rsidRDefault="00731EE3" w:rsidP="00731EE3">
      <w:pPr>
        <w:pStyle w:val="ssNoHeading1"/>
      </w:pPr>
      <w:r w:rsidRPr="001807BA">
        <w:t>Investment firms should be obliged to provide annual post-sale information about all costs and charges related to both the financial instrument(s) and investment and ancillary service(s) if they have recommended or marketed the financial instrument(s) or they have provided the client with the KID/KIID in relation to the financial instrument(s) and they have/or have had an ongoing client relationship during the year.</w:t>
      </w:r>
    </w:p>
    <w:p w:rsidR="00731EE3" w:rsidRDefault="00731EE3" w:rsidP="00731EE3">
      <w:pPr>
        <w:pStyle w:val="ssNoHeading1"/>
      </w:pPr>
      <w:r w:rsidRPr="001807BA">
        <w:lastRenderedPageBreak/>
        <w:t>Investment firms should be allowed to provide aggregated information on costs and charges of the investment services and the financial instruments together with any existing periodic reporting provided to clients.</w:t>
      </w:r>
    </w:p>
    <w:p w:rsidR="00731EE3" w:rsidRPr="001807BA" w:rsidRDefault="00731EE3" w:rsidP="001807BA">
      <w:pPr>
        <w:pStyle w:val="ssPara1"/>
        <w:rPr>
          <w:rFonts w:cs="Arial"/>
          <w:b/>
          <w:szCs w:val="20"/>
        </w:rPr>
      </w:pPr>
      <w:r w:rsidRPr="001807BA">
        <w:rPr>
          <w:rFonts w:cs="Arial"/>
          <w:b/>
          <w:szCs w:val="20"/>
        </w:rPr>
        <w:t>Costs and charges to be aggregated</w:t>
      </w:r>
    </w:p>
    <w:p w:rsidR="00731EE3" w:rsidRPr="001807BA" w:rsidRDefault="00731EE3" w:rsidP="00731EE3">
      <w:pPr>
        <w:pStyle w:val="ssNoHeading1"/>
      </w:pPr>
      <w:r w:rsidRPr="001807BA">
        <w:t>Costs and charges listed in the Annex to this chapter should be aggregated both for ex-ante and ex- post disclosure to clients.</w:t>
      </w:r>
    </w:p>
    <w:p w:rsidR="00731EE3" w:rsidRPr="001807BA" w:rsidRDefault="00731EE3" w:rsidP="00731EE3">
      <w:pPr>
        <w:pStyle w:val="ssNoHeading1"/>
      </w:pPr>
      <w:r w:rsidRPr="001807BA">
        <w:t>Investment firms should aggregate:</w:t>
      </w:r>
    </w:p>
    <w:p w:rsidR="00731EE3" w:rsidRPr="00731EE3" w:rsidRDefault="00731EE3" w:rsidP="00731EE3">
      <w:pPr>
        <w:pStyle w:val="ssPara2"/>
        <w:numPr>
          <w:ilvl w:val="0"/>
          <w:numId w:val="35"/>
        </w:numPr>
        <w:ind w:hanging="709"/>
      </w:pPr>
      <w:r w:rsidRPr="00731EE3">
        <w:t>all costs and associated charges charged by the investment firm or other parties where the client has been directed to such other parties, for the investment services(s) and/or ancillary services provided to the client; and</w:t>
      </w:r>
    </w:p>
    <w:p w:rsidR="00731EE3" w:rsidRPr="00731EE3" w:rsidRDefault="00731EE3" w:rsidP="00731EE3">
      <w:pPr>
        <w:pStyle w:val="ssPara2"/>
        <w:numPr>
          <w:ilvl w:val="0"/>
          <w:numId w:val="35"/>
        </w:numPr>
        <w:ind w:hanging="709"/>
      </w:pPr>
      <w:r w:rsidRPr="00731EE3">
        <w:t>all costs and associated charges associated with the manufacturing and managing of the financial instruments.</w:t>
      </w:r>
    </w:p>
    <w:p w:rsidR="00731EE3" w:rsidRPr="001807BA" w:rsidRDefault="00731EE3" w:rsidP="00731EE3">
      <w:pPr>
        <w:pStyle w:val="ssNoHeading1"/>
      </w:pPr>
      <w:r w:rsidRPr="001807BA">
        <w:t>Third party payments received by investment firms in connection with the investment service provided to a client shall be regarded as part of the cost of the service provided to the client and identified separately (i.e. it should be clear to the client what part of the costs paid are rebated to the investment firm providing the investment service).</w:t>
      </w:r>
    </w:p>
    <w:p w:rsidR="00731EE3" w:rsidRPr="001807BA" w:rsidRDefault="00731EE3" w:rsidP="00731EE3">
      <w:pPr>
        <w:pStyle w:val="ssNoHeading1"/>
      </w:pPr>
      <w:r w:rsidRPr="001807BA">
        <w:t xml:space="preserve">The aggregated costs and charges should be </w:t>
      </w:r>
      <w:proofErr w:type="spellStart"/>
      <w:r w:rsidRPr="001807BA">
        <w:t>totaled</w:t>
      </w:r>
      <w:proofErr w:type="spellEnd"/>
      <w:r w:rsidRPr="001807BA">
        <w:t xml:space="preserve"> and expressed both as a cash amount and as a percentage.</w:t>
      </w:r>
    </w:p>
    <w:p w:rsidR="00731EE3" w:rsidRPr="001807BA" w:rsidRDefault="00731EE3" w:rsidP="00731EE3">
      <w:pPr>
        <w:pStyle w:val="ssNoHeading1"/>
      </w:pPr>
      <w:r w:rsidRPr="001807BA">
        <w:t>Investment firms should be allowed to provide clients or prospective clients with separate figures comprising:</w:t>
      </w:r>
    </w:p>
    <w:p w:rsidR="00731EE3" w:rsidRPr="001807BA" w:rsidRDefault="00731EE3" w:rsidP="00731EE3">
      <w:pPr>
        <w:pStyle w:val="ssPara2"/>
        <w:numPr>
          <w:ilvl w:val="0"/>
          <w:numId w:val="36"/>
        </w:numPr>
        <w:ind w:hanging="709"/>
      </w:pPr>
      <w:r w:rsidRPr="001807BA">
        <w:t>aggregated initial costs and charges;</w:t>
      </w:r>
    </w:p>
    <w:p w:rsidR="00731EE3" w:rsidRPr="001807BA" w:rsidRDefault="00731EE3" w:rsidP="00731EE3">
      <w:pPr>
        <w:pStyle w:val="ssPara2"/>
        <w:numPr>
          <w:ilvl w:val="0"/>
          <w:numId w:val="36"/>
        </w:numPr>
        <w:ind w:hanging="709"/>
      </w:pPr>
      <w:r w:rsidRPr="001807BA">
        <w:t>aggregated on-going costs and charges; and</w:t>
      </w:r>
    </w:p>
    <w:p w:rsidR="00731EE3" w:rsidRPr="001807BA" w:rsidRDefault="00731EE3" w:rsidP="00731EE3">
      <w:pPr>
        <w:pStyle w:val="ssPara2"/>
        <w:numPr>
          <w:ilvl w:val="0"/>
          <w:numId w:val="36"/>
        </w:numPr>
        <w:ind w:hanging="709"/>
      </w:pPr>
      <w:r w:rsidRPr="001807BA">
        <w:t>aggregated exit costs,</w:t>
      </w:r>
    </w:p>
    <w:p w:rsidR="00731EE3" w:rsidRPr="001807BA" w:rsidRDefault="00731EE3" w:rsidP="00731EE3">
      <w:pPr>
        <w:pStyle w:val="ssNoHeading1"/>
      </w:pPr>
      <w:r w:rsidRPr="001807BA">
        <w:t>In relation to UCITS, the Commission should consider the possibility to require the disclosure of product costs and charges that are not included in the UCITS KIID. In line with Recital 78 of MiFID II, where transaction costs have not been provided by a UCITS management company, the investment firms should calculate and disclose these costs (for example, by liaising with UCITS management companies to obtain the relevant information).</w:t>
      </w:r>
    </w:p>
    <w:p w:rsidR="00731EE3" w:rsidRPr="001807BA" w:rsidRDefault="00731EE3" w:rsidP="001807BA">
      <w:pPr>
        <w:pStyle w:val="ssPara1"/>
        <w:rPr>
          <w:rFonts w:cs="Arial"/>
          <w:b/>
          <w:szCs w:val="20"/>
        </w:rPr>
      </w:pPr>
      <w:r w:rsidRPr="001807BA">
        <w:rPr>
          <w:rFonts w:cs="Arial"/>
          <w:b/>
          <w:szCs w:val="20"/>
        </w:rPr>
        <w:t>Timing of disclosure and methodology</w:t>
      </w:r>
    </w:p>
    <w:p w:rsidR="00731EE3" w:rsidRPr="00731EE3" w:rsidRDefault="00731EE3" w:rsidP="001807BA">
      <w:pPr>
        <w:pStyle w:val="ssPara1"/>
        <w:rPr>
          <w:rFonts w:cs="Arial"/>
          <w:szCs w:val="20"/>
        </w:rPr>
      </w:pPr>
      <w:r w:rsidRPr="00731EE3">
        <w:rPr>
          <w:rFonts w:cs="Arial"/>
          <w:szCs w:val="20"/>
        </w:rPr>
        <w:t>Point of sale disclosure of information (ex-ante disclosure)</w:t>
      </w:r>
    </w:p>
    <w:p w:rsidR="00731EE3" w:rsidRPr="001807BA" w:rsidRDefault="00731EE3" w:rsidP="00731EE3">
      <w:pPr>
        <w:pStyle w:val="ssNoHeading1"/>
      </w:pPr>
      <w:r w:rsidRPr="001807BA">
        <w:t xml:space="preserve">The (potential) clients should be allowed enough time to consider material information when they make their investment decisions. </w:t>
      </w:r>
      <w:proofErr w:type="gramStart"/>
      <w:r w:rsidRPr="001807BA">
        <w:t>Therefore</w:t>
      </w:r>
      <w:proofErr w:type="gramEnd"/>
      <w:r w:rsidRPr="001807BA">
        <w:t xml:space="preserve"> the aggregated information about all costs and charges should be provided to clients or potential clients in good time.</w:t>
      </w:r>
      <w:r w:rsidRPr="00731EE3">
        <w:rPr>
          <w:vertAlign w:val="superscript"/>
        </w:rPr>
        <w:footnoteReference w:id="1"/>
      </w:r>
    </w:p>
    <w:p w:rsidR="00731EE3" w:rsidRPr="00731EE3" w:rsidRDefault="00731EE3" w:rsidP="00731EE3">
      <w:pPr>
        <w:pStyle w:val="ssPara1"/>
        <w:rPr>
          <w:b/>
        </w:rPr>
      </w:pPr>
      <w:r w:rsidRPr="00731EE3">
        <w:rPr>
          <w:b/>
        </w:rPr>
        <w:t>Methodology for the calculation of ex-ante figures</w:t>
      </w:r>
    </w:p>
    <w:p w:rsidR="00731EE3" w:rsidRPr="001807BA" w:rsidRDefault="00731EE3" w:rsidP="00731EE3">
      <w:pPr>
        <w:pStyle w:val="ssNoHeading1"/>
      </w:pPr>
      <w:r w:rsidRPr="001807BA">
        <w:t xml:space="preserve">The methodology for calculating ex-ante cost figures should be based on the principle that the investment firm should use </w:t>
      </w:r>
      <w:proofErr w:type="gramStart"/>
      <w:r w:rsidRPr="001807BA">
        <w:t>actually incurred</w:t>
      </w:r>
      <w:proofErr w:type="gramEnd"/>
      <w:r w:rsidRPr="001807BA">
        <w:t xml:space="preserve"> costs as a proxy for the expected costs and </w:t>
      </w:r>
      <w:r w:rsidRPr="001807BA">
        <w:lastRenderedPageBreak/>
        <w:t>charges. If actual costs are not available, the investment firm should make reasonable estimations of these costs.</w:t>
      </w:r>
    </w:p>
    <w:p w:rsidR="00731EE3" w:rsidRPr="001807BA" w:rsidRDefault="00731EE3" w:rsidP="00731EE3">
      <w:pPr>
        <w:pStyle w:val="ssNoHeading1"/>
      </w:pPr>
      <w:r w:rsidRPr="001807BA">
        <w:t>Investment firms shall review ex-ante assumptions based on the ex-post experience and</w:t>
      </w:r>
      <w:r>
        <w:t xml:space="preserve"> </w:t>
      </w:r>
      <w:r w:rsidRPr="001807BA">
        <w:t>should make adjustment to these assumptions, if necessary.</w:t>
      </w:r>
    </w:p>
    <w:p w:rsidR="00731EE3" w:rsidRPr="001807BA" w:rsidRDefault="00731EE3" w:rsidP="00731EE3">
      <w:pPr>
        <w:pStyle w:val="ssPara1"/>
        <w:rPr>
          <w:b/>
        </w:rPr>
      </w:pPr>
      <w:r w:rsidRPr="001807BA">
        <w:rPr>
          <w:b/>
        </w:rPr>
        <w:t>Post-sale periodic disclosure of information (ex-post disclosure)</w:t>
      </w:r>
    </w:p>
    <w:p w:rsidR="00731EE3" w:rsidRPr="001807BA" w:rsidRDefault="00731EE3" w:rsidP="00731EE3">
      <w:pPr>
        <w:pStyle w:val="ssNoHeading1"/>
      </w:pPr>
      <w:r w:rsidRPr="001807BA">
        <w:t>Information about costs provided on a regular basis during the life of the investment should</w:t>
      </w:r>
      <w:r>
        <w:t xml:space="preserve"> </w:t>
      </w:r>
      <w:r w:rsidRPr="001807BA">
        <w:t>be based on costs incurred and should be provided on a personalised basis.</w:t>
      </w:r>
    </w:p>
    <w:p w:rsidR="00731EE3" w:rsidRPr="00731EE3" w:rsidRDefault="00731EE3" w:rsidP="00731EE3">
      <w:pPr>
        <w:pStyle w:val="ssPara1"/>
        <w:rPr>
          <w:b/>
        </w:rPr>
      </w:pPr>
      <w:r w:rsidRPr="00731EE3">
        <w:rPr>
          <w:b/>
        </w:rPr>
        <w:t>Cumulative effect of costs on the return</w:t>
      </w:r>
    </w:p>
    <w:p w:rsidR="00731EE3" w:rsidRPr="001807BA" w:rsidRDefault="00731EE3" w:rsidP="00731EE3">
      <w:pPr>
        <w:pStyle w:val="ssNoHeading1"/>
      </w:pPr>
      <w:r w:rsidRPr="001807BA">
        <w:t>An investment firm should be obliged to provide its clients with an illustration showing the</w:t>
      </w:r>
      <w:r>
        <w:t xml:space="preserve"> </w:t>
      </w:r>
      <w:r w:rsidRPr="001807BA">
        <w:t>cumulative effect of costs on return when providing investment services. Such an illustration</w:t>
      </w:r>
      <w:r>
        <w:t xml:space="preserve"> </w:t>
      </w:r>
      <w:r w:rsidRPr="001807BA">
        <w:t xml:space="preserve">should be provided at the point of sale. When providing the </w:t>
      </w:r>
      <w:proofErr w:type="gramStart"/>
      <w:r w:rsidRPr="001807BA">
        <w:t>illustration</w:t>
      </w:r>
      <w:proofErr w:type="gramEnd"/>
      <w:r w:rsidRPr="001807BA">
        <w:t xml:space="preserve"> the investment firm</w:t>
      </w:r>
      <w:r>
        <w:t xml:space="preserve"> </w:t>
      </w:r>
      <w:r w:rsidRPr="001807BA">
        <w:t>should ensure that the illustration meets the following high level requirements:</w:t>
      </w:r>
    </w:p>
    <w:p w:rsidR="00731EE3" w:rsidRPr="001807BA" w:rsidRDefault="00731EE3" w:rsidP="00731EE3">
      <w:pPr>
        <w:pStyle w:val="ssPara2"/>
        <w:numPr>
          <w:ilvl w:val="0"/>
          <w:numId w:val="37"/>
        </w:numPr>
        <w:ind w:hanging="709"/>
      </w:pPr>
      <w:r w:rsidRPr="001807BA">
        <w:t>the illustration shows the effect of the overall costs and charges on the return of the investment;</w:t>
      </w:r>
    </w:p>
    <w:p w:rsidR="00731EE3" w:rsidRPr="001807BA" w:rsidRDefault="00731EE3" w:rsidP="00731EE3">
      <w:pPr>
        <w:pStyle w:val="ssPara2"/>
        <w:numPr>
          <w:ilvl w:val="0"/>
          <w:numId w:val="37"/>
        </w:numPr>
        <w:ind w:hanging="709"/>
      </w:pPr>
      <w:r w:rsidRPr="001807BA">
        <w:t>the illustration shows any anticipated spikes or fluctuations in the costs; and</w:t>
      </w:r>
    </w:p>
    <w:p w:rsidR="00731EE3" w:rsidRPr="001807BA" w:rsidRDefault="00731EE3" w:rsidP="00731EE3">
      <w:pPr>
        <w:pStyle w:val="ssPara2"/>
        <w:numPr>
          <w:ilvl w:val="0"/>
          <w:numId w:val="37"/>
        </w:numPr>
        <w:ind w:hanging="709"/>
      </w:pPr>
      <w:r w:rsidRPr="001807BA">
        <w:t>the illustration is accompanied by an explanation of what the illustration shows.</w:t>
      </w:r>
    </w:p>
    <w:p w:rsidR="00731EE3" w:rsidRPr="001807BA" w:rsidRDefault="00731EE3" w:rsidP="00731EE3">
      <w:pPr>
        <w:pStyle w:val="ssPara1"/>
      </w:pPr>
      <w:r w:rsidRPr="001807BA">
        <w:br w:type="page"/>
      </w:r>
    </w:p>
    <w:p w:rsidR="00731EE3" w:rsidRPr="00731EE3" w:rsidRDefault="00731EE3" w:rsidP="00731EE3">
      <w:pPr>
        <w:pStyle w:val="ssPara1"/>
        <w:jc w:val="center"/>
        <w:rPr>
          <w:b/>
        </w:rPr>
      </w:pPr>
      <w:r w:rsidRPr="00731EE3">
        <w:rPr>
          <w:b/>
        </w:rPr>
        <w:lastRenderedPageBreak/>
        <w:t>COSTS AND CHARGES</w:t>
      </w:r>
    </w:p>
    <w:p w:rsidR="00731EE3" w:rsidRPr="00731EE3" w:rsidRDefault="00731EE3" w:rsidP="00731EE3">
      <w:pPr>
        <w:pStyle w:val="ssPara1"/>
        <w:jc w:val="center"/>
        <w:rPr>
          <w:b/>
        </w:rPr>
      </w:pPr>
      <w:r w:rsidRPr="00731EE3">
        <w:rPr>
          <w:b/>
        </w:rPr>
        <w:t>TECHNICAL ADVICE ANNEX 1</w:t>
      </w:r>
    </w:p>
    <w:p w:rsidR="00731EE3" w:rsidRPr="00731EE3" w:rsidRDefault="00731EE3" w:rsidP="00731EE3">
      <w:pPr>
        <w:pStyle w:val="ssPara1"/>
        <w:rPr>
          <w:b/>
        </w:rPr>
      </w:pPr>
      <w:r w:rsidRPr="00731EE3">
        <w:rPr>
          <w:b/>
        </w:rPr>
        <w:t>Annex 2.14.1.: Identified costs that should form part of the costs to be disclosed to the clients</w:t>
      </w:r>
      <w:r w:rsidRPr="00731EE3">
        <w:rPr>
          <w:b/>
          <w:vertAlign w:val="superscript"/>
        </w:rPr>
        <w:footnoteReference w:id="2"/>
      </w:r>
    </w:p>
    <w:p w:rsidR="00731EE3" w:rsidRPr="00731EE3" w:rsidRDefault="00731EE3" w:rsidP="00731EE3">
      <w:pPr>
        <w:pStyle w:val="ssPara1"/>
        <w:rPr>
          <w:b/>
        </w:rPr>
      </w:pPr>
      <w:r w:rsidRPr="00731EE3">
        <w:rPr>
          <w:b/>
        </w:rPr>
        <w:t>Table 1 - All costs and associated charges charged for the investment service(s) and/or ancillary services provided to the client that should form part of the amount to be disclosed</w:t>
      </w:r>
    </w:p>
    <w:p w:rsidR="00731EE3" w:rsidRPr="00731EE3" w:rsidRDefault="00731EE3" w:rsidP="00731EE3">
      <w:pPr>
        <w:pStyle w:val="ssPara1"/>
        <w:rPr>
          <w:b/>
        </w:rPr>
      </w:pPr>
      <w:r w:rsidRPr="00731EE3">
        <w:rPr>
          <w:b/>
        </w:rPr>
        <w:t>One-off charges related to the provision of an investment service</w:t>
      </w:r>
    </w:p>
    <w:p w:rsidR="00731EE3" w:rsidRPr="001807BA" w:rsidRDefault="00731EE3" w:rsidP="00731EE3">
      <w:pPr>
        <w:pStyle w:val="ssPara1"/>
      </w:pPr>
      <w:r w:rsidRPr="001807BA">
        <w:t>All costs and charges paid to the investment firm at the beginning or at the end of the provided investment service(s).</w:t>
      </w:r>
    </w:p>
    <w:p w:rsidR="00731EE3" w:rsidRPr="001807BA" w:rsidRDefault="00731EE3" w:rsidP="00731EE3">
      <w:pPr>
        <w:pStyle w:val="ssPara1"/>
      </w:pPr>
      <w:r w:rsidRPr="001807BA">
        <w:t>Deposit fees, termination fees and switching costs.</w:t>
      </w:r>
      <w:r w:rsidRPr="00731EE3">
        <w:rPr>
          <w:vertAlign w:val="superscript"/>
        </w:rPr>
        <w:footnoteReference w:id="3"/>
      </w:r>
    </w:p>
    <w:p w:rsidR="00731EE3" w:rsidRPr="00731EE3" w:rsidRDefault="00731EE3" w:rsidP="00731EE3">
      <w:pPr>
        <w:pStyle w:val="ssPara1"/>
        <w:rPr>
          <w:b/>
        </w:rPr>
      </w:pPr>
      <w:r w:rsidRPr="00731EE3">
        <w:rPr>
          <w:b/>
        </w:rPr>
        <w:t>On-going related to the provision of an investment service charges</w:t>
      </w:r>
    </w:p>
    <w:p w:rsidR="00731EE3" w:rsidRPr="001807BA" w:rsidRDefault="00731EE3" w:rsidP="00731EE3">
      <w:pPr>
        <w:pStyle w:val="ssPara1"/>
      </w:pPr>
      <w:r w:rsidRPr="001807BA">
        <w:t>All on-going costs and charges paid to investment firms for their services provided to the client.</w:t>
      </w:r>
    </w:p>
    <w:p w:rsidR="00731EE3" w:rsidRPr="001807BA" w:rsidRDefault="00731EE3" w:rsidP="00731EE3">
      <w:pPr>
        <w:pStyle w:val="ssPara1"/>
      </w:pPr>
      <w:r w:rsidRPr="001807BA">
        <w:t>Management fees, advisory fees, custodian fees.</w:t>
      </w:r>
    </w:p>
    <w:p w:rsidR="00731EE3" w:rsidRPr="00731EE3" w:rsidRDefault="00731EE3" w:rsidP="00731EE3">
      <w:pPr>
        <w:pStyle w:val="ssPara1"/>
        <w:rPr>
          <w:b/>
        </w:rPr>
      </w:pPr>
      <w:r w:rsidRPr="00731EE3">
        <w:rPr>
          <w:b/>
        </w:rPr>
        <w:t xml:space="preserve">All costs related to transactions initiated </w:t>
      </w:r>
      <w:proofErr w:type="gramStart"/>
      <w:r w:rsidRPr="00731EE3">
        <w:rPr>
          <w:b/>
        </w:rPr>
        <w:t>in the course of</w:t>
      </w:r>
      <w:proofErr w:type="gramEnd"/>
      <w:r w:rsidRPr="00731EE3">
        <w:rPr>
          <w:b/>
        </w:rPr>
        <w:t xml:space="preserve"> the provision of an investment service</w:t>
      </w:r>
    </w:p>
    <w:p w:rsidR="00731EE3" w:rsidRPr="001807BA" w:rsidRDefault="00731EE3" w:rsidP="00731EE3">
      <w:pPr>
        <w:pStyle w:val="ssPara1"/>
      </w:pPr>
      <w:r w:rsidRPr="001807BA">
        <w:t>All costs and charges that are related to transactions per-formed by the investment firm or other parties.</w:t>
      </w:r>
    </w:p>
    <w:p w:rsidR="00731EE3" w:rsidRPr="001807BA" w:rsidRDefault="00731EE3" w:rsidP="00731EE3">
      <w:pPr>
        <w:pStyle w:val="ssPara1"/>
      </w:pPr>
      <w:r w:rsidRPr="001807BA">
        <w:t>Broker commissions</w:t>
      </w:r>
      <w:r w:rsidRPr="00731EE3">
        <w:rPr>
          <w:vertAlign w:val="superscript"/>
        </w:rPr>
        <w:footnoteReference w:id="4"/>
      </w:r>
      <w:r w:rsidRPr="001807BA">
        <w:t>, entry and exit charges paid to the fund manager, platform fees, mark ups (embedded in the transaction price), stamp duty, transactions tax and foreign exchange costs.</w:t>
      </w:r>
    </w:p>
    <w:p w:rsidR="00731EE3" w:rsidRPr="001807BA" w:rsidRDefault="00731EE3" w:rsidP="00731EE3">
      <w:pPr>
        <w:pStyle w:val="ssPara1"/>
        <w:rPr>
          <w:b/>
        </w:rPr>
      </w:pPr>
      <w:r w:rsidRPr="001807BA">
        <w:rPr>
          <w:b/>
        </w:rPr>
        <w:t>Any charges that are related to ancillary services</w:t>
      </w:r>
    </w:p>
    <w:p w:rsidR="00731EE3" w:rsidRPr="001807BA" w:rsidRDefault="00731EE3" w:rsidP="00731EE3">
      <w:pPr>
        <w:pStyle w:val="ssPara1"/>
      </w:pPr>
      <w:r w:rsidRPr="001807BA">
        <w:t>Any costs and charges that are related to ancillary services that are not included in the costs mentioned above.</w:t>
      </w:r>
    </w:p>
    <w:p w:rsidR="00731EE3" w:rsidRPr="001807BA" w:rsidRDefault="00731EE3" w:rsidP="00731EE3">
      <w:pPr>
        <w:pStyle w:val="ssPara1"/>
      </w:pPr>
      <w:r w:rsidRPr="001807BA">
        <w:t>Research costs.</w:t>
      </w:r>
    </w:p>
    <w:p w:rsidR="00731EE3" w:rsidRPr="001807BA" w:rsidRDefault="00731EE3" w:rsidP="00731EE3">
      <w:pPr>
        <w:pStyle w:val="ssPara1"/>
      </w:pPr>
      <w:r w:rsidRPr="001807BA">
        <w:t>Custody costs.</w:t>
      </w:r>
    </w:p>
    <w:p w:rsidR="00731EE3" w:rsidRPr="001807BA" w:rsidRDefault="00731EE3" w:rsidP="00731EE3">
      <w:pPr>
        <w:pStyle w:val="ssPara1"/>
        <w:rPr>
          <w:b/>
        </w:rPr>
      </w:pPr>
      <w:r w:rsidRPr="001807BA">
        <w:rPr>
          <w:b/>
        </w:rPr>
        <w:t>Incidental costs</w:t>
      </w:r>
    </w:p>
    <w:p w:rsidR="00731EE3" w:rsidRPr="001807BA" w:rsidRDefault="00731EE3" w:rsidP="00731EE3">
      <w:pPr>
        <w:pStyle w:val="ssPara1"/>
      </w:pPr>
      <w:r w:rsidRPr="001807BA">
        <w:lastRenderedPageBreak/>
        <w:t>Performance fees</w:t>
      </w:r>
    </w:p>
    <w:p w:rsidR="00731EE3" w:rsidRPr="001807BA" w:rsidRDefault="00731EE3" w:rsidP="00731EE3">
      <w:pPr>
        <w:pStyle w:val="ssPara1"/>
        <w:rPr>
          <w:b/>
        </w:rPr>
      </w:pPr>
      <w:r w:rsidRPr="001807BA">
        <w:rPr>
          <w:b/>
        </w:rPr>
        <w:t>Table 2 - All costs and associated charges related to the financial instrument that should form part of the amount to be disclosed</w:t>
      </w:r>
    </w:p>
    <w:p w:rsidR="00731EE3" w:rsidRPr="001807BA" w:rsidRDefault="00731EE3" w:rsidP="00731EE3">
      <w:pPr>
        <w:pStyle w:val="ssPara1"/>
        <w:rPr>
          <w:b/>
        </w:rPr>
      </w:pPr>
      <w:r w:rsidRPr="001807BA">
        <w:rPr>
          <w:b/>
        </w:rPr>
        <w:t>One-off charges</w:t>
      </w:r>
    </w:p>
    <w:p w:rsidR="00731EE3" w:rsidRPr="001807BA" w:rsidRDefault="00731EE3" w:rsidP="00731EE3">
      <w:pPr>
        <w:pStyle w:val="ssPara1"/>
      </w:pPr>
      <w:r w:rsidRPr="001807BA">
        <w:t>All costs and charges (included in the price or in addition to the price of the financial instrument) paid to product suppliers at the beginning or at the end of the investment in the financial instrument.</w:t>
      </w:r>
    </w:p>
    <w:p w:rsidR="00731EE3" w:rsidRPr="001807BA" w:rsidRDefault="00731EE3" w:rsidP="00731EE3">
      <w:pPr>
        <w:pStyle w:val="ssPara1"/>
      </w:pPr>
      <w:r w:rsidRPr="001807BA">
        <w:t>Front-loaded management fee, structuring fee</w:t>
      </w:r>
      <w:r w:rsidRPr="00731EE3">
        <w:rPr>
          <w:vertAlign w:val="superscript"/>
        </w:rPr>
        <w:footnoteReference w:id="5"/>
      </w:r>
      <w:r w:rsidRPr="001807BA">
        <w:t>, distribution fee.</w:t>
      </w:r>
    </w:p>
    <w:p w:rsidR="00731EE3" w:rsidRPr="001807BA" w:rsidRDefault="00731EE3" w:rsidP="00731EE3">
      <w:pPr>
        <w:pStyle w:val="ssPara1"/>
        <w:rPr>
          <w:b/>
        </w:rPr>
      </w:pPr>
      <w:r w:rsidRPr="001807BA">
        <w:rPr>
          <w:b/>
        </w:rPr>
        <w:t>On-going charges</w:t>
      </w:r>
    </w:p>
    <w:p w:rsidR="00731EE3" w:rsidRPr="001807BA" w:rsidRDefault="00731EE3" w:rsidP="00731EE3">
      <w:pPr>
        <w:pStyle w:val="ssPara1"/>
      </w:pPr>
      <w:r w:rsidRPr="001807BA">
        <w:t>All on-going costs and charges related to the management of the financial product that are deducted from the value of the financial instrument during the investment in the financial instrument.</w:t>
      </w:r>
    </w:p>
    <w:p w:rsidR="00731EE3" w:rsidRPr="001807BA" w:rsidRDefault="00731EE3" w:rsidP="00731EE3">
      <w:pPr>
        <w:pStyle w:val="ssPara1"/>
      </w:pPr>
      <w:r w:rsidRPr="001807BA">
        <w:t>Management fees, service costs, swap fees, securities lending costs and taxes, financing costs.</w:t>
      </w:r>
    </w:p>
    <w:p w:rsidR="00731EE3" w:rsidRPr="001807BA" w:rsidRDefault="00731EE3" w:rsidP="00731EE3">
      <w:pPr>
        <w:pStyle w:val="ssPara1"/>
        <w:rPr>
          <w:b/>
        </w:rPr>
      </w:pPr>
      <w:r w:rsidRPr="001807BA">
        <w:rPr>
          <w:b/>
        </w:rPr>
        <w:t>All costs related to the transactions</w:t>
      </w:r>
    </w:p>
    <w:p w:rsidR="00731EE3" w:rsidRPr="001807BA" w:rsidRDefault="00731EE3" w:rsidP="00731EE3">
      <w:pPr>
        <w:pStyle w:val="ssPara1"/>
      </w:pPr>
      <w:r w:rsidRPr="001807BA">
        <w:t xml:space="preserve">All costs and charges that incurred </w:t>
      </w:r>
      <w:proofErr w:type="gramStart"/>
      <w:r w:rsidRPr="001807BA">
        <w:t>as a result of</w:t>
      </w:r>
      <w:proofErr w:type="gramEnd"/>
      <w:r w:rsidRPr="001807BA">
        <w:t xml:space="preserve"> the acquisition and disposal of investments.</w:t>
      </w:r>
    </w:p>
    <w:p w:rsidR="00731EE3" w:rsidRPr="001807BA" w:rsidRDefault="00731EE3" w:rsidP="00731EE3">
      <w:pPr>
        <w:pStyle w:val="ssPara1"/>
      </w:pPr>
      <w:r w:rsidRPr="001807BA">
        <w:t>Broker commissions, entry- and exit charges paid by the fund, marks up embedded in the transaction price, stamp duty, transactions tax and foreign exchange costs.</w:t>
      </w:r>
    </w:p>
    <w:p w:rsidR="00731EE3" w:rsidRPr="00731EE3" w:rsidRDefault="00731EE3" w:rsidP="00731EE3">
      <w:pPr>
        <w:pStyle w:val="ssPara1"/>
        <w:rPr>
          <w:b/>
        </w:rPr>
      </w:pPr>
      <w:r w:rsidRPr="00731EE3">
        <w:rPr>
          <w:b/>
        </w:rPr>
        <w:t>Incidental costs</w:t>
      </w:r>
    </w:p>
    <w:p w:rsidR="00731EE3" w:rsidRPr="001807BA" w:rsidRDefault="00731EE3" w:rsidP="00731EE3">
      <w:pPr>
        <w:pStyle w:val="ssPara1"/>
      </w:pPr>
      <w:r w:rsidRPr="001807BA">
        <w:t>Performance fees</w:t>
      </w:r>
    </w:p>
    <w:p w:rsidR="00731EE3" w:rsidRPr="00731EE3" w:rsidRDefault="00731EE3" w:rsidP="00731EE3">
      <w:pPr>
        <w:pStyle w:val="ssPara1"/>
        <w:jc w:val="center"/>
        <w:rPr>
          <w:b/>
        </w:rPr>
      </w:pPr>
      <w:r w:rsidRPr="001807BA">
        <w:br w:type="page"/>
      </w:r>
      <w:r w:rsidRPr="00731EE3">
        <w:rPr>
          <w:b/>
        </w:rPr>
        <w:lastRenderedPageBreak/>
        <w:t>Costs and Charges</w:t>
      </w:r>
    </w:p>
    <w:p w:rsidR="00731EE3" w:rsidRPr="00731EE3" w:rsidRDefault="00731EE3" w:rsidP="00731EE3">
      <w:pPr>
        <w:pStyle w:val="ssPara1"/>
        <w:jc w:val="center"/>
        <w:rPr>
          <w:b/>
        </w:rPr>
      </w:pPr>
      <w:r w:rsidRPr="00731EE3">
        <w:rPr>
          <w:b/>
        </w:rPr>
        <w:t>Delegated Regulation</w:t>
      </w:r>
    </w:p>
    <w:p w:rsidR="00731EE3" w:rsidRPr="00731EE3" w:rsidRDefault="00731EE3" w:rsidP="00731EE3">
      <w:pPr>
        <w:pStyle w:val="ssPara1"/>
        <w:jc w:val="center"/>
        <w:rPr>
          <w:b/>
        </w:rPr>
      </w:pPr>
      <w:r w:rsidRPr="00731EE3">
        <w:rPr>
          <w:b/>
          <w:iCs/>
        </w:rPr>
        <w:t xml:space="preserve">Article 50:  </w:t>
      </w:r>
      <w:r w:rsidRPr="00731EE3">
        <w:rPr>
          <w:b/>
          <w:bCs/>
        </w:rPr>
        <w:t xml:space="preserve">Information on costs and associated charges </w:t>
      </w:r>
      <w:r w:rsidRPr="00731EE3">
        <w:rPr>
          <w:b/>
          <w:iCs/>
        </w:rPr>
        <w:t>(Article 24(4) of Directive 2014/65/EU)</w:t>
      </w:r>
    </w:p>
    <w:p w:rsidR="00731EE3" w:rsidRPr="00731EE3" w:rsidRDefault="00731EE3" w:rsidP="00731EE3">
      <w:pPr>
        <w:pStyle w:val="ssRestartNumber"/>
      </w:pPr>
    </w:p>
    <w:p w:rsidR="00731EE3" w:rsidRPr="00065DBD" w:rsidRDefault="00731EE3" w:rsidP="00731EE3">
      <w:pPr>
        <w:pStyle w:val="ssNoHeading1"/>
      </w:pPr>
      <w:r w:rsidRPr="00065DBD">
        <w:t>For the purposes of providing information to clients on all costs and charges pursuant to Article 24(4) of Directive 2014/65/EU, investment firms shall comply with the detailed requirements in paragraphs 2 to 10.</w:t>
      </w:r>
    </w:p>
    <w:p w:rsidR="00731EE3" w:rsidRPr="00065DBD" w:rsidRDefault="00731EE3" w:rsidP="00731EE3">
      <w:pPr>
        <w:pStyle w:val="ssPara2"/>
      </w:pPr>
      <w:r w:rsidRPr="00065DBD">
        <w:t>Without prejudice to the obligations set out in Article 24(4) of Directive 2014/65/EU, investment firms providing investment services to professional clients shall have the right to agree to a limited application of the detailed requirements set out in this Article with these clients. Investment firms shall not be allowed to agree such limitations when the services of investment advice or portfolio management are provided or when, irrespective of the investment service provided, the financial instruments concerned embed a derivative.</w:t>
      </w:r>
    </w:p>
    <w:p w:rsidR="00731EE3" w:rsidRPr="00065DBD" w:rsidRDefault="00731EE3" w:rsidP="00731EE3">
      <w:pPr>
        <w:pStyle w:val="ssPara2"/>
      </w:pPr>
      <w:r w:rsidRPr="00065DBD">
        <w:t>Without prejudice to the obligations set out in Article 24(4) of Directive 2014/65/EU, investment firms providing investment services to eligible counterparties shall have the right to agree to a limited application of the detailed requirements set out in this Article, except when, irrespective of the investment service provided, the financial instruments concerned embed a derivative and the eligible counterparty intends to offer them to its clients.</w:t>
      </w:r>
    </w:p>
    <w:p w:rsidR="00731EE3" w:rsidRPr="00065DBD" w:rsidRDefault="00731EE3" w:rsidP="00731EE3">
      <w:pPr>
        <w:pStyle w:val="ssNoHeading1"/>
      </w:pPr>
      <w:r w:rsidRPr="00065DBD">
        <w:t>For ex-ante and ex-post disclosure of information on costs and charges to clients,</w:t>
      </w:r>
      <w:r>
        <w:t xml:space="preserve"> </w:t>
      </w:r>
      <w:r w:rsidRPr="00065DBD">
        <w:t>investment firms shall aggregate the following:</w:t>
      </w:r>
    </w:p>
    <w:p w:rsidR="00731EE3" w:rsidRPr="00065DBD" w:rsidRDefault="00731EE3" w:rsidP="00731EE3">
      <w:pPr>
        <w:pStyle w:val="ssNoHeading3"/>
      </w:pPr>
      <w:r w:rsidRPr="00065DBD">
        <w:t>all costs and associated charges charged by the investment firm or other parties where the client has been directed to such other parties, for the investment services(s) and/or ancillary services provided to the client; and</w:t>
      </w:r>
    </w:p>
    <w:p w:rsidR="00731EE3" w:rsidRPr="00065DBD" w:rsidRDefault="00731EE3" w:rsidP="00731EE3">
      <w:pPr>
        <w:pStyle w:val="ssNoHeading3"/>
      </w:pPr>
      <w:r w:rsidRPr="00065DBD">
        <w:t>all costs and associated charges associated with the manufacturing and managing of the financial instruments.</w:t>
      </w:r>
    </w:p>
    <w:p w:rsidR="00731EE3" w:rsidRPr="00065DBD" w:rsidRDefault="00731EE3" w:rsidP="00731EE3">
      <w:pPr>
        <w:pStyle w:val="ssPara2"/>
      </w:pPr>
      <w:r w:rsidRPr="00065DBD">
        <w:t>Costs referred to in points (</w:t>
      </w:r>
      <w:r>
        <w:t>A</w:t>
      </w:r>
      <w:r w:rsidRPr="00065DBD">
        <w:t>) and (</w:t>
      </w:r>
      <w:r>
        <w:t>B</w:t>
      </w:r>
      <w:r w:rsidRPr="00065DBD">
        <w:t>) are listed in Annex II to this Regulation. For the purposes of point (a), third party payments received by investment firms in connection with the investment service provided to a client shall be itemised separately and the aggregated costs and charges shall be totalled and expressed both as a cash amount and as a percentage.</w:t>
      </w:r>
    </w:p>
    <w:p w:rsidR="00731EE3" w:rsidRPr="00065DBD" w:rsidRDefault="00731EE3" w:rsidP="00731EE3">
      <w:pPr>
        <w:pStyle w:val="ssNoHeading1"/>
      </w:pPr>
      <w:r w:rsidRPr="00065DBD">
        <w:t>Where any part of the total costs and charges is to be paid in or represents an amount of foreign currency, investment firms shall provide an indication of the currency involved and the applicable currency conversion rates and costs. Investments firms shall also inform about the arrangements for payment or other performance.</w:t>
      </w:r>
    </w:p>
    <w:p w:rsidR="00731EE3" w:rsidRPr="00065DBD" w:rsidRDefault="00731EE3" w:rsidP="00731EE3">
      <w:pPr>
        <w:pStyle w:val="ssNoHeading1"/>
      </w:pPr>
      <w:r w:rsidRPr="00065DBD">
        <w:t>In relation to the disclosure of product costs and charges that are not included in the UCITS KIID, the investment firms shall calculate and disclose these costs, for example, by liaising with UCITS management companies to obtain the relevant information.</w:t>
      </w:r>
    </w:p>
    <w:p w:rsidR="00731EE3" w:rsidRPr="00065DBD" w:rsidRDefault="00731EE3" w:rsidP="00731EE3">
      <w:pPr>
        <w:pStyle w:val="ssNoHeading1"/>
      </w:pPr>
      <w:r w:rsidRPr="00065DBD">
        <w:t>The obligation to provide in good time a full ex-ante disclosure of information about the aggregated costs and charges related to the financial instrument and to the investment or ancillary service provided shall apply to investment firms in the following situations:</w:t>
      </w:r>
    </w:p>
    <w:p w:rsidR="00731EE3" w:rsidRPr="00065DBD" w:rsidRDefault="00731EE3" w:rsidP="00731EE3">
      <w:pPr>
        <w:pStyle w:val="ssNoHeading3"/>
      </w:pPr>
      <w:r w:rsidRPr="00065DBD">
        <w:t>where the investment firm recommends or markets financial instruments to clients; or</w:t>
      </w:r>
    </w:p>
    <w:p w:rsidR="00731EE3" w:rsidRPr="00065DBD" w:rsidRDefault="00731EE3" w:rsidP="00731EE3">
      <w:pPr>
        <w:pStyle w:val="ssNoHeading3"/>
      </w:pPr>
      <w:r w:rsidRPr="00065DBD">
        <w:t xml:space="preserve">where the investment firm providing any </w:t>
      </w:r>
      <w:proofErr w:type="gramStart"/>
      <w:r w:rsidRPr="00065DBD">
        <w:t>investment</w:t>
      </w:r>
      <w:proofErr w:type="gramEnd"/>
      <w:r w:rsidRPr="00065DBD">
        <w:t xml:space="preserve"> services is required to provide clients with a UCITS KIID or PRIIPs KID in relation to the relevant financial instruments, in accordance with relevant Union legislation.</w:t>
      </w:r>
    </w:p>
    <w:p w:rsidR="00731EE3" w:rsidRPr="00065DBD" w:rsidRDefault="00731EE3" w:rsidP="00731EE3">
      <w:pPr>
        <w:pStyle w:val="ssNoHeading1"/>
      </w:pPr>
      <w:r w:rsidRPr="00065DBD">
        <w:lastRenderedPageBreak/>
        <w:t>Investment firms that do not recommend or market a financial instrument to the client or are not obliged to provide the client with a KID/KIID in accordance with relevant Union legislation shall inform their clients about all costs and charges relating to the investment and/or ancillary service provided.</w:t>
      </w:r>
    </w:p>
    <w:p w:rsidR="00731EE3" w:rsidRPr="00065DBD" w:rsidRDefault="00731EE3" w:rsidP="00731EE3">
      <w:pPr>
        <w:pStyle w:val="ssNoHeading1"/>
      </w:pPr>
      <w:r w:rsidRPr="00065DBD">
        <w:t xml:space="preserve">Where more than one investment firm provides investment or ancillary services to the client, each investment firm shall provide information about the costs of the investment or ancillary services it provides. An investment firm that recommends or markets to its clients the services provided by another firm, shall aggregate the cost and charges of its services together with the cost and charges of the services provided by the other firm. An investment firm shall </w:t>
      </w:r>
      <w:proofErr w:type="gramStart"/>
      <w:r w:rsidRPr="00065DBD">
        <w:t>take into account</w:t>
      </w:r>
      <w:proofErr w:type="gramEnd"/>
      <w:r w:rsidRPr="00065DBD">
        <w:t xml:space="preserve"> the costs and charges associated to the provision of other investment or ancillary services by other firms where it has directed the client to these other firms.</w:t>
      </w:r>
    </w:p>
    <w:p w:rsidR="00731EE3" w:rsidRPr="00065DBD" w:rsidRDefault="00731EE3" w:rsidP="00731EE3">
      <w:pPr>
        <w:pStyle w:val="ssNoHeading1"/>
      </w:pPr>
      <w:r w:rsidRPr="00065DBD">
        <w:t xml:space="preserve">Where calculating costs and charges on an ex-ante basis, investment firms shall use </w:t>
      </w:r>
      <w:proofErr w:type="gramStart"/>
      <w:r w:rsidRPr="00065DBD">
        <w:t>actually incurred</w:t>
      </w:r>
      <w:proofErr w:type="gramEnd"/>
      <w:r w:rsidRPr="00065DBD">
        <w:t xml:space="preserve"> costs as a proxy for the expected costs and charges. Where actual costs are not available, the investment firm shall make reasonable estimations of these costs. Investment firms shall review ex-ante assumptions based on the ex-post experience and shall make adjustment to these assumptions, where necessary.</w:t>
      </w:r>
    </w:p>
    <w:p w:rsidR="00731EE3" w:rsidRPr="00065DBD" w:rsidRDefault="00731EE3" w:rsidP="00731EE3">
      <w:pPr>
        <w:pStyle w:val="ssNoHeading1"/>
      </w:pPr>
      <w:r w:rsidRPr="00065DBD">
        <w:t>Investment firms shall provide annual ex-post information about all costs and charges related to both the financial instrument(s) and investment and ancillary service(s) where they have recommended or marketed the financial instrument(s) or where they have provided the client with the KID/KIID in relation to the financial instrument(s) and they have or have had an ongoing relationship with the client during the year. Such information shall be based on costs incurred and shall be provided on a personalised basis.</w:t>
      </w:r>
    </w:p>
    <w:p w:rsidR="00731EE3" w:rsidRPr="00065DBD" w:rsidRDefault="00731EE3" w:rsidP="00731EE3">
      <w:pPr>
        <w:pStyle w:val="ssPara2"/>
      </w:pPr>
      <w:r w:rsidRPr="00065DBD">
        <w:t>Investment firms may choose to provide such aggregated information on costs and charges of the investment services and the financial instruments together with any existing periodic reporting to clients.</w:t>
      </w:r>
    </w:p>
    <w:p w:rsidR="00731EE3" w:rsidRPr="00065DBD" w:rsidRDefault="00731EE3" w:rsidP="00731EE3">
      <w:pPr>
        <w:pStyle w:val="ssNoHeading1"/>
      </w:pPr>
      <w:r w:rsidRPr="00065DBD">
        <w:t>Investment firms shall provide their clients with an illustration showing the cumulative effect of costs on return when providing investment services. Such an illustration shall be provided both on an ex-ante and ex-post basis. Investment firms shall ensure that the illustration meets the following requirements:</w:t>
      </w:r>
    </w:p>
    <w:p w:rsidR="00731EE3" w:rsidRPr="00065DBD" w:rsidRDefault="00731EE3" w:rsidP="00731EE3">
      <w:pPr>
        <w:pStyle w:val="ssNoHeading3"/>
      </w:pPr>
      <w:r w:rsidRPr="00065DBD">
        <w:t>the illustration shows the effect of the overall costs and charges on the return of the investment;</w:t>
      </w:r>
    </w:p>
    <w:p w:rsidR="00731EE3" w:rsidRPr="00065DBD" w:rsidRDefault="00731EE3" w:rsidP="00731EE3">
      <w:pPr>
        <w:pStyle w:val="ssNoHeading3"/>
      </w:pPr>
      <w:r w:rsidRPr="00065DBD">
        <w:t>the illustration shows any anticipated spikes or fluctuations in the costs; and</w:t>
      </w:r>
    </w:p>
    <w:p w:rsidR="00731EE3" w:rsidRPr="00065DBD" w:rsidRDefault="00731EE3" w:rsidP="00731EE3">
      <w:pPr>
        <w:pStyle w:val="ssNoHeading3"/>
      </w:pPr>
      <w:r w:rsidRPr="00065DBD">
        <w:t>the illustration is accompanied by a description of the illustration.</w:t>
      </w:r>
    </w:p>
    <w:p w:rsidR="00731EE3" w:rsidRDefault="00731EE3">
      <w:pPr>
        <w:spacing w:after="200" w:line="276" w:lineRule="auto"/>
        <w:rPr>
          <w:rFonts w:cs="Arial"/>
          <w:szCs w:val="20"/>
        </w:rPr>
      </w:pPr>
      <w:r>
        <w:rPr>
          <w:rFonts w:cs="Arial"/>
          <w:szCs w:val="20"/>
        </w:rPr>
        <w:br w:type="page"/>
      </w:r>
    </w:p>
    <w:p w:rsidR="00731EE3" w:rsidRPr="001807BA" w:rsidRDefault="00731EE3" w:rsidP="00731EE3">
      <w:pPr>
        <w:pStyle w:val="ssPara1"/>
        <w:jc w:val="center"/>
        <w:rPr>
          <w:b/>
        </w:rPr>
      </w:pPr>
      <w:r w:rsidRPr="001807BA">
        <w:rPr>
          <w:b/>
        </w:rPr>
        <w:lastRenderedPageBreak/>
        <w:t>COSTS AND CHARGES</w:t>
      </w:r>
    </w:p>
    <w:p w:rsidR="00731EE3" w:rsidRPr="001807BA" w:rsidRDefault="00731EE3" w:rsidP="00731EE3">
      <w:pPr>
        <w:pStyle w:val="ssPara1"/>
        <w:jc w:val="center"/>
        <w:rPr>
          <w:b/>
        </w:rPr>
      </w:pPr>
      <w:r w:rsidRPr="001807BA">
        <w:rPr>
          <w:b/>
        </w:rPr>
        <w:t>Delegated Regulation Annex II</w:t>
      </w:r>
    </w:p>
    <w:p w:rsidR="00731EE3" w:rsidRPr="001807BA" w:rsidRDefault="00731EE3" w:rsidP="00731EE3">
      <w:pPr>
        <w:pStyle w:val="ssPara1"/>
        <w:rPr>
          <w:b/>
        </w:rPr>
      </w:pPr>
      <w:r w:rsidRPr="001807BA">
        <w:rPr>
          <w:b/>
        </w:rPr>
        <w:t>Identified costs that should form part of the costs to be disclosed to the clients</w:t>
      </w:r>
      <w:r w:rsidRPr="00731EE3">
        <w:rPr>
          <w:b/>
          <w:vertAlign w:val="superscript"/>
        </w:rPr>
        <w:footnoteReference w:id="6"/>
      </w:r>
    </w:p>
    <w:p w:rsidR="00731EE3" w:rsidRPr="001807BA" w:rsidRDefault="00731EE3" w:rsidP="00731EE3">
      <w:pPr>
        <w:pStyle w:val="ssPara1"/>
        <w:rPr>
          <w:b/>
        </w:rPr>
      </w:pPr>
      <w:r w:rsidRPr="001807BA">
        <w:rPr>
          <w:b/>
        </w:rPr>
        <w:t>Table 1 - All costs and associated charges charged for the investment service(s) and/or ancillary services provided to the client that should form part of the amount to be disclosed</w:t>
      </w:r>
    </w:p>
    <w:p w:rsidR="00731EE3" w:rsidRPr="001807BA" w:rsidRDefault="00731EE3" w:rsidP="00731EE3">
      <w:pPr>
        <w:pStyle w:val="ssPara1"/>
        <w:rPr>
          <w:b/>
        </w:rPr>
      </w:pPr>
      <w:r w:rsidRPr="001807BA">
        <w:rPr>
          <w:b/>
        </w:rPr>
        <w:t>One-off charges related to the provision of an investment service</w:t>
      </w:r>
    </w:p>
    <w:p w:rsidR="00731EE3" w:rsidRPr="001807BA" w:rsidRDefault="00731EE3" w:rsidP="00731EE3">
      <w:pPr>
        <w:pStyle w:val="ssPara1"/>
      </w:pPr>
      <w:r w:rsidRPr="001807BA">
        <w:t>All costs and charges paid to the investment firm at the beginning or at the end of the provided investment service(s).</w:t>
      </w:r>
    </w:p>
    <w:p w:rsidR="00731EE3" w:rsidRPr="001807BA" w:rsidRDefault="00731EE3" w:rsidP="00731EE3">
      <w:pPr>
        <w:pStyle w:val="ssPara1"/>
      </w:pPr>
      <w:r w:rsidRPr="001807BA">
        <w:t>Deposit fees, termination fees and switching costs</w:t>
      </w:r>
      <w:r w:rsidRPr="00731EE3">
        <w:rPr>
          <w:vertAlign w:val="superscript"/>
        </w:rPr>
        <w:footnoteReference w:id="7"/>
      </w:r>
      <w:r w:rsidRPr="001807BA">
        <w:t>.</w:t>
      </w:r>
    </w:p>
    <w:p w:rsidR="00731EE3" w:rsidRPr="00731EE3" w:rsidRDefault="00731EE3" w:rsidP="00731EE3">
      <w:pPr>
        <w:pStyle w:val="ssPara1"/>
        <w:rPr>
          <w:b/>
        </w:rPr>
      </w:pPr>
      <w:r w:rsidRPr="00731EE3">
        <w:rPr>
          <w:b/>
        </w:rPr>
        <w:t>On-going charges related to the provision of an investment service</w:t>
      </w:r>
    </w:p>
    <w:p w:rsidR="00731EE3" w:rsidRPr="001807BA" w:rsidRDefault="00731EE3" w:rsidP="00731EE3">
      <w:pPr>
        <w:pStyle w:val="ssPara1"/>
      </w:pPr>
      <w:r w:rsidRPr="001807BA">
        <w:t>All on-going costs and charges paid to investment firms for their services provided to the client.</w:t>
      </w:r>
    </w:p>
    <w:p w:rsidR="00731EE3" w:rsidRPr="00731EE3" w:rsidRDefault="00731EE3" w:rsidP="00731EE3">
      <w:pPr>
        <w:pStyle w:val="ssPara1"/>
        <w:rPr>
          <w:b/>
        </w:rPr>
      </w:pPr>
      <w:r w:rsidRPr="00731EE3">
        <w:rPr>
          <w:b/>
        </w:rPr>
        <w:t>Management fees, advisory fees, custodian fees.</w:t>
      </w:r>
    </w:p>
    <w:p w:rsidR="00731EE3" w:rsidRPr="001807BA" w:rsidRDefault="00731EE3" w:rsidP="00731EE3">
      <w:pPr>
        <w:pStyle w:val="ssPara1"/>
      </w:pPr>
      <w:r w:rsidRPr="001807BA">
        <w:t xml:space="preserve">All costs related to transactions initiated </w:t>
      </w:r>
      <w:proofErr w:type="gramStart"/>
      <w:r w:rsidRPr="001807BA">
        <w:t>in the course of</w:t>
      </w:r>
      <w:proofErr w:type="gramEnd"/>
      <w:r w:rsidRPr="001807BA">
        <w:t xml:space="preserve"> the provision of an investment service</w:t>
      </w:r>
    </w:p>
    <w:p w:rsidR="00731EE3" w:rsidRPr="001807BA" w:rsidRDefault="00731EE3" w:rsidP="00731EE3">
      <w:pPr>
        <w:pStyle w:val="ssPara1"/>
      </w:pPr>
      <w:r w:rsidRPr="001807BA">
        <w:t>All costs and charges that are related to transactions performed by the investment firm or other parties.</w:t>
      </w:r>
    </w:p>
    <w:p w:rsidR="00731EE3" w:rsidRPr="001807BA" w:rsidRDefault="00731EE3" w:rsidP="00731EE3">
      <w:pPr>
        <w:pStyle w:val="ssPara1"/>
      </w:pPr>
      <w:r w:rsidRPr="001807BA">
        <w:t>Broker commissions</w:t>
      </w:r>
      <w:r w:rsidRPr="00731EE3">
        <w:rPr>
          <w:vertAlign w:val="superscript"/>
        </w:rPr>
        <w:footnoteReference w:id="8"/>
      </w:r>
      <w:r w:rsidRPr="001807BA">
        <w:t>, entry- and exit charges paid to the fund manager, platform fees, mark ups (embedded in the transaction price), stamp duty, transactions tax and foreign exchange costs.</w:t>
      </w:r>
    </w:p>
    <w:p w:rsidR="00731EE3" w:rsidRPr="001807BA" w:rsidRDefault="00731EE3" w:rsidP="00731EE3">
      <w:pPr>
        <w:pStyle w:val="ssPara1"/>
      </w:pPr>
    </w:p>
    <w:p w:rsidR="00731EE3" w:rsidRPr="00731EE3" w:rsidRDefault="00731EE3" w:rsidP="00731EE3">
      <w:pPr>
        <w:pStyle w:val="ssPara1"/>
        <w:rPr>
          <w:b/>
        </w:rPr>
      </w:pPr>
      <w:r w:rsidRPr="00731EE3">
        <w:rPr>
          <w:b/>
        </w:rPr>
        <w:t>Any charges that are related to ancillary services</w:t>
      </w:r>
    </w:p>
    <w:p w:rsidR="00731EE3" w:rsidRPr="001807BA" w:rsidRDefault="00731EE3" w:rsidP="00731EE3">
      <w:pPr>
        <w:pStyle w:val="ssPara1"/>
      </w:pPr>
      <w:r w:rsidRPr="001807BA">
        <w:t>Any costs and charges that are related to ancillary services that are not included in the costs mentioned above.</w:t>
      </w:r>
    </w:p>
    <w:p w:rsidR="00731EE3" w:rsidRPr="00731EE3" w:rsidRDefault="00731EE3" w:rsidP="00731EE3">
      <w:pPr>
        <w:pStyle w:val="ssPara1"/>
        <w:rPr>
          <w:b/>
        </w:rPr>
      </w:pPr>
      <w:r w:rsidRPr="00731EE3">
        <w:rPr>
          <w:b/>
        </w:rPr>
        <w:t>Research costs.</w:t>
      </w:r>
    </w:p>
    <w:p w:rsidR="00731EE3" w:rsidRPr="001807BA" w:rsidRDefault="00731EE3" w:rsidP="00731EE3">
      <w:pPr>
        <w:pStyle w:val="ssPara1"/>
      </w:pPr>
      <w:r w:rsidRPr="001807BA">
        <w:t>Custody costs.</w:t>
      </w:r>
    </w:p>
    <w:p w:rsidR="00731EE3" w:rsidRPr="00731EE3" w:rsidRDefault="00731EE3" w:rsidP="00731EE3">
      <w:pPr>
        <w:pStyle w:val="ssPara1"/>
        <w:rPr>
          <w:b/>
        </w:rPr>
      </w:pPr>
      <w:r w:rsidRPr="00731EE3">
        <w:rPr>
          <w:b/>
        </w:rPr>
        <w:t>Incidental costs</w:t>
      </w:r>
    </w:p>
    <w:p w:rsidR="00731EE3" w:rsidRPr="001807BA" w:rsidRDefault="00731EE3" w:rsidP="00731EE3">
      <w:pPr>
        <w:pStyle w:val="ssPara1"/>
      </w:pPr>
      <w:r w:rsidRPr="001807BA">
        <w:t>Performance fees.</w:t>
      </w:r>
    </w:p>
    <w:p w:rsidR="00731EE3" w:rsidRPr="00731EE3" w:rsidRDefault="00731EE3" w:rsidP="00731EE3">
      <w:pPr>
        <w:pStyle w:val="ssPara1"/>
        <w:rPr>
          <w:b/>
        </w:rPr>
      </w:pPr>
      <w:r w:rsidRPr="00731EE3">
        <w:rPr>
          <w:b/>
        </w:rPr>
        <w:lastRenderedPageBreak/>
        <w:t>Table 2 - All costs and associated charges related to the financial instrument that should form part of the amount to be disclosed</w:t>
      </w:r>
    </w:p>
    <w:p w:rsidR="00731EE3" w:rsidRPr="00731EE3" w:rsidRDefault="00731EE3" w:rsidP="00731EE3">
      <w:pPr>
        <w:pStyle w:val="ssPara1"/>
        <w:rPr>
          <w:b/>
        </w:rPr>
      </w:pPr>
      <w:r w:rsidRPr="00731EE3">
        <w:rPr>
          <w:b/>
        </w:rPr>
        <w:t>One-off charges</w:t>
      </w:r>
    </w:p>
    <w:p w:rsidR="00731EE3" w:rsidRPr="001807BA" w:rsidRDefault="00731EE3" w:rsidP="00731EE3">
      <w:pPr>
        <w:pStyle w:val="ssPara1"/>
      </w:pPr>
      <w:r w:rsidRPr="001807BA">
        <w:t>All costs and charges (included in the price or in addition to the price of the financial instrument) paid to product suppliers at the beginning or at the end of the investment in the financial instrument.</w:t>
      </w:r>
    </w:p>
    <w:p w:rsidR="00731EE3" w:rsidRPr="001807BA" w:rsidRDefault="00731EE3" w:rsidP="00731EE3">
      <w:pPr>
        <w:pStyle w:val="ssPara1"/>
      </w:pPr>
      <w:r w:rsidRPr="001807BA">
        <w:t>Front-loaded management fee, structuring fee</w:t>
      </w:r>
      <w:r w:rsidRPr="00731EE3">
        <w:rPr>
          <w:vertAlign w:val="superscript"/>
        </w:rPr>
        <w:footnoteReference w:id="9"/>
      </w:r>
      <w:r w:rsidRPr="001807BA">
        <w:t>, distribution fee.</w:t>
      </w:r>
    </w:p>
    <w:p w:rsidR="00731EE3" w:rsidRPr="001807BA" w:rsidRDefault="00731EE3" w:rsidP="00731EE3">
      <w:pPr>
        <w:pStyle w:val="ssPara1"/>
        <w:rPr>
          <w:b/>
        </w:rPr>
      </w:pPr>
      <w:r w:rsidRPr="001807BA">
        <w:rPr>
          <w:b/>
        </w:rPr>
        <w:t>On-going charges</w:t>
      </w:r>
    </w:p>
    <w:p w:rsidR="00731EE3" w:rsidRPr="001807BA" w:rsidRDefault="00731EE3" w:rsidP="00731EE3">
      <w:pPr>
        <w:pStyle w:val="ssPara1"/>
      </w:pPr>
      <w:r w:rsidRPr="001807BA">
        <w:t>All on-going costs and charges related to the management of the financial product that are deducted from the value of the financial instrument during the investment in the financial instrument.</w:t>
      </w:r>
    </w:p>
    <w:p w:rsidR="00731EE3" w:rsidRPr="001807BA" w:rsidRDefault="00731EE3" w:rsidP="00731EE3">
      <w:pPr>
        <w:pStyle w:val="ssPara1"/>
      </w:pPr>
      <w:r w:rsidRPr="001807BA">
        <w:t>Management fees, service costs, swap fees, securities lending costs and taxes, financing costs.</w:t>
      </w:r>
    </w:p>
    <w:p w:rsidR="00731EE3" w:rsidRPr="001807BA" w:rsidRDefault="00731EE3" w:rsidP="00731EE3">
      <w:pPr>
        <w:pStyle w:val="ssPara1"/>
        <w:rPr>
          <w:b/>
        </w:rPr>
      </w:pPr>
      <w:r w:rsidRPr="001807BA">
        <w:rPr>
          <w:b/>
        </w:rPr>
        <w:t>All costs related to the transactions</w:t>
      </w:r>
    </w:p>
    <w:p w:rsidR="00731EE3" w:rsidRPr="001807BA" w:rsidRDefault="00731EE3" w:rsidP="00731EE3">
      <w:pPr>
        <w:pStyle w:val="ssPara1"/>
      </w:pPr>
      <w:r w:rsidRPr="001807BA">
        <w:t xml:space="preserve">All costs and charges that incurred </w:t>
      </w:r>
      <w:proofErr w:type="gramStart"/>
      <w:r w:rsidRPr="001807BA">
        <w:t>as a result of</w:t>
      </w:r>
      <w:proofErr w:type="gramEnd"/>
      <w:r w:rsidRPr="001807BA">
        <w:t xml:space="preserve"> the acquisition and disposal of investments.</w:t>
      </w:r>
    </w:p>
    <w:p w:rsidR="00731EE3" w:rsidRPr="001807BA" w:rsidRDefault="00731EE3" w:rsidP="00731EE3">
      <w:pPr>
        <w:pStyle w:val="ssPara1"/>
      </w:pPr>
      <w:r w:rsidRPr="001807BA">
        <w:t>Broker commissions, entry- and exit charges paid by the fund, mark ups embedded in the transaction price, stamp duty, transactions tax and foreign exchange costs.</w:t>
      </w:r>
    </w:p>
    <w:p w:rsidR="00731EE3" w:rsidRPr="001807BA" w:rsidRDefault="00731EE3" w:rsidP="00731EE3">
      <w:pPr>
        <w:pStyle w:val="ssPara1"/>
        <w:rPr>
          <w:b/>
        </w:rPr>
      </w:pPr>
      <w:r w:rsidRPr="001807BA">
        <w:rPr>
          <w:b/>
        </w:rPr>
        <w:t>Incidental costs</w:t>
      </w:r>
    </w:p>
    <w:p w:rsidR="00731EE3" w:rsidRPr="001807BA" w:rsidRDefault="00731EE3" w:rsidP="00731EE3">
      <w:pPr>
        <w:pStyle w:val="ssPara1"/>
      </w:pPr>
      <w:r w:rsidRPr="001807BA">
        <w:t>Performance fees</w:t>
      </w:r>
    </w:p>
    <w:p w:rsidR="00731EE3" w:rsidRPr="001807BA" w:rsidRDefault="00731EE3" w:rsidP="00731EE3">
      <w:pPr>
        <w:pStyle w:val="ssPara1"/>
      </w:pPr>
    </w:p>
    <w:sectPr w:rsidR="00731EE3" w:rsidRPr="001807BA" w:rsidSect="00CE3BE1">
      <w:footerReference w:type="even" r:id="rId15"/>
      <w:footerReference w:type="default" r:id="rId16"/>
      <w:footerReference w:type="first" r:id="rId1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7488" w:rsidRDefault="00D57488" w:rsidP="00731EE3">
      <w:r>
        <w:separator/>
      </w:r>
    </w:p>
  </w:endnote>
  <w:endnote w:type="continuationSeparator" w:id="0">
    <w:p w:rsidR="00D57488" w:rsidRDefault="00D57488" w:rsidP="00731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xpert Sans Regular">
    <w:altName w:val="Courier New"/>
    <w:panose1 w:val="00000000000000000000"/>
    <w:charset w:val="00"/>
    <w:family w:val="auto"/>
    <w:notTrueType/>
    <w:pitch w:val="variable"/>
    <w:sig w:usb0="00000001"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5D6" w:rsidRPr="00EE1FF5" w:rsidRDefault="00EE1FF5" w:rsidP="00EE1FF5">
    <w:pPr>
      <w:pStyle w:val="Footer"/>
      <w:tabs>
        <w:tab w:val="clear" w:pos="4513"/>
        <w:tab w:val="clear" w:pos="9026"/>
        <w:tab w:val="center" w:pos="7000"/>
        <w:tab w:val="right" w:pos="14020"/>
      </w:tabs>
      <w:rPr>
        <w:sz w:val="12"/>
      </w:rPr>
    </w:pPr>
    <w:bookmarkStart w:id="1" w:name="bmkDocRef1_3"/>
    <w:r>
      <w:rPr>
        <w:sz w:val="12"/>
      </w:rPr>
      <w:t>FMFS/072735-00007/CXMS/</w:t>
    </w:r>
    <w:proofErr w:type="gramStart"/>
    <w:r>
      <w:rPr>
        <w:sz w:val="12"/>
      </w:rPr>
      <w:t>SJWA</w:t>
    </w:r>
    <w:bookmarkEnd w:id="1"/>
    <w:r w:rsidRPr="00EE1FF5">
      <w:rPr>
        <w:sz w:val="12"/>
      </w:rPr>
      <w:t xml:space="preserve">  </w:t>
    </w:r>
    <w:bookmarkStart w:id="2" w:name="bmkAsset1_3"/>
    <w:r>
      <w:rPr>
        <w:sz w:val="12"/>
      </w:rPr>
      <w:t>WIHI</w:t>
    </w:r>
    <w:proofErr w:type="gramEnd"/>
    <w:r>
      <w:rPr>
        <w:sz w:val="12"/>
      </w:rPr>
      <w:t>(LDN7W25392)</w:t>
    </w:r>
    <w:bookmarkEnd w:id="2"/>
    <w:r>
      <w:tab/>
    </w:r>
    <w:r>
      <w:fldChar w:fldCharType="begin"/>
    </w:r>
    <w:r>
      <w:instrText xml:space="preserve"> PAGE  \* MERGEFORMAT </w:instrText>
    </w:r>
    <w:r>
      <w:fldChar w:fldCharType="separate"/>
    </w:r>
    <w:r>
      <w:rPr>
        <w:noProof/>
      </w:rPr>
      <w:t>2</w:t>
    </w:r>
    <w:r>
      <w:fldChar w:fldCharType="end"/>
    </w:r>
    <w:r w:rsidRPr="00EE1FF5">
      <w:rPr>
        <w:sz w:val="12"/>
      </w:rPr>
      <w:tab/>
    </w:r>
    <w:bookmarkStart w:id="3" w:name="bmkDocID1_3"/>
    <w:r>
      <w:rPr>
        <w:sz w:val="12"/>
      </w:rPr>
      <w:t>L_LIVE_EMEA1:33549844v2</w:t>
    </w:r>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3FC" w:rsidRPr="00EE1FF5" w:rsidRDefault="00EE1FF5" w:rsidP="00EE1FF5">
    <w:pPr>
      <w:pStyle w:val="Footer"/>
      <w:tabs>
        <w:tab w:val="clear" w:pos="4513"/>
        <w:tab w:val="clear" w:pos="9026"/>
        <w:tab w:val="center" w:pos="7000"/>
        <w:tab w:val="right" w:pos="14020"/>
      </w:tabs>
      <w:rPr>
        <w:sz w:val="12"/>
      </w:rPr>
    </w:pPr>
    <w:bookmarkStart w:id="4" w:name="bmkDocRef1_1"/>
    <w:r>
      <w:rPr>
        <w:sz w:val="12"/>
      </w:rPr>
      <w:t>FMFS/072735-00007/CXMS/</w:t>
    </w:r>
    <w:proofErr w:type="gramStart"/>
    <w:r>
      <w:rPr>
        <w:sz w:val="12"/>
      </w:rPr>
      <w:t>SJWA</w:t>
    </w:r>
    <w:bookmarkEnd w:id="4"/>
    <w:r w:rsidRPr="00EE1FF5">
      <w:rPr>
        <w:sz w:val="12"/>
      </w:rPr>
      <w:t xml:space="preserve">  </w:t>
    </w:r>
    <w:bookmarkStart w:id="5" w:name="bmkAsset1_1"/>
    <w:r>
      <w:rPr>
        <w:sz w:val="12"/>
      </w:rPr>
      <w:t>WIHI</w:t>
    </w:r>
    <w:proofErr w:type="gramEnd"/>
    <w:r>
      <w:rPr>
        <w:sz w:val="12"/>
      </w:rPr>
      <w:t>(LDN7W25392)</w:t>
    </w:r>
    <w:bookmarkEnd w:id="5"/>
    <w:r>
      <w:tab/>
    </w:r>
    <w:r>
      <w:fldChar w:fldCharType="begin"/>
    </w:r>
    <w:r>
      <w:instrText xml:space="preserve"> PAGE  \* MERGEFORMAT </w:instrText>
    </w:r>
    <w:r>
      <w:fldChar w:fldCharType="separate"/>
    </w:r>
    <w:r w:rsidR="00756EE8">
      <w:rPr>
        <w:noProof/>
      </w:rPr>
      <w:t>3</w:t>
    </w:r>
    <w:r>
      <w:fldChar w:fldCharType="end"/>
    </w:r>
    <w:r w:rsidRPr="00EE1FF5">
      <w:rPr>
        <w:sz w:val="12"/>
      </w:rPr>
      <w:tab/>
    </w:r>
    <w:bookmarkStart w:id="6" w:name="bmkDocID1_1"/>
    <w:r>
      <w:rPr>
        <w:sz w:val="12"/>
      </w:rPr>
      <w:t>L_LIVE_EMEA1:33549844v2</w:t>
    </w:r>
    <w:bookmarkEnd w:id="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5D6" w:rsidRPr="00EE1FF5" w:rsidRDefault="00EE1FF5" w:rsidP="00EE1FF5">
    <w:pPr>
      <w:pStyle w:val="Footer"/>
      <w:tabs>
        <w:tab w:val="clear" w:pos="4513"/>
        <w:tab w:val="clear" w:pos="9026"/>
        <w:tab w:val="center" w:pos="7000"/>
        <w:tab w:val="right" w:pos="14020"/>
      </w:tabs>
      <w:rPr>
        <w:sz w:val="12"/>
      </w:rPr>
    </w:pPr>
    <w:bookmarkStart w:id="7" w:name="bmkDocRef1_2"/>
    <w:r>
      <w:rPr>
        <w:sz w:val="12"/>
      </w:rPr>
      <w:t>FMFS/072735-00007/CXMS/</w:t>
    </w:r>
    <w:proofErr w:type="gramStart"/>
    <w:r>
      <w:rPr>
        <w:sz w:val="12"/>
      </w:rPr>
      <w:t>SJWA</w:t>
    </w:r>
    <w:bookmarkEnd w:id="7"/>
    <w:r w:rsidRPr="00EE1FF5">
      <w:rPr>
        <w:sz w:val="12"/>
      </w:rPr>
      <w:t xml:space="preserve">  </w:t>
    </w:r>
    <w:bookmarkStart w:id="8" w:name="bmkAsset1_2"/>
    <w:r>
      <w:rPr>
        <w:sz w:val="12"/>
      </w:rPr>
      <w:t>WIHI</w:t>
    </w:r>
    <w:proofErr w:type="gramEnd"/>
    <w:r>
      <w:rPr>
        <w:sz w:val="12"/>
      </w:rPr>
      <w:t>(LDN7W25392)</w:t>
    </w:r>
    <w:bookmarkEnd w:id="8"/>
    <w:r>
      <w:tab/>
    </w:r>
    <w:r>
      <w:fldChar w:fldCharType="begin"/>
    </w:r>
    <w:r>
      <w:instrText xml:space="preserve"> PAGE  \* MERGEFORMAT </w:instrText>
    </w:r>
    <w:r>
      <w:fldChar w:fldCharType="separate"/>
    </w:r>
    <w:r>
      <w:rPr>
        <w:noProof/>
      </w:rPr>
      <w:t>2</w:t>
    </w:r>
    <w:r>
      <w:fldChar w:fldCharType="end"/>
    </w:r>
    <w:r w:rsidRPr="00EE1FF5">
      <w:rPr>
        <w:sz w:val="12"/>
      </w:rPr>
      <w:tab/>
    </w:r>
    <w:bookmarkStart w:id="9" w:name="bmkDocID1_2"/>
    <w:r>
      <w:rPr>
        <w:sz w:val="12"/>
      </w:rPr>
      <w:t>L_LIVE_EMEA1:33549844v2</w:t>
    </w:r>
    <w:bookmarkEnd w:id="9"/>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FF5" w:rsidRPr="00EE1FF5" w:rsidRDefault="00EE1FF5" w:rsidP="00EE1FF5">
    <w:pPr>
      <w:pStyle w:val="Footer"/>
      <w:tabs>
        <w:tab w:val="clear" w:pos="4513"/>
        <w:tab w:val="clear" w:pos="9026"/>
        <w:tab w:val="center" w:pos="4540"/>
        <w:tab w:val="right" w:pos="9100"/>
      </w:tabs>
      <w:rPr>
        <w:sz w:val="12"/>
      </w:rPr>
    </w:pPr>
    <w:bookmarkStart w:id="10" w:name="bmkDocRef2_3"/>
    <w:r>
      <w:rPr>
        <w:sz w:val="12"/>
      </w:rPr>
      <w:t>FMFS/072735-00007/CXMS/</w:t>
    </w:r>
    <w:proofErr w:type="gramStart"/>
    <w:r>
      <w:rPr>
        <w:sz w:val="12"/>
      </w:rPr>
      <w:t>SJWA</w:t>
    </w:r>
    <w:bookmarkEnd w:id="10"/>
    <w:r w:rsidRPr="00EE1FF5">
      <w:rPr>
        <w:sz w:val="12"/>
      </w:rPr>
      <w:t xml:space="preserve">  </w:t>
    </w:r>
    <w:bookmarkStart w:id="11" w:name="bmkAsset2_3"/>
    <w:r>
      <w:rPr>
        <w:sz w:val="12"/>
      </w:rPr>
      <w:t>WIHI</w:t>
    </w:r>
    <w:proofErr w:type="gramEnd"/>
    <w:r>
      <w:rPr>
        <w:sz w:val="12"/>
      </w:rPr>
      <w:t>(LDN7W25392)</w:t>
    </w:r>
    <w:bookmarkEnd w:id="11"/>
    <w:r>
      <w:tab/>
    </w:r>
    <w:r>
      <w:fldChar w:fldCharType="begin"/>
    </w:r>
    <w:r>
      <w:instrText xml:space="preserve"> PAGE  \* MERGEFORMAT </w:instrText>
    </w:r>
    <w:r>
      <w:fldChar w:fldCharType="separate"/>
    </w:r>
    <w:r>
      <w:rPr>
        <w:noProof/>
      </w:rPr>
      <w:t>4</w:t>
    </w:r>
    <w:r>
      <w:fldChar w:fldCharType="end"/>
    </w:r>
    <w:r w:rsidRPr="00EE1FF5">
      <w:rPr>
        <w:sz w:val="12"/>
      </w:rPr>
      <w:tab/>
    </w:r>
    <w:bookmarkStart w:id="12" w:name="bmkDocID2_3"/>
    <w:r>
      <w:rPr>
        <w:sz w:val="12"/>
      </w:rPr>
      <w:t>L_LIVE_EMEA1:33549844v2</w:t>
    </w:r>
    <w:bookmarkEnd w:id="12"/>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FF5" w:rsidRPr="00EE1FF5" w:rsidRDefault="00EE1FF5" w:rsidP="00EE1FF5">
    <w:pPr>
      <w:pStyle w:val="Footer"/>
      <w:tabs>
        <w:tab w:val="clear" w:pos="4513"/>
        <w:tab w:val="clear" w:pos="9026"/>
        <w:tab w:val="center" w:pos="4540"/>
        <w:tab w:val="right" w:pos="9100"/>
      </w:tabs>
      <w:rPr>
        <w:sz w:val="12"/>
      </w:rPr>
    </w:pPr>
    <w:bookmarkStart w:id="13" w:name="bmkDocRef2_1"/>
    <w:r>
      <w:rPr>
        <w:sz w:val="12"/>
      </w:rPr>
      <w:t>FMFS/072735-00007/CXMS/</w:t>
    </w:r>
    <w:proofErr w:type="gramStart"/>
    <w:r>
      <w:rPr>
        <w:sz w:val="12"/>
      </w:rPr>
      <w:t>SJWA</w:t>
    </w:r>
    <w:bookmarkEnd w:id="13"/>
    <w:r w:rsidRPr="00EE1FF5">
      <w:rPr>
        <w:sz w:val="12"/>
      </w:rPr>
      <w:t xml:space="preserve">  </w:t>
    </w:r>
    <w:bookmarkStart w:id="14" w:name="bmkAsset2_1"/>
    <w:r>
      <w:rPr>
        <w:sz w:val="12"/>
      </w:rPr>
      <w:t>WIHI</w:t>
    </w:r>
    <w:proofErr w:type="gramEnd"/>
    <w:r>
      <w:rPr>
        <w:sz w:val="12"/>
      </w:rPr>
      <w:t>(LDN7W25392)</w:t>
    </w:r>
    <w:bookmarkEnd w:id="14"/>
    <w:r>
      <w:tab/>
    </w:r>
    <w:r>
      <w:fldChar w:fldCharType="begin"/>
    </w:r>
    <w:r>
      <w:instrText xml:space="preserve"> PAGE  \* MERGEFORMAT </w:instrText>
    </w:r>
    <w:r>
      <w:fldChar w:fldCharType="separate"/>
    </w:r>
    <w:r w:rsidR="00756EE8">
      <w:rPr>
        <w:noProof/>
      </w:rPr>
      <w:t>4</w:t>
    </w:r>
    <w:r>
      <w:fldChar w:fldCharType="end"/>
    </w:r>
    <w:r w:rsidRPr="00EE1FF5">
      <w:rPr>
        <w:sz w:val="12"/>
      </w:rPr>
      <w:tab/>
    </w:r>
    <w:bookmarkStart w:id="15" w:name="bmkDocID2_1"/>
    <w:r>
      <w:rPr>
        <w:sz w:val="12"/>
      </w:rPr>
      <w:t>L_LIVE_EMEA1:33549844v2</w:t>
    </w:r>
    <w:bookmarkEnd w:id="15"/>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FF5" w:rsidRPr="00EE1FF5" w:rsidRDefault="00EE1FF5" w:rsidP="00EE1FF5">
    <w:pPr>
      <w:pStyle w:val="Footer"/>
      <w:tabs>
        <w:tab w:val="clear" w:pos="4513"/>
        <w:tab w:val="clear" w:pos="9026"/>
        <w:tab w:val="center" w:pos="4540"/>
        <w:tab w:val="right" w:pos="9100"/>
      </w:tabs>
      <w:rPr>
        <w:sz w:val="12"/>
      </w:rPr>
    </w:pPr>
    <w:bookmarkStart w:id="16" w:name="bmkDocRef2_2"/>
    <w:r>
      <w:rPr>
        <w:sz w:val="12"/>
      </w:rPr>
      <w:t>FMFS/072735-00007/CXMS/</w:t>
    </w:r>
    <w:proofErr w:type="gramStart"/>
    <w:r>
      <w:rPr>
        <w:sz w:val="12"/>
      </w:rPr>
      <w:t>SJWA</w:t>
    </w:r>
    <w:bookmarkEnd w:id="16"/>
    <w:r w:rsidRPr="00EE1FF5">
      <w:rPr>
        <w:sz w:val="12"/>
      </w:rPr>
      <w:t xml:space="preserve">  </w:t>
    </w:r>
    <w:bookmarkStart w:id="17" w:name="bmkAsset2_2"/>
    <w:r>
      <w:rPr>
        <w:sz w:val="12"/>
      </w:rPr>
      <w:t>WIHI</w:t>
    </w:r>
    <w:proofErr w:type="gramEnd"/>
    <w:r>
      <w:rPr>
        <w:sz w:val="12"/>
      </w:rPr>
      <w:t>(LDN7W25392)</w:t>
    </w:r>
    <w:bookmarkEnd w:id="17"/>
    <w:r>
      <w:tab/>
    </w:r>
    <w:r>
      <w:fldChar w:fldCharType="begin"/>
    </w:r>
    <w:r>
      <w:instrText xml:space="preserve"> PAGE  \* MERGEFORMAT </w:instrText>
    </w:r>
    <w:r>
      <w:fldChar w:fldCharType="separate"/>
    </w:r>
    <w:r>
      <w:rPr>
        <w:noProof/>
      </w:rPr>
      <w:t>4</w:t>
    </w:r>
    <w:r>
      <w:fldChar w:fldCharType="end"/>
    </w:r>
    <w:r w:rsidRPr="00EE1FF5">
      <w:rPr>
        <w:sz w:val="12"/>
      </w:rPr>
      <w:tab/>
    </w:r>
    <w:bookmarkStart w:id="18" w:name="bmkDocID2_2"/>
    <w:r>
      <w:rPr>
        <w:sz w:val="12"/>
      </w:rPr>
      <w:t>L_LIVE_EMEA1:33549844v2</w:t>
    </w:r>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7488" w:rsidRDefault="00D57488" w:rsidP="00731EE3">
      <w:r>
        <w:separator/>
      </w:r>
    </w:p>
  </w:footnote>
  <w:footnote w:type="continuationSeparator" w:id="0">
    <w:p w:rsidR="00D57488" w:rsidRDefault="00D57488" w:rsidP="00731EE3">
      <w:r>
        <w:continuationSeparator/>
      </w:r>
    </w:p>
  </w:footnote>
  <w:footnote w:id="1">
    <w:p w:rsidR="00731EE3" w:rsidRPr="001807BA" w:rsidRDefault="00731EE3" w:rsidP="001807BA">
      <w:pPr>
        <w:rPr>
          <w:rFonts w:cs="Arial"/>
        </w:rPr>
      </w:pPr>
      <w:r w:rsidRPr="00731EE3">
        <w:rPr>
          <w:rFonts w:cs="Arial"/>
          <w:vertAlign w:val="superscript"/>
        </w:rPr>
        <w:footnoteRef/>
      </w:r>
      <w:r w:rsidRPr="001807BA">
        <w:rPr>
          <w:rFonts w:cs="Arial"/>
        </w:rPr>
        <w:t xml:space="preserve"> Recital 83 of MiFID II clarifies what constitutes the provision of information provided in good time</w:t>
      </w:r>
    </w:p>
  </w:footnote>
  <w:footnote w:id="2">
    <w:p w:rsidR="00731EE3" w:rsidRPr="000A34C8" w:rsidRDefault="00731EE3" w:rsidP="001807BA">
      <w:pPr>
        <w:rPr>
          <w:rFonts w:cs="Arial"/>
        </w:rPr>
      </w:pPr>
      <w:r w:rsidRPr="00731EE3">
        <w:rPr>
          <w:rFonts w:cs="Arial"/>
          <w:vertAlign w:val="superscript"/>
        </w:rPr>
        <w:footnoteRef/>
      </w:r>
      <w:r w:rsidRPr="000A34C8">
        <w:rPr>
          <w:rFonts w:cs="Arial"/>
        </w:rPr>
        <w:t xml:space="preserve"> It should be noted that certain cost items appear in both tables but are not duplicative since they respectively refer to costs of the product and costs of the service. Examples are the management fees (in table 1, this refers to management fees charged by an investment firm providing the service of portfolio management to its clients while in Table 2 it refers to management fees charged by an investment fund manager to its investor) and broker commissions (in Table 1, they refer to com</w:t>
      </w:r>
      <w:r>
        <w:rPr>
          <w:rFonts w:cs="Arial"/>
        </w:rPr>
        <w:t>missions incurred by the invest</w:t>
      </w:r>
      <w:r w:rsidRPr="000A34C8">
        <w:rPr>
          <w:rFonts w:cs="Arial"/>
        </w:rPr>
        <w:t>ment firm when trading on behalf of its clients while in Table 2 they refer to commissions paid by investment funds when trading on behalf of the fund).</w:t>
      </w:r>
    </w:p>
    <w:p w:rsidR="00731EE3" w:rsidRPr="000A34C8" w:rsidRDefault="00731EE3" w:rsidP="001807BA">
      <w:pPr>
        <w:rPr>
          <w:rFonts w:cs="Arial"/>
        </w:rPr>
      </w:pPr>
    </w:p>
  </w:footnote>
  <w:footnote w:id="3">
    <w:p w:rsidR="00731EE3" w:rsidRPr="000A34C8" w:rsidRDefault="00731EE3" w:rsidP="001807BA">
      <w:pPr>
        <w:rPr>
          <w:rFonts w:cs="Arial"/>
        </w:rPr>
      </w:pPr>
      <w:r w:rsidRPr="00731EE3">
        <w:rPr>
          <w:rFonts w:cs="Arial"/>
          <w:vertAlign w:val="superscript"/>
        </w:rPr>
        <w:footnoteRef/>
      </w:r>
      <w:r w:rsidRPr="000A34C8">
        <w:rPr>
          <w:rFonts w:cs="Arial"/>
        </w:rPr>
        <w:t xml:space="preserve"> Switching costs should be understood as costs (if any) that are incurred by investors by switching from one investment firm to another investment firm.</w:t>
      </w:r>
    </w:p>
    <w:p w:rsidR="00731EE3" w:rsidRPr="000A34C8" w:rsidRDefault="00731EE3" w:rsidP="001807BA">
      <w:pPr>
        <w:rPr>
          <w:rFonts w:cs="Arial"/>
        </w:rPr>
      </w:pPr>
    </w:p>
  </w:footnote>
  <w:footnote w:id="4">
    <w:p w:rsidR="00731EE3" w:rsidRPr="000A34C8" w:rsidRDefault="00731EE3" w:rsidP="001807BA">
      <w:pPr>
        <w:rPr>
          <w:rFonts w:cs="Arial"/>
        </w:rPr>
      </w:pPr>
      <w:r w:rsidRPr="00731EE3">
        <w:rPr>
          <w:rFonts w:cs="Arial"/>
          <w:vertAlign w:val="superscript"/>
        </w:rPr>
        <w:footnoteRef/>
      </w:r>
      <w:r w:rsidRPr="000A34C8">
        <w:rPr>
          <w:rFonts w:cs="Arial"/>
        </w:rPr>
        <w:t xml:space="preserve"> Broker commissions should be understood as costs that are charged by investment firms for the execution of orders.</w:t>
      </w:r>
    </w:p>
    <w:p w:rsidR="00731EE3" w:rsidRDefault="00731EE3" w:rsidP="001807BA"/>
  </w:footnote>
  <w:footnote w:id="5">
    <w:p w:rsidR="00731EE3" w:rsidRPr="00592CB3" w:rsidRDefault="00731EE3" w:rsidP="001807BA">
      <w:pPr>
        <w:rPr>
          <w:rFonts w:cs="Arial"/>
        </w:rPr>
      </w:pPr>
      <w:r w:rsidRPr="00731EE3">
        <w:rPr>
          <w:rFonts w:cs="Arial"/>
          <w:vertAlign w:val="superscript"/>
        </w:rPr>
        <w:footnoteRef/>
      </w:r>
      <w:r w:rsidRPr="00592CB3">
        <w:rPr>
          <w:rFonts w:cs="Arial"/>
        </w:rPr>
        <w:t xml:space="preserve"> Structuring fees should be understood as fees charged by manufacturers of structured investment products for structuring the products. They may cover a broader range of services provided by the manufacturer.  </w:t>
      </w:r>
    </w:p>
  </w:footnote>
  <w:footnote w:id="6">
    <w:p w:rsidR="00731EE3" w:rsidRPr="00AB40A4" w:rsidRDefault="00731EE3" w:rsidP="001807BA">
      <w:pPr>
        <w:rPr>
          <w:rFonts w:cs="Arial"/>
        </w:rPr>
      </w:pPr>
      <w:r w:rsidRPr="00731EE3">
        <w:rPr>
          <w:rFonts w:cs="Arial"/>
          <w:vertAlign w:val="superscript"/>
        </w:rPr>
        <w:footnoteRef/>
      </w:r>
      <w:r w:rsidRPr="00AB40A4">
        <w:rPr>
          <w:rFonts w:cs="Arial"/>
        </w:rPr>
        <w:t xml:space="preserve"> It should be noted that certain cost items appear in both tables but are not duplicative since they respectively refer to costs of the product and costs of the service. Examples are the management fees (in table 1, this refers to management fees charged by an investment firm providing the service of portfolio management to its clients while in Table 2 it refers to management fees charged by an investment fund manager to its investor) and broker commissions (in Table 1, they refer to commissions incurred by the investment firm when trading on behalf of its clients while in Table 2 they refer to commissions paid by investment funds when trading on behalf of the fund).</w:t>
      </w:r>
    </w:p>
  </w:footnote>
  <w:footnote w:id="7">
    <w:p w:rsidR="00731EE3" w:rsidRPr="00AB40A4" w:rsidRDefault="00731EE3" w:rsidP="001807BA">
      <w:pPr>
        <w:rPr>
          <w:rFonts w:cs="Arial"/>
        </w:rPr>
      </w:pPr>
      <w:r w:rsidRPr="00731EE3">
        <w:rPr>
          <w:rFonts w:cs="Arial"/>
          <w:vertAlign w:val="superscript"/>
        </w:rPr>
        <w:footnoteRef/>
      </w:r>
      <w:r w:rsidRPr="00731EE3">
        <w:rPr>
          <w:rFonts w:cs="Arial"/>
          <w:vertAlign w:val="superscript"/>
        </w:rPr>
        <w:t xml:space="preserve"> </w:t>
      </w:r>
      <w:r w:rsidRPr="00AB40A4">
        <w:rPr>
          <w:rFonts w:cs="Arial"/>
        </w:rPr>
        <w:t>Switching costs should be understood as costs (if any) that are incurred by investors by switching from one investment firm to another investment firm.</w:t>
      </w:r>
    </w:p>
  </w:footnote>
  <w:footnote w:id="8">
    <w:p w:rsidR="00731EE3" w:rsidRDefault="00731EE3" w:rsidP="001807BA">
      <w:r w:rsidRPr="00731EE3">
        <w:rPr>
          <w:rFonts w:cs="Arial"/>
          <w:vertAlign w:val="superscript"/>
        </w:rPr>
        <w:footnoteRef/>
      </w:r>
      <w:r w:rsidRPr="00AB40A4">
        <w:rPr>
          <w:rFonts w:cs="Arial"/>
        </w:rPr>
        <w:t xml:space="preserve"> Broker commissions should be understood as costs that are charged by investment firms for the execution of orders.</w:t>
      </w:r>
    </w:p>
  </w:footnote>
  <w:footnote w:id="9">
    <w:p w:rsidR="00731EE3" w:rsidRPr="00C617AA" w:rsidRDefault="00731EE3" w:rsidP="001807BA">
      <w:pPr>
        <w:rPr>
          <w:rFonts w:cs="Arial"/>
        </w:rPr>
      </w:pPr>
      <w:r w:rsidRPr="00731EE3">
        <w:rPr>
          <w:rFonts w:cs="Arial"/>
          <w:vertAlign w:val="superscript"/>
        </w:rPr>
        <w:footnoteRef/>
      </w:r>
      <w:r w:rsidRPr="00C617AA">
        <w:rPr>
          <w:rFonts w:cs="Arial"/>
        </w:rPr>
        <w:t xml:space="preserve"> Structuring fees should be understood as fees charged by manufacturers of structured investment products for structuring the products. They may cover a broader range of services provided by the manufacturer.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6E8" w:rsidRDefault="009F56E8" w:rsidP="00A7460B">
    <w:pPr>
      <w:jc w:val="right"/>
      <w:rPr>
        <w:rFonts w:cs="Arial"/>
        <w:sz w:val="16"/>
        <w:szCs w:val="16"/>
      </w:rPr>
    </w:pPr>
    <w:r>
      <w:rPr>
        <w:rFonts w:cs="Arial"/>
        <w:noProof/>
        <w:sz w:val="16"/>
        <w:szCs w:val="16"/>
        <w:lang w:eastAsia="en-GB"/>
      </w:rPr>
      <w:drawing>
        <wp:inline distT="0" distB="0" distL="0" distR="0" wp14:anchorId="03A416D2" wp14:editId="490C2F76">
          <wp:extent cx="2505673" cy="609653"/>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FID2 Manager logo.png"/>
                  <pic:cNvPicPr/>
                </pic:nvPicPr>
                <pic:blipFill>
                  <a:blip r:embed="rId1">
                    <a:extLst>
                      <a:ext uri="{28A0092B-C50C-407E-A947-70E740481C1C}">
                        <a14:useLocalDpi xmlns:a14="http://schemas.microsoft.com/office/drawing/2010/main" val="0"/>
                      </a:ext>
                    </a:extLst>
                  </a:blip>
                  <a:stretch>
                    <a:fillRect/>
                  </a:stretch>
                </pic:blipFill>
                <pic:spPr>
                  <a:xfrm>
                    <a:off x="0" y="0"/>
                    <a:ext cx="2505673" cy="609653"/>
                  </a:xfrm>
                  <a:prstGeom prst="rect">
                    <a:avLst/>
                  </a:prstGeom>
                </pic:spPr>
              </pic:pic>
            </a:graphicData>
          </a:graphic>
        </wp:inline>
      </w:drawing>
    </w:r>
  </w:p>
  <w:p w:rsidR="00A7460B" w:rsidRPr="00A7460B" w:rsidRDefault="00381DDC" w:rsidP="00756EE8">
    <w:pPr>
      <w:jc w:val="right"/>
      <w:rPr>
        <w:rFonts w:cs="Arial"/>
        <w:sz w:val="16"/>
        <w:szCs w:val="16"/>
      </w:rPr>
    </w:pPr>
    <w:r>
      <w:rPr>
        <w:rFonts w:cs="Arial"/>
        <w:sz w:val="16"/>
        <w:szCs w:val="16"/>
      </w:rPr>
      <w:t xml:space="preserve"> 9</w:t>
    </w:r>
    <w:r w:rsidR="00A7460B" w:rsidRPr="00A7460B">
      <w:rPr>
        <w:rFonts w:cs="Arial"/>
        <w:sz w:val="16"/>
        <w:szCs w:val="16"/>
      </w:rPr>
      <w:t xml:space="preserve"> May 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BEEF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5AA7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CE95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D6E9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D854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9654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58E2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CC79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586E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3627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A3027"/>
    <w:multiLevelType w:val="multilevel"/>
    <w:tmpl w:val="3650ECEA"/>
    <w:name w:val="Schedule"/>
    <w:lvl w:ilvl="0">
      <w:start w:val="1"/>
      <w:numFmt w:val="none"/>
      <w:pStyle w:val="ssRestartSchedule"/>
      <w:suff w:val="nothing"/>
      <w:lvlText w:val=""/>
      <w:lvlJc w:val="left"/>
      <w:pPr>
        <w:ind w:left="0" w:firstLine="0"/>
      </w:pPr>
      <w:rPr>
        <w:rFonts w:hint="default"/>
      </w:rPr>
    </w:lvl>
    <w:lvl w:ilvl="1">
      <w:start w:val="1"/>
      <w:numFmt w:val="decimal"/>
      <w:pStyle w:val="ssqSchedule"/>
      <w:suff w:val="nothing"/>
      <w:lvlText w:val="schedule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6941B78"/>
    <w:multiLevelType w:val="multilevel"/>
    <w:tmpl w:val="904EA4D2"/>
    <w:name w:val="Part"/>
    <w:lvl w:ilvl="0">
      <w:start w:val="1"/>
      <w:numFmt w:val="none"/>
      <w:pStyle w:val="ssRestartPart"/>
      <w:suff w:val="nothing"/>
      <w:lvlText w:val=""/>
      <w:lvlJc w:val="left"/>
      <w:pPr>
        <w:ind w:left="0" w:firstLine="0"/>
      </w:pPr>
      <w:rPr>
        <w:rFonts w:hint="default"/>
      </w:rPr>
    </w:lvl>
    <w:lvl w:ilvl="1">
      <w:start w:val="1"/>
      <w:numFmt w:val="decimal"/>
      <w:pStyle w:val="ssqPart"/>
      <w:suff w:val="nothing"/>
      <w:lvlText w:val="par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CFD6BC0"/>
    <w:multiLevelType w:val="multilevel"/>
    <w:tmpl w:val="AF0AC594"/>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2552"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16B2655A"/>
    <w:multiLevelType w:val="hybridMultilevel"/>
    <w:tmpl w:val="EC8EA180"/>
    <w:lvl w:ilvl="0" w:tplc="8BCC8B04">
      <w:start w:val="1"/>
      <w:numFmt w:val="lowerRoman"/>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15:restartNumberingAfterBreak="0">
    <w:nsid w:val="274A6C09"/>
    <w:multiLevelType w:val="multilevel"/>
    <w:tmpl w:val="2E528D2A"/>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2835" w:hanging="283"/>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2C087586"/>
    <w:multiLevelType w:val="multilevel"/>
    <w:tmpl w:val="0409001D"/>
    <w:name w:val="Simmons&amp;Simmons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C92269D"/>
    <w:multiLevelType w:val="multilevel"/>
    <w:tmpl w:val="FAD8ED86"/>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3119"/>
        </w:tabs>
        <w:ind w:left="3119"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2DD918FD"/>
    <w:multiLevelType w:val="hybridMultilevel"/>
    <w:tmpl w:val="C4D6ECC4"/>
    <w:lvl w:ilvl="0" w:tplc="8BCC8B04">
      <w:start w:val="1"/>
      <w:numFmt w:val="lowerRoman"/>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350827D4"/>
    <w:multiLevelType w:val="hybridMultilevel"/>
    <w:tmpl w:val="75269DB4"/>
    <w:lvl w:ilvl="0" w:tplc="8BCC8B04">
      <w:start w:val="1"/>
      <w:numFmt w:val="lowerRoman"/>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9" w15:restartNumberingAfterBreak="0">
    <w:nsid w:val="35232DDC"/>
    <w:multiLevelType w:val="multilevel"/>
    <w:tmpl w:val="0409001D"/>
    <w:name w:val="Simmons&amp;Simmon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6BB5FBE"/>
    <w:multiLevelType w:val="multilevel"/>
    <w:tmpl w:val="93FE0BF6"/>
    <w:name w:val="Appendix"/>
    <w:lvl w:ilvl="0">
      <w:start w:val="1"/>
      <w:numFmt w:val="none"/>
      <w:pStyle w:val="ssRestartAppendix"/>
      <w:suff w:val="nothing"/>
      <w:lvlText w:val=""/>
      <w:lvlJc w:val="left"/>
      <w:pPr>
        <w:ind w:left="0" w:firstLine="0"/>
      </w:pPr>
      <w:rPr>
        <w:rFonts w:hint="default"/>
      </w:rPr>
    </w:lvl>
    <w:lvl w:ilvl="1">
      <w:start w:val="1"/>
      <w:numFmt w:val="decimal"/>
      <w:pStyle w:val="ssqAppendix"/>
      <w:suff w:val="nothing"/>
      <w:lvlText w:val="appendix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38F96FE3"/>
    <w:multiLevelType w:val="multilevel"/>
    <w:tmpl w:val="DEEEF714"/>
    <w:name w:val="Exhibit"/>
    <w:lvl w:ilvl="0">
      <w:start w:val="1"/>
      <w:numFmt w:val="none"/>
      <w:pStyle w:val="ssRestartExhibit"/>
      <w:suff w:val="nothing"/>
      <w:lvlText w:val=""/>
      <w:lvlJc w:val="left"/>
      <w:pPr>
        <w:ind w:left="0" w:firstLine="0"/>
      </w:pPr>
      <w:rPr>
        <w:rFonts w:hint="default"/>
      </w:rPr>
    </w:lvl>
    <w:lvl w:ilvl="1">
      <w:start w:val="1"/>
      <w:numFmt w:val="decimal"/>
      <w:pStyle w:val="ssqExhibit"/>
      <w:suff w:val="nothing"/>
      <w:lvlText w:val="exhibi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390B0FE2"/>
    <w:multiLevelType w:val="multilevel"/>
    <w:tmpl w:val="0409001D"/>
    <w:name w:val="Simmons&amp;Simmons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C055996"/>
    <w:multiLevelType w:val="multilevel"/>
    <w:tmpl w:val="3EA809C4"/>
    <w:lvl w:ilvl="0">
      <w:start w:val="1"/>
      <w:numFmt w:val="none"/>
      <w:suff w:val="nothing"/>
      <w:lvlText w:val=""/>
      <w:lvlJc w:val="left"/>
      <w:pPr>
        <w:ind w:left="0" w:firstLine="0"/>
      </w:pPr>
      <w:rPr>
        <w:rFonts w:hint="default"/>
      </w:rPr>
    </w:lvl>
    <w:lvl w:ilvl="1">
      <w:start w:val="1"/>
      <w:numFmt w:val="decimal"/>
      <w:suff w:val="nothing"/>
      <w:lvlText w:val="schedule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47D03AF3"/>
    <w:multiLevelType w:val="multilevel"/>
    <w:tmpl w:val="30C6A426"/>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upperLetter"/>
      <w:lvlText w:val="(%4)"/>
      <w:lvlJc w:val="left"/>
      <w:pPr>
        <w:tabs>
          <w:tab w:val="num" w:pos="1418"/>
        </w:tabs>
        <w:ind w:left="1418" w:hanging="709"/>
      </w:pPr>
      <w:rPr>
        <w:rFonts w:hint="default"/>
      </w:rPr>
    </w:lvl>
    <w:lvl w:ilvl="4">
      <w:start w:val="1"/>
      <w:numFmt w:val="decimal"/>
      <w:lvlText w:val="(%5)"/>
      <w:lvlJc w:val="left"/>
      <w:pPr>
        <w:tabs>
          <w:tab w:val="num" w:pos="1985"/>
        </w:tabs>
        <w:ind w:left="1985" w:hanging="567"/>
      </w:pPr>
      <w:rPr>
        <w:rFonts w:hint="default"/>
      </w:rPr>
    </w:lvl>
    <w:lvl w:ilvl="5">
      <w:start w:val="1"/>
      <w:numFmt w:val="lowerLetter"/>
      <w:lvlText w:val="(%6)"/>
      <w:lvlJc w:val="left"/>
      <w:pPr>
        <w:tabs>
          <w:tab w:val="num" w:pos="2552"/>
        </w:tabs>
        <w:ind w:left="2552" w:hanging="567"/>
      </w:pPr>
      <w:rPr>
        <w:rFonts w:hint="default"/>
      </w:rPr>
    </w:lvl>
    <w:lvl w:ilvl="6">
      <w:start w:val="1"/>
      <w:numFmt w:val="lowerRoman"/>
      <w:lvlText w:val="(%7)"/>
      <w:lvlJc w:val="left"/>
      <w:pPr>
        <w:tabs>
          <w:tab w:val="num" w:pos="3119"/>
        </w:tabs>
        <w:ind w:left="3119"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4D225C6A"/>
    <w:multiLevelType w:val="hybridMultilevel"/>
    <w:tmpl w:val="12522A9C"/>
    <w:lvl w:ilvl="0" w:tplc="4FF4A824">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6" w15:restartNumberingAfterBreak="0">
    <w:nsid w:val="4D4E7557"/>
    <w:multiLevelType w:val="multilevel"/>
    <w:tmpl w:val="C86A16F0"/>
    <w:lvl w:ilvl="0">
      <w:start w:val="1"/>
      <w:numFmt w:val="none"/>
      <w:suff w:val="nothing"/>
      <w:lvlText w:val=""/>
      <w:lvlJc w:val="left"/>
      <w:pPr>
        <w:ind w:left="0" w:firstLine="0"/>
      </w:pPr>
      <w:rPr>
        <w:rFonts w:hint="default"/>
      </w:rPr>
    </w:lvl>
    <w:lvl w:ilvl="1">
      <w:start w:val="1"/>
      <w:numFmt w:val="lowerRoman"/>
      <w:lvlText w:val="(%2)"/>
      <w:lvlJc w:val="left"/>
      <w:pPr>
        <w:tabs>
          <w:tab w:val="num" w:pos="709"/>
        </w:tabs>
        <w:ind w:left="709" w:hanging="709"/>
      </w:pPr>
      <w:rPr>
        <w:rFonts w:hint="default"/>
        <w:b w:val="0"/>
        <w:i w:val="0"/>
        <w:u w:val="none"/>
      </w:rPr>
    </w:lvl>
    <w:lvl w:ilvl="2">
      <w:start w:val="1"/>
      <w:numFmt w:val="decimal"/>
      <w:lvlText w:val="%2.%3"/>
      <w:lvlJc w:val="left"/>
      <w:pPr>
        <w:tabs>
          <w:tab w:val="num" w:pos="709"/>
        </w:tabs>
        <w:ind w:left="709" w:hanging="709"/>
      </w:pPr>
      <w:rPr>
        <w:rFonts w:hint="default"/>
        <w:b w:val="0"/>
        <w:i w:val="0"/>
      </w:rPr>
    </w:lvl>
    <w:lvl w:ilvl="3">
      <w:start w:val="1"/>
      <w:numFmt w:val="upperLetter"/>
      <w:lvlText w:val="(%4)"/>
      <w:lvlJc w:val="left"/>
      <w:pPr>
        <w:tabs>
          <w:tab w:val="num" w:pos="1418"/>
        </w:tabs>
        <w:ind w:left="1418" w:hanging="709"/>
      </w:pPr>
      <w:rPr>
        <w:rFonts w:hint="default"/>
        <w:b w:val="0"/>
        <w:i w:val="0"/>
      </w:rPr>
    </w:lvl>
    <w:lvl w:ilvl="4">
      <w:start w:val="1"/>
      <w:numFmt w:val="decimal"/>
      <w:lvlText w:val="(%5)"/>
      <w:lvlJc w:val="left"/>
      <w:pPr>
        <w:tabs>
          <w:tab w:val="num" w:pos="1985"/>
        </w:tabs>
        <w:ind w:left="1985" w:hanging="567"/>
      </w:pPr>
      <w:rPr>
        <w:rFonts w:hint="default"/>
        <w:b w:val="0"/>
        <w:i w:val="0"/>
      </w:rPr>
    </w:lvl>
    <w:lvl w:ilvl="5">
      <w:start w:val="1"/>
      <w:numFmt w:val="lowerLetter"/>
      <w:lvlText w:val="(%6)"/>
      <w:lvlJc w:val="left"/>
      <w:pPr>
        <w:tabs>
          <w:tab w:val="num" w:pos="2552"/>
        </w:tabs>
        <w:ind w:left="2552" w:hanging="567"/>
      </w:pPr>
      <w:rPr>
        <w:rFonts w:hint="default"/>
        <w:b w:val="0"/>
        <w:i w:val="0"/>
      </w:rPr>
    </w:lvl>
    <w:lvl w:ilvl="6">
      <w:start w:val="1"/>
      <w:numFmt w:val="lowerRoman"/>
      <w:lvlText w:val="(%7)"/>
      <w:lvlJc w:val="left"/>
      <w:pPr>
        <w:tabs>
          <w:tab w:val="num" w:pos="3119"/>
        </w:tabs>
        <w:ind w:left="3119" w:hanging="567"/>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F1A6F9C"/>
    <w:multiLevelType w:val="multilevel"/>
    <w:tmpl w:val="0409001D"/>
    <w:name w:val="Simmons&amp;Simmon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6E670E2"/>
    <w:multiLevelType w:val="multilevel"/>
    <w:tmpl w:val="89806CD0"/>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5B9956C0"/>
    <w:multiLevelType w:val="hybridMultilevel"/>
    <w:tmpl w:val="B7A4939E"/>
    <w:lvl w:ilvl="0" w:tplc="8BCC8B04">
      <w:start w:val="1"/>
      <w:numFmt w:val="lowerRoman"/>
      <w:lvlText w:val="(%1)"/>
      <w:lvlJc w:val="left"/>
      <w:pPr>
        <w:ind w:left="1429" w:hanging="360"/>
      </w:pPr>
      <w:rPr>
        <w:rFonts w:hint="default"/>
      </w:rPr>
    </w:lvl>
    <w:lvl w:ilvl="1" w:tplc="A7E2235A">
      <w:start w:val="1"/>
      <w:numFmt w:val="lowerRoman"/>
      <w:lvlText w:val="%2."/>
      <w:lvlJc w:val="left"/>
      <w:pPr>
        <w:ind w:left="2509" w:hanging="720"/>
      </w:pPr>
      <w:rPr>
        <w:rFonts w:hint="default"/>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0" w15:restartNumberingAfterBreak="0">
    <w:nsid w:val="5E1C23DE"/>
    <w:multiLevelType w:val="hybridMultilevel"/>
    <w:tmpl w:val="66880602"/>
    <w:lvl w:ilvl="0" w:tplc="8BCC8B04">
      <w:start w:val="1"/>
      <w:numFmt w:val="lowerRoman"/>
      <w:lvlText w:val="(%1)"/>
      <w:lvlJc w:val="left"/>
      <w:pPr>
        <w:ind w:left="1429" w:hanging="360"/>
      </w:pPr>
      <w:rPr>
        <w:rFonts w:hint="default"/>
      </w:r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1" w15:restartNumberingAfterBreak="0">
    <w:nsid w:val="68F558E0"/>
    <w:multiLevelType w:val="multilevel"/>
    <w:tmpl w:val="0BCCCE9C"/>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suff w:val="nothing"/>
      <w:lvlText w:val="(%5)"/>
      <w:lvlJc w:val="left"/>
      <w:pPr>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3119"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73C2384B"/>
    <w:multiLevelType w:val="multilevel"/>
    <w:tmpl w:val="B680C116"/>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3119"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752B37AC"/>
    <w:multiLevelType w:val="multilevel"/>
    <w:tmpl w:val="4442EDA6"/>
    <w:lvl w:ilvl="0">
      <w:start w:val="1"/>
      <w:numFmt w:val="none"/>
      <w:pStyle w:val="ssRestartNumber"/>
      <w:suff w:val="nothing"/>
      <w:lvlText w:val=""/>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none"/>
      <w:pStyle w:val="Heading7"/>
      <w:suff w:val="nothing"/>
      <w:lvlText w:val=""/>
      <w:lvlJc w:val="left"/>
      <w:pPr>
        <w:ind w:left="0" w:firstLine="0"/>
      </w:pPr>
      <w:rPr>
        <w:rFonts w:hint="default"/>
      </w:rPr>
    </w:lvl>
    <w:lvl w:ilvl="8">
      <w:start w:val="1"/>
      <w:numFmt w:val="none"/>
      <w:pStyle w:val="Heading8"/>
      <w:suff w:val="nothing"/>
      <w:lvlText w:val=""/>
      <w:lvlJc w:val="left"/>
      <w:pPr>
        <w:ind w:left="0" w:firstLine="0"/>
      </w:pPr>
      <w:rPr>
        <w:rFonts w:hint="default"/>
      </w:rPr>
    </w:lvl>
  </w:abstractNum>
  <w:abstractNum w:abstractNumId="34" w15:restartNumberingAfterBreak="0">
    <w:nsid w:val="7B6B16F3"/>
    <w:multiLevelType w:val="multilevel"/>
    <w:tmpl w:val="E1EC99DE"/>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2835"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7BFA7B4E"/>
    <w:multiLevelType w:val="hybridMultilevel"/>
    <w:tmpl w:val="4FC47A58"/>
    <w:lvl w:ilvl="0" w:tplc="8BCC8B04">
      <w:start w:val="1"/>
      <w:numFmt w:val="lowerRoman"/>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6" w15:restartNumberingAfterBreak="0">
    <w:nsid w:val="7F540CB0"/>
    <w:multiLevelType w:val="multilevel"/>
    <w:tmpl w:val="B2FA9EDC"/>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3119"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33"/>
  </w:num>
  <w:num w:numId="2">
    <w:abstractNumId w:val="19"/>
  </w:num>
  <w:num w:numId="3">
    <w:abstractNumId w:val="27"/>
  </w:num>
  <w:num w:numId="4">
    <w:abstractNumId w:val="15"/>
  </w:num>
  <w:num w:numId="5">
    <w:abstractNumId w:val="22"/>
  </w:num>
  <w:num w:numId="6">
    <w:abstractNumId w:val="31"/>
  </w:num>
  <w:num w:numId="7">
    <w:abstractNumId w:val="32"/>
  </w:num>
  <w:num w:numId="8">
    <w:abstractNumId w:val="28"/>
  </w:num>
  <w:num w:numId="9">
    <w:abstractNumId w:val="12"/>
  </w:num>
  <w:num w:numId="10">
    <w:abstractNumId w:val="34"/>
  </w:num>
  <w:num w:numId="11">
    <w:abstractNumId w:val="14"/>
  </w:num>
  <w:num w:numId="12">
    <w:abstractNumId w:val="36"/>
  </w:num>
  <w:num w:numId="13">
    <w:abstractNumId w:val="11"/>
  </w:num>
  <w:num w:numId="14">
    <w:abstractNumId w:val="10"/>
  </w:num>
  <w:num w:numId="15">
    <w:abstractNumId w:val="23"/>
  </w:num>
  <w:num w:numId="16">
    <w:abstractNumId w:val="21"/>
  </w:num>
  <w:num w:numId="17">
    <w:abstractNumId w:val="16"/>
  </w:num>
  <w:num w:numId="18">
    <w:abstractNumId w:val="24"/>
  </w:num>
  <w:num w:numId="19">
    <w:abstractNumId w:val="20"/>
  </w:num>
  <w:num w:numId="20">
    <w:abstractNumId w:val="9"/>
  </w:num>
  <w:num w:numId="21">
    <w:abstractNumId w:val="7"/>
  </w:num>
  <w:num w:numId="22">
    <w:abstractNumId w:val="6"/>
  </w:num>
  <w:num w:numId="23">
    <w:abstractNumId w:val="5"/>
  </w:num>
  <w:num w:numId="24">
    <w:abstractNumId w:val="4"/>
  </w:num>
  <w:num w:numId="25">
    <w:abstractNumId w:val="0"/>
  </w:num>
  <w:num w:numId="26">
    <w:abstractNumId w:val="1"/>
  </w:num>
  <w:num w:numId="27">
    <w:abstractNumId w:val="2"/>
  </w:num>
  <w:num w:numId="28">
    <w:abstractNumId w:val="3"/>
  </w:num>
  <w:num w:numId="29">
    <w:abstractNumId w:val="8"/>
  </w:num>
  <w:num w:numId="30">
    <w:abstractNumId w:val="29"/>
  </w:num>
  <w:num w:numId="31">
    <w:abstractNumId w:val="25"/>
  </w:num>
  <w:num w:numId="32">
    <w:abstractNumId w:val="26"/>
  </w:num>
  <w:num w:numId="33">
    <w:abstractNumId w:val="17"/>
  </w:num>
  <w:num w:numId="34">
    <w:abstractNumId w:val="30"/>
  </w:num>
  <w:num w:numId="35">
    <w:abstractNumId w:val="35"/>
  </w:num>
  <w:num w:numId="36">
    <w:abstractNumId w:val="18"/>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3A5"/>
    <w:rsid w:val="000333CA"/>
    <w:rsid w:val="00041690"/>
    <w:rsid w:val="00046822"/>
    <w:rsid w:val="00060ACC"/>
    <w:rsid w:val="00072072"/>
    <w:rsid w:val="0008206C"/>
    <w:rsid w:val="000925EE"/>
    <w:rsid w:val="00094146"/>
    <w:rsid w:val="000D63D3"/>
    <w:rsid w:val="000F4286"/>
    <w:rsid w:val="001021A8"/>
    <w:rsid w:val="001153B6"/>
    <w:rsid w:val="00126D51"/>
    <w:rsid w:val="001272FC"/>
    <w:rsid w:val="00173F8A"/>
    <w:rsid w:val="00175581"/>
    <w:rsid w:val="0017715A"/>
    <w:rsid w:val="001807BA"/>
    <w:rsid w:val="001955B3"/>
    <w:rsid w:val="001B24D8"/>
    <w:rsid w:val="001B6BC3"/>
    <w:rsid w:val="001C5F40"/>
    <w:rsid w:val="001E43A5"/>
    <w:rsid w:val="001F21EF"/>
    <w:rsid w:val="001F53FC"/>
    <w:rsid w:val="00200B8F"/>
    <w:rsid w:val="00205B2F"/>
    <w:rsid w:val="00213975"/>
    <w:rsid w:val="002145D6"/>
    <w:rsid w:val="00220094"/>
    <w:rsid w:val="0024773A"/>
    <w:rsid w:val="00261742"/>
    <w:rsid w:val="00287422"/>
    <w:rsid w:val="002906AA"/>
    <w:rsid w:val="0029381C"/>
    <w:rsid w:val="002A6843"/>
    <w:rsid w:val="002C03A8"/>
    <w:rsid w:val="002C4E4E"/>
    <w:rsid w:val="002C7DC5"/>
    <w:rsid w:val="002E0806"/>
    <w:rsid w:val="002E4D24"/>
    <w:rsid w:val="002F49E3"/>
    <w:rsid w:val="00301554"/>
    <w:rsid w:val="00311015"/>
    <w:rsid w:val="003252CD"/>
    <w:rsid w:val="003601D5"/>
    <w:rsid w:val="00381DDC"/>
    <w:rsid w:val="003831D6"/>
    <w:rsid w:val="00390328"/>
    <w:rsid w:val="003C310D"/>
    <w:rsid w:val="003E16E2"/>
    <w:rsid w:val="003F2EB0"/>
    <w:rsid w:val="00430897"/>
    <w:rsid w:val="004372D7"/>
    <w:rsid w:val="0044328B"/>
    <w:rsid w:val="004C7C3F"/>
    <w:rsid w:val="00502393"/>
    <w:rsid w:val="0053267F"/>
    <w:rsid w:val="00535495"/>
    <w:rsid w:val="00541FCE"/>
    <w:rsid w:val="0056687A"/>
    <w:rsid w:val="005B296B"/>
    <w:rsid w:val="005E2A7F"/>
    <w:rsid w:val="00615AF8"/>
    <w:rsid w:val="0062234B"/>
    <w:rsid w:val="0064577C"/>
    <w:rsid w:val="00680E86"/>
    <w:rsid w:val="00691021"/>
    <w:rsid w:val="00695E51"/>
    <w:rsid w:val="006D0B5E"/>
    <w:rsid w:val="006E7FB2"/>
    <w:rsid w:val="00731EE3"/>
    <w:rsid w:val="00756EE8"/>
    <w:rsid w:val="00767452"/>
    <w:rsid w:val="00772C74"/>
    <w:rsid w:val="00776B18"/>
    <w:rsid w:val="00793253"/>
    <w:rsid w:val="007A7E9F"/>
    <w:rsid w:val="007D16CC"/>
    <w:rsid w:val="007D1C49"/>
    <w:rsid w:val="00822DBB"/>
    <w:rsid w:val="00825D1F"/>
    <w:rsid w:val="008A3338"/>
    <w:rsid w:val="008A4EB4"/>
    <w:rsid w:val="008D3A9A"/>
    <w:rsid w:val="0096097B"/>
    <w:rsid w:val="00977143"/>
    <w:rsid w:val="00980174"/>
    <w:rsid w:val="009A2615"/>
    <w:rsid w:val="009B0A35"/>
    <w:rsid w:val="009F56E8"/>
    <w:rsid w:val="00A466E1"/>
    <w:rsid w:val="00A52E33"/>
    <w:rsid w:val="00A6329C"/>
    <w:rsid w:val="00A7460B"/>
    <w:rsid w:val="00AA24F3"/>
    <w:rsid w:val="00AA4A76"/>
    <w:rsid w:val="00AB25E2"/>
    <w:rsid w:val="00AC41A4"/>
    <w:rsid w:val="00AE07E3"/>
    <w:rsid w:val="00AE6F9C"/>
    <w:rsid w:val="00AF5BA0"/>
    <w:rsid w:val="00B14584"/>
    <w:rsid w:val="00B2076D"/>
    <w:rsid w:val="00B6235F"/>
    <w:rsid w:val="00BB285E"/>
    <w:rsid w:val="00BC2C28"/>
    <w:rsid w:val="00BD70D6"/>
    <w:rsid w:val="00BD7939"/>
    <w:rsid w:val="00BD7D3A"/>
    <w:rsid w:val="00BE251D"/>
    <w:rsid w:val="00C04072"/>
    <w:rsid w:val="00C27680"/>
    <w:rsid w:val="00C926B1"/>
    <w:rsid w:val="00C94BBB"/>
    <w:rsid w:val="00CA7274"/>
    <w:rsid w:val="00CB058A"/>
    <w:rsid w:val="00CD7A99"/>
    <w:rsid w:val="00CE3BE1"/>
    <w:rsid w:val="00CF17D5"/>
    <w:rsid w:val="00CF752D"/>
    <w:rsid w:val="00D102A6"/>
    <w:rsid w:val="00D16FA1"/>
    <w:rsid w:val="00D57488"/>
    <w:rsid w:val="00D641AA"/>
    <w:rsid w:val="00D66A9D"/>
    <w:rsid w:val="00D74945"/>
    <w:rsid w:val="00D804FC"/>
    <w:rsid w:val="00D812DA"/>
    <w:rsid w:val="00D845E5"/>
    <w:rsid w:val="00DA6A15"/>
    <w:rsid w:val="00DC7362"/>
    <w:rsid w:val="00DD060C"/>
    <w:rsid w:val="00DD3D11"/>
    <w:rsid w:val="00E36456"/>
    <w:rsid w:val="00E72948"/>
    <w:rsid w:val="00E74DB4"/>
    <w:rsid w:val="00E76A7F"/>
    <w:rsid w:val="00E85801"/>
    <w:rsid w:val="00E85E2E"/>
    <w:rsid w:val="00E96683"/>
    <w:rsid w:val="00EB2152"/>
    <w:rsid w:val="00EB6C5A"/>
    <w:rsid w:val="00EC02AB"/>
    <w:rsid w:val="00EC237A"/>
    <w:rsid w:val="00EE1FF5"/>
    <w:rsid w:val="00EE7F4F"/>
    <w:rsid w:val="00EF182E"/>
    <w:rsid w:val="00EF5631"/>
    <w:rsid w:val="00F05910"/>
    <w:rsid w:val="00F0672D"/>
    <w:rsid w:val="00F12CB0"/>
    <w:rsid w:val="00F13CBE"/>
    <w:rsid w:val="00F2199C"/>
    <w:rsid w:val="00F32C2B"/>
    <w:rsid w:val="00F33815"/>
    <w:rsid w:val="00F652D1"/>
    <w:rsid w:val="00F66402"/>
    <w:rsid w:val="00F947CA"/>
    <w:rsid w:val="00FA6C25"/>
    <w:rsid w:val="00FB2994"/>
    <w:rsid w:val="00FC3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A619544-B385-446A-8792-B61953C6D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No Spacing" w:qFormat="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31EE3"/>
    <w:pPr>
      <w:jc w:val="both"/>
    </w:pPr>
    <w:rPr>
      <w:rFonts w:ascii="Arial" w:hAnsi="Arial"/>
      <w:szCs w:val="22"/>
      <w:lang w:eastAsia="zh-CN"/>
    </w:rPr>
  </w:style>
  <w:style w:type="paragraph" w:styleId="Heading1">
    <w:name w:val="heading 1"/>
    <w:basedOn w:val="Normal"/>
    <w:next w:val="ssPara1"/>
    <w:qFormat/>
    <w:rsid w:val="00CA65D2"/>
    <w:pPr>
      <w:keepNext/>
      <w:widowControl w:val="0"/>
      <w:numPr>
        <w:ilvl w:val="1"/>
        <w:numId w:val="1"/>
      </w:numPr>
      <w:spacing w:after="260"/>
      <w:outlineLvl w:val="0"/>
    </w:pPr>
    <w:rPr>
      <w:rFonts w:cs="Arial"/>
      <w:b/>
      <w:bCs/>
      <w:kern w:val="32"/>
      <w:szCs w:val="32"/>
      <w:u w:val="single"/>
    </w:rPr>
  </w:style>
  <w:style w:type="paragraph" w:styleId="Heading2">
    <w:name w:val="heading 2"/>
    <w:basedOn w:val="Normal"/>
    <w:next w:val="ssPara2"/>
    <w:qFormat/>
    <w:rsid w:val="00CA65D2"/>
    <w:pPr>
      <w:keepNext/>
      <w:widowControl w:val="0"/>
      <w:numPr>
        <w:ilvl w:val="2"/>
        <w:numId w:val="1"/>
      </w:numPr>
      <w:spacing w:after="260"/>
      <w:outlineLvl w:val="1"/>
    </w:pPr>
    <w:rPr>
      <w:rFonts w:cs="Arial"/>
      <w:b/>
      <w:bCs/>
      <w:iCs/>
    </w:rPr>
  </w:style>
  <w:style w:type="paragraph" w:styleId="Heading3">
    <w:name w:val="heading 3"/>
    <w:basedOn w:val="Normal"/>
    <w:next w:val="ssPara3"/>
    <w:qFormat/>
    <w:rsid w:val="00CA65D2"/>
    <w:pPr>
      <w:keepNext/>
      <w:widowControl w:val="0"/>
      <w:numPr>
        <w:ilvl w:val="3"/>
        <w:numId w:val="1"/>
      </w:numPr>
      <w:spacing w:after="260"/>
      <w:outlineLvl w:val="2"/>
    </w:pPr>
    <w:rPr>
      <w:rFonts w:cs="Arial"/>
      <w:b/>
      <w:bCs/>
      <w:szCs w:val="26"/>
    </w:rPr>
  </w:style>
  <w:style w:type="paragraph" w:styleId="Heading4">
    <w:name w:val="heading 4"/>
    <w:basedOn w:val="Normal"/>
    <w:next w:val="ssPara4"/>
    <w:qFormat/>
    <w:rsid w:val="00CA65D2"/>
    <w:pPr>
      <w:keepNext/>
      <w:widowControl w:val="0"/>
      <w:numPr>
        <w:ilvl w:val="4"/>
        <w:numId w:val="1"/>
      </w:numPr>
      <w:spacing w:after="260"/>
      <w:outlineLvl w:val="3"/>
    </w:pPr>
    <w:rPr>
      <w:b/>
      <w:bCs/>
      <w:szCs w:val="28"/>
    </w:rPr>
  </w:style>
  <w:style w:type="paragraph" w:styleId="Heading5">
    <w:name w:val="heading 5"/>
    <w:basedOn w:val="Normal"/>
    <w:next w:val="ssPara5"/>
    <w:qFormat/>
    <w:rsid w:val="00CA65D2"/>
    <w:pPr>
      <w:keepNext/>
      <w:widowControl w:val="0"/>
      <w:numPr>
        <w:ilvl w:val="5"/>
        <w:numId w:val="1"/>
      </w:numPr>
      <w:spacing w:after="260"/>
      <w:outlineLvl w:val="4"/>
    </w:pPr>
    <w:rPr>
      <w:b/>
      <w:bCs/>
      <w:iCs/>
    </w:rPr>
  </w:style>
  <w:style w:type="paragraph" w:styleId="Heading6">
    <w:name w:val="heading 6"/>
    <w:basedOn w:val="Normal"/>
    <w:next w:val="ssPara6"/>
    <w:qFormat/>
    <w:rsid w:val="00CA65D2"/>
    <w:pPr>
      <w:keepNext/>
      <w:widowControl w:val="0"/>
      <w:numPr>
        <w:ilvl w:val="6"/>
        <w:numId w:val="1"/>
      </w:numPr>
      <w:spacing w:after="260"/>
      <w:outlineLvl w:val="5"/>
    </w:pPr>
    <w:rPr>
      <w:b/>
      <w:bCs/>
    </w:rPr>
  </w:style>
  <w:style w:type="paragraph" w:styleId="Heading7">
    <w:name w:val="heading 7"/>
    <w:basedOn w:val="Normal"/>
    <w:next w:val="Normal"/>
    <w:qFormat/>
    <w:rsid w:val="00CA65D2"/>
    <w:pPr>
      <w:numPr>
        <w:ilvl w:val="7"/>
        <w:numId w:val="1"/>
      </w:numPr>
      <w:outlineLvl w:val="6"/>
    </w:pPr>
    <w:rPr>
      <w:szCs w:val="24"/>
    </w:rPr>
  </w:style>
  <w:style w:type="paragraph" w:styleId="Heading8">
    <w:name w:val="heading 8"/>
    <w:basedOn w:val="Normal"/>
    <w:next w:val="Normal"/>
    <w:qFormat/>
    <w:rsid w:val="00CA65D2"/>
    <w:pPr>
      <w:numPr>
        <w:ilvl w:val="8"/>
        <w:numId w:val="1"/>
      </w:numPr>
      <w:outlineLvl w:val="7"/>
    </w:pPr>
    <w:rPr>
      <w:iCs/>
      <w:szCs w:val="24"/>
    </w:rPr>
  </w:style>
  <w:style w:type="paragraph" w:styleId="Heading9">
    <w:name w:val="heading 9"/>
    <w:basedOn w:val="Normal"/>
    <w:next w:val="Normal"/>
    <w:qFormat/>
    <w:rsid w:val="00367A27"/>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sPara1">
    <w:name w:val="ssPara1"/>
    <w:basedOn w:val="Normal"/>
    <w:rsid w:val="0060762C"/>
    <w:pPr>
      <w:spacing w:after="260"/>
    </w:pPr>
  </w:style>
  <w:style w:type="paragraph" w:customStyle="1" w:styleId="ssPara2">
    <w:name w:val="ssPara2"/>
    <w:basedOn w:val="Normal"/>
    <w:rsid w:val="0060762C"/>
    <w:pPr>
      <w:spacing w:after="260"/>
      <w:ind w:left="709"/>
    </w:pPr>
  </w:style>
  <w:style w:type="paragraph" w:customStyle="1" w:styleId="ssPara3">
    <w:name w:val="ssPara3"/>
    <w:basedOn w:val="Normal"/>
    <w:rsid w:val="0060762C"/>
    <w:pPr>
      <w:spacing w:after="260"/>
      <w:ind w:left="1418"/>
    </w:pPr>
  </w:style>
  <w:style w:type="paragraph" w:customStyle="1" w:styleId="ssPara4">
    <w:name w:val="ssPara4"/>
    <w:basedOn w:val="Normal"/>
    <w:rsid w:val="0060762C"/>
    <w:pPr>
      <w:spacing w:after="260"/>
      <w:ind w:left="1985"/>
    </w:pPr>
  </w:style>
  <w:style w:type="paragraph" w:customStyle="1" w:styleId="ssPara5">
    <w:name w:val="ssPara5"/>
    <w:basedOn w:val="Normal"/>
    <w:rsid w:val="0060762C"/>
    <w:pPr>
      <w:spacing w:after="260"/>
      <w:ind w:left="2552"/>
    </w:pPr>
  </w:style>
  <w:style w:type="paragraph" w:customStyle="1" w:styleId="ssPara6">
    <w:name w:val="ssPara6"/>
    <w:basedOn w:val="Normal"/>
    <w:rsid w:val="0060762C"/>
    <w:pPr>
      <w:spacing w:after="260"/>
      <w:ind w:left="3119"/>
    </w:pPr>
  </w:style>
  <w:style w:type="paragraph" w:customStyle="1" w:styleId="ssNoHeading1">
    <w:name w:val="ssNoHeading1"/>
    <w:basedOn w:val="Heading1"/>
    <w:rsid w:val="00B060B8"/>
    <w:pPr>
      <w:keepNext w:val="0"/>
      <w:widowControl/>
    </w:pPr>
    <w:rPr>
      <w:b w:val="0"/>
      <w:szCs w:val="22"/>
      <w:u w:val="none"/>
    </w:rPr>
  </w:style>
  <w:style w:type="paragraph" w:customStyle="1" w:styleId="ssNoHeading2">
    <w:name w:val="ssNoHeading2"/>
    <w:basedOn w:val="Heading2"/>
    <w:rsid w:val="00B060B8"/>
    <w:pPr>
      <w:keepNext w:val="0"/>
      <w:widowControl/>
    </w:pPr>
    <w:rPr>
      <w:b w:val="0"/>
    </w:rPr>
  </w:style>
  <w:style w:type="paragraph" w:customStyle="1" w:styleId="ssNoHeading3">
    <w:name w:val="ssNoHeading3"/>
    <w:basedOn w:val="Heading3"/>
    <w:rsid w:val="00B060B8"/>
    <w:pPr>
      <w:keepNext w:val="0"/>
      <w:widowControl/>
    </w:pPr>
    <w:rPr>
      <w:b w:val="0"/>
    </w:rPr>
  </w:style>
  <w:style w:type="paragraph" w:customStyle="1" w:styleId="ssNoHeading4">
    <w:name w:val="ssNoHeading4"/>
    <w:basedOn w:val="Heading4"/>
    <w:rsid w:val="00B060B8"/>
    <w:pPr>
      <w:keepNext w:val="0"/>
      <w:widowControl/>
    </w:pPr>
    <w:rPr>
      <w:b w:val="0"/>
    </w:rPr>
  </w:style>
  <w:style w:type="paragraph" w:customStyle="1" w:styleId="ssNoHeading5">
    <w:name w:val="ssNoHeading5"/>
    <w:basedOn w:val="Heading5"/>
    <w:rsid w:val="00B060B8"/>
    <w:pPr>
      <w:keepNext w:val="0"/>
      <w:widowControl/>
    </w:pPr>
    <w:rPr>
      <w:b w:val="0"/>
    </w:rPr>
  </w:style>
  <w:style w:type="paragraph" w:customStyle="1" w:styleId="ssNoHeading6">
    <w:name w:val="ssNoHeading6"/>
    <w:basedOn w:val="Heading6"/>
    <w:rsid w:val="00B060B8"/>
    <w:pPr>
      <w:keepNext w:val="0"/>
      <w:widowControl/>
    </w:pPr>
    <w:rPr>
      <w:b w:val="0"/>
    </w:rPr>
  </w:style>
  <w:style w:type="paragraph" w:customStyle="1" w:styleId="ssRestartNumber">
    <w:name w:val="ssRestartNumber"/>
    <w:basedOn w:val="Normal"/>
    <w:next w:val="ssPara1"/>
    <w:rsid w:val="00CA65D2"/>
    <w:pPr>
      <w:numPr>
        <w:numId w:val="1"/>
      </w:numPr>
    </w:pPr>
    <w:rPr>
      <w:color w:val="FF0000"/>
    </w:rPr>
  </w:style>
  <w:style w:type="paragraph" w:customStyle="1" w:styleId="ssqPart">
    <w:name w:val="ssqPart"/>
    <w:basedOn w:val="Normal"/>
    <w:next w:val="ssPara1"/>
    <w:rsid w:val="00DB29D9"/>
    <w:pPr>
      <w:numPr>
        <w:ilvl w:val="1"/>
        <w:numId w:val="13"/>
      </w:numPr>
      <w:spacing w:after="260"/>
      <w:jc w:val="center"/>
    </w:pPr>
    <w:rPr>
      <w:b/>
      <w:caps/>
    </w:rPr>
  </w:style>
  <w:style w:type="paragraph" w:customStyle="1" w:styleId="ssRestartPart">
    <w:name w:val="ssRestartPart"/>
    <w:basedOn w:val="Normal"/>
    <w:next w:val="ssPara1"/>
    <w:rsid w:val="00DB29D9"/>
    <w:pPr>
      <w:numPr>
        <w:numId w:val="13"/>
      </w:numPr>
    </w:pPr>
    <w:rPr>
      <w:color w:val="FF0000"/>
    </w:rPr>
  </w:style>
  <w:style w:type="paragraph" w:customStyle="1" w:styleId="ssRestartSchedule">
    <w:name w:val="ssRestartSchedule"/>
    <w:basedOn w:val="Normal"/>
    <w:next w:val="ssPara1"/>
    <w:rsid w:val="008B5DC3"/>
    <w:pPr>
      <w:numPr>
        <w:numId w:val="14"/>
      </w:numPr>
    </w:pPr>
    <w:rPr>
      <w:color w:val="FF0000"/>
    </w:rPr>
  </w:style>
  <w:style w:type="paragraph" w:customStyle="1" w:styleId="ssqSchedule">
    <w:name w:val="ssqSchedule"/>
    <w:basedOn w:val="Normal"/>
    <w:next w:val="ssPara1"/>
    <w:rsid w:val="008B5DC3"/>
    <w:pPr>
      <w:numPr>
        <w:ilvl w:val="1"/>
        <w:numId w:val="14"/>
      </w:numPr>
      <w:spacing w:after="260"/>
      <w:jc w:val="center"/>
    </w:pPr>
    <w:rPr>
      <w:b/>
      <w:caps/>
    </w:rPr>
  </w:style>
  <w:style w:type="paragraph" w:customStyle="1" w:styleId="ssqExhibit">
    <w:name w:val="ssqExhibit"/>
    <w:basedOn w:val="Normal"/>
    <w:next w:val="ssPara1"/>
    <w:rsid w:val="002468A8"/>
    <w:pPr>
      <w:numPr>
        <w:ilvl w:val="1"/>
        <w:numId w:val="16"/>
      </w:numPr>
      <w:spacing w:after="260"/>
      <w:jc w:val="center"/>
    </w:pPr>
    <w:rPr>
      <w:b/>
      <w:caps/>
    </w:rPr>
  </w:style>
  <w:style w:type="paragraph" w:customStyle="1" w:styleId="ssRestartExhibit">
    <w:name w:val="ssRestartExhibit"/>
    <w:basedOn w:val="Normal"/>
    <w:next w:val="ssPara1"/>
    <w:rsid w:val="002468A8"/>
    <w:pPr>
      <w:numPr>
        <w:numId w:val="16"/>
      </w:numPr>
    </w:pPr>
    <w:rPr>
      <w:color w:val="FF0000"/>
    </w:rPr>
  </w:style>
  <w:style w:type="paragraph" w:customStyle="1" w:styleId="ssqToCAdd">
    <w:name w:val="ssqToCAdd"/>
    <w:basedOn w:val="ssPara1"/>
    <w:next w:val="ssPara1"/>
    <w:rsid w:val="0034673E"/>
  </w:style>
  <w:style w:type="paragraph" w:customStyle="1" w:styleId="ssqAppendix">
    <w:name w:val="ssqAppendix"/>
    <w:basedOn w:val="Normal"/>
    <w:next w:val="ssPara1"/>
    <w:rsid w:val="00CB7D04"/>
    <w:pPr>
      <w:numPr>
        <w:ilvl w:val="1"/>
        <w:numId w:val="19"/>
      </w:numPr>
      <w:spacing w:after="260"/>
      <w:jc w:val="center"/>
    </w:pPr>
    <w:rPr>
      <w:b/>
      <w:caps/>
    </w:rPr>
  </w:style>
  <w:style w:type="paragraph" w:customStyle="1" w:styleId="ssRestartAppendix">
    <w:name w:val="ssRestartAppendix"/>
    <w:basedOn w:val="Normal"/>
    <w:next w:val="ssPara1"/>
    <w:rsid w:val="004108F5"/>
    <w:pPr>
      <w:numPr>
        <w:numId w:val="19"/>
      </w:numPr>
    </w:pPr>
    <w:rPr>
      <w:color w:val="FF0000"/>
    </w:rPr>
  </w:style>
  <w:style w:type="paragraph" w:styleId="TOC1">
    <w:name w:val="toc 1"/>
    <w:basedOn w:val="Normal"/>
    <w:next w:val="Normal"/>
    <w:autoRedefine/>
    <w:rsid w:val="00800C13"/>
    <w:pPr>
      <w:tabs>
        <w:tab w:val="right" w:leader="dot" w:pos="9497"/>
      </w:tabs>
      <w:spacing w:before="220"/>
      <w:ind w:left="709" w:right="595" w:hanging="709"/>
    </w:pPr>
  </w:style>
  <w:style w:type="paragraph" w:styleId="TOC2">
    <w:name w:val="toc 2"/>
    <w:basedOn w:val="Normal"/>
    <w:next w:val="Normal"/>
    <w:autoRedefine/>
    <w:rsid w:val="0098314B"/>
    <w:pPr>
      <w:tabs>
        <w:tab w:val="right" w:leader="dot" w:pos="9497"/>
      </w:tabs>
      <w:ind w:left="1418" w:right="595" w:hanging="709"/>
    </w:pPr>
  </w:style>
  <w:style w:type="paragraph" w:styleId="TOC3">
    <w:name w:val="toc 3"/>
    <w:basedOn w:val="Normal"/>
    <w:next w:val="Normal"/>
    <w:autoRedefine/>
    <w:rsid w:val="00D33221"/>
    <w:pPr>
      <w:tabs>
        <w:tab w:val="right" w:leader="dot" w:pos="9497"/>
      </w:tabs>
      <w:ind w:left="2127" w:right="595" w:hanging="709"/>
    </w:pPr>
  </w:style>
  <w:style w:type="paragraph" w:styleId="TOC4">
    <w:name w:val="toc 4"/>
    <w:basedOn w:val="Normal"/>
    <w:next w:val="Normal"/>
    <w:autoRedefine/>
    <w:rsid w:val="00D33221"/>
    <w:pPr>
      <w:tabs>
        <w:tab w:val="right" w:leader="dot" w:pos="9497"/>
      </w:tabs>
      <w:ind w:left="2694" w:right="595" w:hanging="709"/>
    </w:pPr>
  </w:style>
  <w:style w:type="paragraph" w:styleId="BodyText">
    <w:name w:val="Body Text"/>
    <w:basedOn w:val="Normal"/>
    <w:link w:val="BodyTextChar"/>
    <w:rsid w:val="00D04C79"/>
    <w:pPr>
      <w:spacing w:after="120"/>
    </w:pPr>
  </w:style>
  <w:style w:type="character" w:customStyle="1" w:styleId="BodyTextChar">
    <w:name w:val="Body Text Char"/>
    <w:link w:val="BodyText"/>
    <w:rsid w:val="00D04C79"/>
    <w:rPr>
      <w:rFonts w:ascii="Arial" w:hAnsi="Arial"/>
      <w:sz w:val="22"/>
      <w:szCs w:val="22"/>
      <w:lang w:eastAsia="zh-CN"/>
    </w:rPr>
  </w:style>
  <w:style w:type="character" w:styleId="Hyperlink">
    <w:name w:val="Hyperlink"/>
    <w:basedOn w:val="DefaultParagraphFont"/>
    <w:rsid w:val="00731EE3"/>
    <w:rPr>
      <w:color w:val="0000FF" w:themeColor="hyperlink"/>
      <w:u w:val="single"/>
    </w:rPr>
  </w:style>
  <w:style w:type="paragraph" w:styleId="Header">
    <w:name w:val="header"/>
    <w:basedOn w:val="Normal"/>
    <w:link w:val="HeaderChar"/>
    <w:rsid w:val="002145D6"/>
    <w:pPr>
      <w:tabs>
        <w:tab w:val="center" w:pos="4513"/>
        <w:tab w:val="right" w:pos="9026"/>
      </w:tabs>
    </w:pPr>
  </w:style>
  <w:style w:type="character" w:customStyle="1" w:styleId="HeaderChar">
    <w:name w:val="Header Char"/>
    <w:basedOn w:val="DefaultParagraphFont"/>
    <w:link w:val="Header"/>
    <w:rsid w:val="002145D6"/>
    <w:rPr>
      <w:rFonts w:ascii="Arial" w:hAnsi="Arial"/>
      <w:szCs w:val="22"/>
      <w:lang w:eastAsia="zh-CN"/>
    </w:rPr>
  </w:style>
  <w:style w:type="paragraph" w:styleId="Footer">
    <w:name w:val="footer"/>
    <w:basedOn w:val="Normal"/>
    <w:link w:val="FooterChar"/>
    <w:rsid w:val="002145D6"/>
    <w:pPr>
      <w:tabs>
        <w:tab w:val="center" w:pos="4513"/>
        <w:tab w:val="right" w:pos="9026"/>
      </w:tabs>
    </w:pPr>
  </w:style>
  <w:style w:type="character" w:customStyle="1" w:styleId="FooterChar">
    <w:name w:val="Footer Char"/>
    <w:basedOn w:val="DefaultParagraphFont"/>
    <w:link w:val="Footer"/>
    <w:rsid w:val="002145D6"/>
    <w:rPr>
      <w:rFonts w:ascii="Arial" w:hAnsi="Arial"/>
      <w:szCs w:val="22"/>
      <w:lang w:eastAsia="zh-CN"/>
    </w:rPr>
  </w:style>
  <w:style w:type="paragraph" w:styleId="BalloonText">
    <w:name w:val="Balloon Text"/>
    <w:basedOn w:val="Normal"/>
    <w:link w:val="BalloonTextChar"/>
    <w:rsid w:val="00CE3BE1"/>
    <w:rPr>
      <w:rFonts w:ascii="Tahoma" w:hAnsi="Tahoma" w:cs="Tahoma"/>
      <w:sz w:val="16"/>
      <w:szCs w:val="16"/>
    </w:rPr>
  </w:style>
  <w:style w:type="character" w:customStyle="1" w:styleId="BalloonTextChar">
    <w:name w:val="Balloon Text Char"/>
    <w:basedOn w:val="DefaultParagraphFont"/>
    <w:link w:val="BalloonText"/>
    <w:rsid w:val="00CE3BE1"/>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sma.europa.eu/sites/default/files/library/2015/11/2014-1569_final_report_-_esmas_technical_advice_to_the_commission_on_mifid_ii_and_mifir.pdf"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eur-lex.europa.eu/legal-content/EN/TXT/PDF/?uri=CELEX:32014L0065&amp;from=B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c.europa.eu/transparency/regdoc/rep/3/2016/EN/3-2016-2398-EN-F1-1.PDF"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arclays">
      <a:majorFont>
        <a:latin typeface="Expert Sans Regular"/>
        <a:ea typeface=""/>
        <a:cs typeface=""/>
      </a:majorFont>
      <a:minorFont>
        <a:latin typeface="Expert Sans Regula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41A4E-979E-4B89-A6B1-E6DEEB803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3459</Words>
  <Characters>19722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Barclays Capital</Company>
  <LinksUpToDate>false</LinksUpToDate>
  <CharactersWithSpaces>23135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miloshju</dc:creator>
  <cp:keywords/>
  <dc:description/>
  <cp:lastModifiedBy>Sally Anderson</cp:lastModifiedBy>
  <cp:revision>2</cp:revision>
  <cp:lastPrinted>2016-05-09T17:28:00Z</cp:lastPrinted>
  <dcterms:created xsi:type="dcterms:W3CDTF">2019-10-13T19:41:00Z</dcterms:created>
  <dcterms:modified xsi:type="dcterms:W3CDTF">2019-10-13T19:41:00Z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number">
    <vt:lpwstr>62117887 V1 -  - UK1</vt:lpwstr>
  </property>
</Properties>
</file>