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ook w:val="04A0" w:firstRow="1" w:lastRow="0" w:firstColumn="1" w:lastColumn="0" w:noHBand="0" w:noVBand="1"/>
      </w:tblPr>
      <w:tblGrid>
        <w:gridCol w:w="1983"/>
        <w:gridCol w:w="1785"/>
        <w:gridCol w:w="5325"/>
        <w:gridCol w:w="1326"/>
        <w:gridCol w:w="7080"/>
        <w:gridCol w:w="2734"/>
        <w:gridCol w:w="1812"/>
      </w:tblGrid>
      <w:tr w:rsidR="00032535" w:rsidRPr="00E02972" w:rsidTr="00F44B85">
        <w:trPr>
          <w:tblHeader/>
        </w:trPr>
        <w:tc>
          <w:tcPr>
            <w:tcW w:w="455" w:type="pct"/>
            <w:tcBorders>
              <w:top w:val="single" w:sz="4" w:space="0" w:color="auto"/>
              <w:left w:val="single" w:sz="4" w:space="0" w:color="auto"/>
              <w:bottom w:val="single" w:sz="4" w:space="0" w:color="auto"/>
              <w:right w:val="single" w:sz="4" w:space="0" w:color="auto"/>
            </w:tcBorders>
            <w:shd w:val="clear" w:color="auto" w:fill="69889A"/>
          </w:tcPr>
          <w:p w:rsidR="00032535" w:rsidRPr="00E02972" w:rsidRDefault="00032535" w:rsidP="002B491D">
            <w:pPr>
              <w:spacing w:before="240" w:after="240"/>
              <w:jc w:val="center"/>
              <w:rPr>
                <w:rFonts w:eastAsia="Times New Roman" w:cs="Arial"/>
                <w:b/>
                <w:bCs/>
                <w:color w:val="FFFFFF" w:themeColor="background1"/>
                <w:sz w:val="16"/>
                <w:szCs w:val="18"/>
                <w:lang w:eastAsia="en-GB"/>
              </w:rPr>
            </w:pPr>
            <w:bookmarkStart w:id="0" w:name="_GoBack"/>
            <w:bookmarkEnd w:id="0"/>
            <w:r w:rsidRPr="00E02972">
              <w:rPr>
                <w:rFonts w:eastAsia="Times New Roman" w:cs="Arial"/>
                <w:b/>
                <w:bCs/>
                <w:color w:val="FFFFFF" w:themeColor="background1"/>
                <w:sz w:val="16"/>
                <w:szCs w:val="18"/>
                <w:lang w:eastAsia="en-GB"/>
              </w:rPr>
              <w:t>Topic</w:t>
            </w:r>
          </w:p>
        </w:tc>
        <w:tc>
          <w:tcPr>
            <w:tcW w:w="374" w:type="pct"/>
            <w:tcBorders>
              <w:top w:val="single" w:sz="4" w:space="0" w:color="auto"/>
              <w:left w:val="single" w:sz="4" w:space="0" w:color="auto"/>
              <w:bottom w:val="single" w:sz="4" w:space="0" w:color="auto"/>
              <w:right w:val="single" w:sz="4" w:space="0" w:color="auto"/>
            </w:tcBorders>
            <w:shd w:val="clear" w:color="auto" w:fill="69889A"/>
            <w:vAlign w:val="center"/>
          </w:tcPr>
          <w:p w:rsidR="00032535" w:rsidRPr="00E02972" w:rsidRDefault="00032535" w:rsidP="002B491D">
            <w:pPr>
              <w:spacing w:before="120" w:after="240"/>
              <w:jc w:val="center"/>
              <w:rPr>
                <w:rFonts w:eastAsia="Times New Roman" w:cs="Arial"/>
                <w:b/>
                <w:bCs/>
                <w:color w:val="FFFFFF" w:themeColor="background1"/>
                <w:sz w:val="16"/>
                <w:szCs w:val="18"/>
                <w:lang w:eastAsia="en-GB"/>
              </w:rPr>
            </w:pPr>
            <w:r w:rsidRPr="00E02972">
              <w:rPr>
                <w:rFonts w:eastAsia="Times New Roman" w:cs="Arial"/>
                <w:b/>
                <w:bCs/>
                <w:color w:val="FFFFFF" w:themeColor="background1"/>
                <w:sz w:val="16"/>
                <w:szCs w:val="18"/>
                <w:lang w:eastAsia="en-GB"/>
              </w:rPr>
              <w:t>L1: MiFID (D)/MiFIR (R)</w:t>
            </w:r>
          </w:p>
        </w:tc>
        <w:tc>
          <w:tcPr>
            <w:tcW w:w="1213" w:type="pct"/>
            <w:tcBorders>
              <w:top w:val="single" w:sz="4" w:space="0" w:color="auto"/>
              <w:left w:val="single" w:sz="4" w:space="0" w:color="auto"/>
              <w:bottom w:val="single" w:sz="4" w:space="0" w:color="auto"/>
              <w:right w:val="single" w:sz="4" w:space="0" w:color="auto"/>
            </w:tcBorders>
            <w:shd w:val="clear" w:color="auto" w:fill="69889A"/>
          </w:tcPr>
          <w:p w:rsidR="00032535" w:rsidRPr="00E02972" w:rsidRDefault="00032535" w:rsidP="00F44B85">
            <w:pPr>
              <w:spacing w:before="120" w:after="240"/>
              <w:rPr>
                <w:rFonts w:eastAsia="Times New Roman" w:cs="Arial"/>
                <w:b/>
                <w:bCs/>
                <w:color w:val="FFFFFF" w:themeColor="background1"/>
                <w:sz w:val="16"/>
                <w:szCs w:val="18"/>
                <w:lang w:eastAsia="en-GB"/>
              </w:rPr>
            </w:pPr>
            <w:r w:rsidRPr="00E02972">
              <w:rPr>
                <w:rFonts w:eastAsia="Times New Roman" w:cs="Arial"/>
                <w:b/>
                <w:bCs/>
                <w:color w:val="FFFFFF" w:themeColor="background1"/>
                <w:sz w:val="16"/>
                <w:szCs w:val="18"/>
                <w:lang w:eastAsia="en-GB"/>
              </w:rPr>
              <w:t>Key Requirement Summary</w:t>
            </w:r>
          </w:p>
        </w:tc>
        <w:tc>
          <w:tcPr>
            <w:tcW w:w="306" w:type="pct"/>
            <w:tcBorders>
              <w:top w:val="single" w:sz="4" w:space="0" w:color="auto"/>
              <w:left w:val="single" w:sz="4" w:space="0" w:color="auto"/>
              <w:bottom w:val="single" w:sz="4" w:space="0" w:color="auto"/>
              <w:right w:val="single" w:sz="4" w:space="0" w:color="auto"/>
            </w:tcBorders>
            <w:shd w:val="clear" w:color="auto" w:fill="69889A"/>
          </w:tcPr>
          <w:p w:rsidR="00032535" w:rsidRPr="00E02972" w:rsidRDefault="00032535" w:rsidP="00F44B85">
            <w:pPr>
              <w:spacing w:before="120" w:after="240"/>
              <w:rPr>
                <w:rFonts w:eastAsia="Times New Roman" w:cs="Arial"/>
                <w:b/>
                <w:bCs/>
                <w:color w:val="FFFFFF" w:themeColor="background1"/>
                <w:sz w:val="16"/>
                <w:szCs w:val="18"/>
                <w:lang w:eastAsia="en-GB"/>
              </w:rPr>
            </w:pPr>
            <w:r w:rsidRPr="00E02972">
              <w:rPr>
                <w:rFonts w:eastAsia="Times New Roman" w:cs="Arial"/>
                <w:b/>
                <w:bCs/>
                <w:color w:val="FFFFFF" w:themeColor="background1"/>
                <w:sz w:val="16"/>
                <w:szCs w:val="18"/>
                <w:lang w:eastAsia="en-GB"/>
              </w:rPr>
              <w:t>Counterparty</w:t>
            </w:r>
          </w:p>
        </w:tc>
        <w:tc>
          <w:tcPr>
            <w:tcW w:w="1611" w:type="pct"/>
            <w:tcBorders>
              <w:top w:val="single" w:sz="4" w:space="0" w:color="auto"/>
              <w:left w:val="single" w:sz="4" w:space="0" w:color="auto"/>
              <w:bottom w:val="single" w:sz="4" w:space="0" w:color="auto"/>
              <w:right w:val="single" w:sz="4" w:space="0" w:color="auto"/>
            </w:tcBorders>
            <w:shd w:val="clear" w:color="auto" w:fill="69889A"/>
          </w:tcPr>
          <w:p w:rsidR="00032535" w:rsidRPr="00E02972" w:rsidRDefault="00032535" w:rsidP="00F44B85">
            <w:pPr>
              <w:spacing w:before="120" w:after="240"/>
              <w:jc w:val="center"/>
              <w:rPr>
                <w:rFonts w:eastAsia="Times New Roman" w:cs="Arial"/>
                <w:b/>
                <w:bCs/>
                <w:color w:val="FFFFFF" w:themeColor="background1"/>
                <w:sz w:val="16"/>
                <w:szCs w:val="18"/>
                <w:lang w:eastAsia="en-GB"/>
              </w:rPr>
            </w:pPr>
            <w:r w:rsidRPr="00E02972">
              <w:rPr>
                <w:rFonts w:eastAsia="Times New Roman" w:cs="Arial"/>
                <w:b/>
                <w:bCs/>
                <w:color w:val="FFFFFF" w:themeColor="background1"/>
                <w:sz w:val="16"/>
                <w:szCs w:val="18"/>
                <w:lang w:eastAsia="en-GB"/>
              </w:rPr>
              <w:t>Impact on Client Documentation</w:t>
            </w:r>
          </w:p>
        </w:tc>
        <w:tc>
          <w:tcPr>
            <w:tcW w:w="625" w:type="pct"/>
            <w:tcBorders>
              <w:top w:val="single" w:sz="4" w:space="0" w:color="auto"/>
              <w:left w:val="single" w:sz="4" w:space="0" w:color="auto"/>
              <w:bottom w:val="single" w:sz="4" w:space="0" w:color="auto"/>
              <w:right w:val="single" w:sz="4" w:space="0" w:color="auto"/>
            </w:tcBorders>
            <w:shd w:val="clear" w:color="auto" w:fill="69889A"/>
          </w:tcPr>
          <w:p w:rsidR="00032535" w:rsidRPr="00E02972" w:rsidRDefault="00032535" w:rsidP="00F44B85">
            <w:pPr>
              <w:spacing w:before="120" w:after="240"/>
              <w:jc w:val="center"/>
              <w:rPr>
                <w:rFonts w:eastAsia="Times New Roman" w:cs="Arial"/>
                <w:b/>
                <w:bCs/>
                <w:color w:val="FFFFFF" w:themeColor="background1"/>
                <w:sz w:val="16"/>
                <w:szCs w:val="18"/>
                <w:lang w:eastAsia="en-GB"/>
              </w:rPr>
            </w:pPr>
            <w:r w:rsidRPr="00E02972">
              <w:rPr>
                <w:rFonts w:eastAsia="Times New Roman" w:cs="Arial"/>
                <w:b/>
                <w:bCs/>
                <w:color w:val="FFFFFF" w:themeColor="background1"/>
                <w:sz w:val="16"/>
                <w:szCs w:val="18"/>
                <w:lang w:eastAsia="en-GB"/>
              </w:rPr>
              <w:t>Documentation to Consider</w:t>
            </w:r>
            <w:r w:rsidR="00F44B85" w:rsidRPr="00E02972">
              <w:rPr>
                <w:rStyle w:val="FootnoteReference"/>
                <w:rFonts w:eastAsia="Times New Roman" w:cs="Arial"/>
                <w:b/>
                <w:bCs/>
                <w:color w:val="FFFFFF" w:themeColor="background1"/>
                <w:sz w:val="16"/>
                <w:szCs w:val="18"/>
                <w:lang w:eastAsia="en-GB"/>
              </w:rPr>
              <w:footnoteReference w:id="1"/>
            </w:r>
          </w:p>
        </w:tc>
        <w:tc>
          <w:tcPr>
            <w:tcW w:w="416" w:type="pct"/>
            <w:tcBorders>
              <w:top w:val="single" w:sz="4" w:space="0" w:color="auto"/>
              <w:left w:val="single" w:sz="4" w:space="0" w:color="auto"/>
              <w:bottom w:val="single" w:sz="4" w:space="0" w:color="auto"/>
              <w:right w:val="single" w:sz="4" w:space="0" w:color="auto"/>
            </w:tcBorders>
            <w:shd w:val="clear" w:color="auto" w:fill="69889A"/>
          </w:tcPr>
          <w:p w:rsidR="00032535" w:rsidRPr="00E02972" w:rsidRDefault="00032535" w:rsidP="00F44B85">
            <w:pPr>
              <w:spacing w:before="120" w:after="240"/>
              <w:jc w:val="center"/>
              <w:rPr>
                <w:rFonts w:eastAsia="Times New Roman" w:cs="Arial"/>
                <w:b/>
                <w:bCs/>
                <w:color w:val="FFFFFF" w:themeColor="background1"/>
                <w:sz w:val="16"/>
                <w:szCs w:val="18"/>
                <w:lang w:eastAsia="en-GB"/>
              </w:rPr>
            </w:pPr>
            <w:r w:rsidRPr="00E02972">
              <w:rPr>
                <w:rFonts w:eastAsia="Times New Roman" w:cs="Arial"/>
                <w:b/>
                <w:bCs/>
                <w:color w:val="FFFFFF" w:themeColor="background1"/>
                <w:sz w:val="16"/>
                <w:szCs w:val="18"/>
                <w:lang w:eastAsia="en-GB"/>
              </w:rPr>
              <w:t>Client consent requirements</w:t>
            </w:r>
          </w:p>
        </w:tc>
      </w:tr>
      <w:tr w:rsidR="00032535" w:rsidRPr="00E02972" w:rsidTr="00F44B85">
        <w:trPr>
          <w:trHeight w:val="4653"/>
        </w:trPr>
        <w:tc>
          <w:tcPr>
            <w:tcW w:w="455" w:type="pct"/>
            <w:tcBorders>
              <w:top w:val="single" w:sz="4" w:space="0" w:color="auto"/>
              <w:left w:val="single" w:sz="4" w:space="0" w:color="auto"/>
              <w:bottom w:val="single" w:sz="4" w:space="0" w:color="auto"/>
              <w:right w:val="single" w:sz="4" w:space="0" w:color="auto"/>
            </w:tcBorders>
            <w:shd w:val="clear" w:color="auto" w:fill="69889A"/>
          </w:tcPr>
          <w:p w:rsidR="00032535" w:rsidRPr="00E02972" w:rsidRDefault="00032535" w:rsidP="00C526AC">
            <w:pPr>
              <w:spacing w:before="120" w:after="120"/>
              <w:jc w:val="left"/>
              <w:rPr>
                <w:rFonts w:eastAsia="Times New Roman" w:cs="Arial"/>
                <w:b/>
                <w:bCs/>
                <w:color w:val="FFFFFF" w:themeColor="background1"/>
                <w:sz w:val="16"/>
                <w:szCs w:val="18"/>
                <w:lang w:eastAsia="en-GB"/>
              </w:rPr>
            </w:pPr>
            <w:r w:rsidRPr="00E02972">
              <w:rPr>
                <w:rFonts w:eastAsia="Times New Roman" w:cs="Arial"/>
                <w:b/>
                <w:bCs/>
                <w:color w:val="FFFFFF" w:themeColor="background1"/>
                <w:sz w:val="16"/>
                <w:szCs w:val="18"/>
                <w:lang w:eastAsia="en-GB"/>
              </w:rPr>
              <w:t xml:space="preserve">CLIENT CLASSIFICATION </w:t>
            </w:r>
          </w:p>
          <w:p w:rsidR="00C526AC" w:rsidRPr="00E02972" w:rsidRDefault="00C526AC" w:rsidP="00C526AC">
            <w:pPr>
              <w:spacing w:before="120" w:after="120"/>
              <w:jc w:val="left"/>
              <w:rPr>
                <w:rFonts w:eastAsia="Times New Roman" w:cs="Arial"/>
                <w:b/>
                <w:bCs/>
                <w:color w:val="FFFFFF" w:themeColor="background1"/>
                <w:sz w:val="16"/>
                <w:szCs w:val="18"/>
                <w:lang w:eastAsia="en-GB"/>
              </w:rPr>
            </w:pPr>
          </w:p>
        </w:tc>
        <w:tc>
          <w:tcPr>
            <w:tcW w:w="374" w:type="pct"/>
            <w:tcBorders>
              <w:top w:val="single" w:sz="4" w:space="0" w:color="auto"/>
              <w:left w:val="single" w:sz="4" w:space="0" w:color="auto"/>
              <w:bottom w:val="single" w:sz="4" w:space="0" w:color="auto"/>
              <w:right w:val="single" w:sz="4" w:space="0" w:color="auto"/>
            </w:tcBorders>
          </w:tcPr>
          <w:p w:rsidR="00032535" w:rsidRPr="00E02972" w:rsidRDefault="006C2CF1" w:rsidP="006E3A87">
            <w:pPr>
              <w:spacing w:before="240" w:after="260"/>
              <w:rPr>
                <w:rFonts w:eastAsia="Times New Roman" w:cs="Arial"/>
                <w:sz w:val="16"/>
                <w:szCs w:val="18"/>
              </w:rPr>
            </w:pPr>
            <w:hyperlink r:id="rId9" w:history="1">
              <w:r w:rsidR="00032535" w:rsidRPr="00E02972">
                <w:rPr>
                  <w:rStyle w:val="Hyperlink"/>
                  <w:rFonts w:eastAsia="Times New Roman" w:cs="Arial"/>
                  <w:color w:val="auto"/>
                  <w:sz w:val="16"/>
                  <w:szCs w:val="18"/>
                  <w:u w:val="none"/>
                </w:rPr>
                <w:t>D</w:t>
              </w:r>
            </w:hyperlink>
            <w:r w:rsidR="00032535" w:rsidRPr="00E02972">
              <w:rPr>
                <w:rFonts w:eastAsia="Times New Roman" w:cs="Arial"/>
                <w:sz w:val="16"/>
                <w:szCs w:val="18"/>
              </w:rPr>
              <w:t>: Annex II</w:t>
            </w:r>
          </w:p>
          <w:p w:rsidR="000F3711" w:rsidRPr="00E02972" w:rsidRDefault="006C2CF1" w:rsidP="00D925E0">
            <w:pPr>
              <w:numPr>
                <w:ilvl w:val="0"/>
                <w:numId w:val="41"/>
              </w:numPr>
              <w:spacing w:before="240" w:after="260"/>
              <w:rPr>
                <w:rFonts w:eastAsia="Times New Roman" w:cs="Arial"/>
                <w:sz w:val="16"/>
                <w:szCs w:val="18"/>
              </w:rPr>
            </w:pPr>
            <w:hyperlink r:id="rId10" w:history="1">
              <w:r w:rsidR="000F3711" w:rsidRPr="00E02972">
                <w:rPr>
                  <w:rStyle w:val="Hyperlink"/>
                  <w:rFonts w:cs="Arial"/>
                  <w:color w:val="0000FF"/>
                  <w:sz w:val="16"/>
                  <w:szCs w:val="18"/>
                </w:rPr>
                <w:t>DR1</w:t>
              </w:r>
            </w:hyperlink>
            <w:r w:rsidR="000F3711" w:rsidRPr="00E02972">
              <w:rPr>
                <w:rStyle w:val="Hyperlink"/>
                <w:rFonts w:cs="Arial"/>
                <w:color w:val="0000FF"/>
                <w:sz w:val="16"/>
                <w:szCs w:val="18"/>
              </w:rPr>
              <w:t>(</w:t>
            </w:r>
            <w:hyperlink r:id="rId11" w:history="1">
              <w:r w:rsidR="000F3711" w:rsidRPr="00E02972">
                <w:rPr>
                  <w:rStyle w:val="Hyperlink"/>
                  <w:rFonts w:cs="Arial"/>
                  <w:b/>
                  <w:color w:val="0000FF"/>
                  <w:sz w:val="16"/>
                  <w:szCs w:val="18"/>
                </w:rPr>
                <w:t>Art 45)</w:t>
              </w:r>
            </w:hyperlink>
          </w:p>
        </w:tc>
        <w:tc>
          <w:tcPr>
            <w:tcW w:w="1213" w:type="pct"/>
            <w:tcBorders>
              <w:top w:val="single" w:sz="4" w:space="0" w:color="auto"/>
              <w:left w:val="single" w:sz="4" w:space="0" w:color="auto"/>
              <w:bottom w:val="single" w:sz="4" w:space="0" w:color="auto"/>
              <w:right w:val="single" w:sz="4" w:space="0" w:color="auto"/>
            </w:tcBorders>
          </w:tcPr>
          <w:p w:rsidR="00032535" w:rsidRPr="00E02972" w:rsidRDefault="00032535" w:rsidP="00F44B85">
            <w:pPr>
              <w:spacing w:before="240" w:after="260"/>
              <w:rPr>
                <w:rFonts w:cs="Arial"/>
                <w:sz w:val="16"/>
                <w:szCs w:val="18"/>
              </w:rPr>
            </w:pPr>
            <w:r w:rsidRPr="00E02972">
              <w:rPr>
                <w:rFonts w:cs="Arial"/>
                <w:b/>
                <w:sz w:val="16"/>
                <w:szCs w:val="18"/>
              </w:rPr>
              <w:t>Eligible Counterparties (ECPs):</w:t>
            </w:r>
            <w:r w:rsidRPr="00E02972">
              <w:rPr>
                <w:rFonts w:cs="Arial"/>
                <w:sz w:val="16"/>
                <w:szCs w:val="18"/>
              </w:rPr>
              <w:t xml:space="preserve">  ECPs can ask to be treated as professional clients with respect to a single transaction generally (in writing). Conversely, professional clients meeting certain requirements can ask to be treated as ECPs and in this case firms will need to obtain written confirmation from the client.</w:t>
            </w:r>
          </w:p>
          <w:p w:rsidR="00032535" w:rsidRPr="00E02972" w:rsidRDefault="00032535" w:rsidP="00F44B85">
            <w:pPr>
              <w:spacing w:before="240" w:after="260"/>
              <w:rPr>
                <w:rFonts w:cs="Arial"/>
                <w:sz w:val="16"/>
                <w:szCs w:val="18"/>
              </w:rPr>
            </w:pPr>
            <w:r w:rsidRPr="00E02972">
              <w:rPr>
                <w:rFonts w:cs="Arial"/>
                <w:sz w:val="16"/>
                <w:szCs w:val="18"/>
              </w:rPr>
              <w:t xml:space="preserve">New </w:t>
            </w:r>
            <w:r w:rsidR="00F9584C" w:rsidRPr="00E02972">
              <w:rPr>
                <w:rFonts w:cs="Arial"/>
                <w:sz w:val="16"/>
                <w:szCs w:val="18"/>
              </w:rPr>
              <w:t>requirements</w:t>
            </w:r>
            <w:r w:rsidRPr="00E02972">
              <w:rPr>
                <w:rFonts w:cs="Arial"/>
                <w:sz w:val="16"/>
                <w:szCs w:val="18"/>
              </w:rPr>
              <w:t xml:space="preserve"> for opting up to ECP or Professional status – warnings need to be given, specific procedure adopted, written confirmation required.</w:t>
            </w:r>
          </w:p>
          <w:p w:rsidR="00032535" w:rsidRPr="00E02972" w:rsidRDefault="00032535" w:rsidP="00F44B85">
            <w:pPr>
              <w:spacing w:before="240" w:after="260"/>
              <w:rPr>
                <w:rFonts w:cs="Arial"/>
                <w:sz w:val="16"/>
                <w:szCs w:val="18"/>
              </w:rPr>
            </w:pPr>
            <w:r w:rsidRPr="00E02972">
              <w:rPr>
                <w:rFonts w:cs="Arial"/>
                <w:b/>
                <w:sz w:val="16"/>
                <w:szCs w:val="18"/>
              </w:rPr>
              <w:t>Retail:</w:t>
            </w:r>
            <w:r w:rsidRPr="00E02972">
              <w:rPr>
                <w:rFonts w:cs="Arial"/>
                <w:sz w:val="16"/>
                <w:szCs w:val="18"/>
              </w:rPr>
              <w:t xml:space="preserve"> It will no longer be possible under MiFID2 for investment firms to automatically treat municipalities and local public authorities as professional clients or ECP’s- they will be treated as retail clients- unless they have opted to be treated as such and the firm has assessed them as having the requisite knowledge and experience.</w:t>
            </w:r>
          </w:p>
          <w:p w:rsidR="00032535" w:rsidRPr="00E02972" w:rsidRDefault="00032535" w:rsidP="00F44B85">
            <w:pPr>
              <w:spacing w:before="240" w:after="260"/>
              <w:rPr>
                <w:rFonts w:cs="Arial"/>
                <w:sz w:val="16"/>
                <w:szCs w:val="18"/>
              </w:rPr>
            </w:pPr>
            <w:r w:rsidRPr="00E02972">
              <w:rPr>
                <w:rFonts w:cs="Arial"/>
                <w:sz w:val="16"/>
                <w:szCs w:val="18"/>
              </w:rPr>
              <w:t xml:space="preserve">Member States may adopt specific criteria for the assessment of the expertise and knowledge of municipalities and local public authorities requesting to be treated as professional clients and that those criteria may be alternative or additional to those set out in Level 1 text.  </w:t>
            </w:r>
          </w:p>
          <w:p w:rsidR="00E5283A" w:rsidRPr="00E02972" w:rsidRDefault="00032535" w:rsidP="00E5283A">
            <w:pPr>
              <w:autoSpaceDE w:val="0"/>
              <w:autoSpaceDN w:val="0"/>
              <w:adjustRightInd w:val="0"/>
              <w:spacing w:before="240" w:after="260"/>
              <w:rPr>
                <w:rFonts w:cs="Arial"/>
                <w:sz w:val="16"/>
                <w:szCs w:val="18"/>
              </w:rPr>
            </w:pPr>
            <w:r w:rsidRPr="00E02972">
              <w:rPr>
                <w:rFonts w:cs="Arial"/>
                <w:sz w:val="16"/>
                <w:szCs w:val="18"/>
              </w:rPr>
              <w:t xml:space="preserve">FCA Approach: The FCA in its CP16/29 has proposed to strengthen the requirements and apply higher thresholds for </w:t>
            </w:r>
            <w:r w:rsidR="00E5283A" w:rsidRPr="00E02972">
              <w:rPr>
                <w:rFonts w:cs="Arial"/>
                <w:sz w:val="16"/>
                <w:szCs w:val="18"/>
              </w:rPr>
              <w:t>l</w:t>
            </w:r>
            <w:r w:rsidRPr="00E02972">
              <w:rPr>
                <w:rFonts w:cs="Arial"/>
                <w:sz w:val="16"/>
                <w:szCs w:val="18"/>
              </w:rPr>
              <w:t xml:space="preserve">ocal authorities and </w:t>
            </w:r>
            <w:r w:rsidR="00F44B85" w:rsidRPr="00E02972">
              <w:rPr>
                <w:rFonts w:cs="Arial"/>
                <w:sz w:val="16"/>
                <w:szCs w:val="18"/>
              </w:rPr>
              <w:t>municipalities to</w:t>
            </w:r>
            <w:r w:rsidRPr="00E02972">
              <w:rPr>
                <w:rFonts w:cs="Arial"/>
                <w:sz w:val="16"/>
                <w:szCs w:val="18"/>
              </w:rPr>
              <w:t xml:space="preserve"> opt up to professional status. Industry </w:t>
            </w:r>
            <w:r w:rsidR="00E5283A" w:rsidRPr="00E02972">
              <w:rPr>
                <w:rFonts w:cs="Arial"/>
                <w:sz w:val="16"/>
                <w:szCs w:val="18"/>
              </w:rPr>
              <w:t>sought</w:t>
            </w:r>
            <w:r w:rsidRPr="00E02972">
              <w:rPr>
                <w:rFonts w:cs="Arial"/>
                <w:sz w:val="16"/>
                <w:szCs w:val="18"/>
              </w:rPr>
              <w:t xml:space="preserve"> guidance from the FCA and ESMA on any transitional provisions that may apply to existing local authorities or any possibility of ring fencing business to local authorities who are classified as retail clients.</w:t>
            </w:r>
            <w:r w:rsidR="00E5283A" w:rsidRPr="00E02972">
              <w:rPr>
                <w:rFonts w:eastAsia="Times New Roman" w:cs="Arial"/>
                <w:sz w:val="18"/>
                <w:szCs w:val="18"/>
                <w:lang w:eastAsia="en-GB"/>
              </w:rPr>
              <w:t xml:space="preserve"> </w:t>
            </w:r>
            <w:proofErr w:type="gramStart"/>
            <w:r w:rsidR="00E5283A" w:rsidRPr="00E02972">
              <w:rPr>
                <w:rFonts w:cs="Arial"/>
                <w:sz w:val="16"/>
                <w:szCs w:val="18"/>
              </w:rPr>
              <w:t>In light of</w:t>
            </w:r>
            <w:proofErr w:type="gramEnd"/>
            <w:r w:rsidR="00E5283A" w:rsidRPr="00E02972">
              <w:rPr>
                <w:rFonts w:cs="Arial"/>
                <w:sz w:val="16"/>
                <w:szCs w:val="18"/>
              </w:rPr>
              <w:t xml:space="preserve"> feedback received from industry, the FCA, in its final Policy Statement, have modified their approach to the reclassification of local authority clients and continue to exercise their discretion to introduce additional or alternative quantitative opt-up criteria. The key points to note are the following:</w:t>
            </w:r>
          </w:p>
          <w:p w:rsidR="00E5283A" w:rsidRPr="00E02972" w:rsidRDefault="00E5283A" w:rsidP="00E5283A">
            <w:pPr>
              <w:numPr>
                <w:ilvl w:val="0"/>
                <w:numId w:val="51"/>
              </w:numPr>
              <w:autoSpaceDE w:val="0"/>
              <w:autoSpaceDN w:val="0"/>
              <w:adjustRightInd w:val="0"/>
              <w:spacing w:before="240" w:after="260"/>
              <w:rPr>
                <w:rFonts w:cs="Arial"/>
                <w:sz w:val="16"/>
                <w:szCs w:val="18"/>
              </w:rPr>
            </w:pPr>
            <w:r w:rsidRPr="00E02972">
              <w:rPr>
                <w:rFonts w:cs="Arial"/>
                <w:sz w:val="16"/>
                <w:szCs w:val="18"/>
              </w:rPr>
              <w:t>Introduction of a fourth quantitative criterion – that the local authority is using investment services as part of administration of a pension fund within the local government pension scheme (LGPS);</w:t>
            </w:r>
          </w:p>
          <w:p w:rsidR="00E5283A" w:rsidRPr="00E02972" w:rsidRDefault="00E5283A" w:rsidP="00E5283A">
            <w:pPr>
              <w:numPr>
                <w:ilvl w:val="0"/>
                <w:numId w:val="51"/>
              </w:numPr>
              <w:autoSpaceDE w:val="0"/>
              <w:autoSpaceDN w:val="0"/>
              <w:adjustRightInd w:val="0"/>
              <w:spacing w:before="240" w:after="260"/>
              <w:rPr>
                <w:rFonts w:cs="Arial"/>
                <w:sz w:val="16"/>
                <w:szCs w:val="18"/>
              </w:rPr>
            </w:pPr>
            <w:r w:rsidRPr="00E02972">
              <w:rPr>
                <w:rFonts w:cs="Arial"/>
                <w:sz w:val="16"/>
                <w:szCs w:val="18"/>
              </w:rPr>
              <w:t>Reduction of the portfolio threshold size for the quantitative test from a proposed £15 million to £10 million;</w:t>
            </w:r>
          </w:p>
          <w:p w:rsidR="00E5283A" w:rsidRPr="00E02972" w:rsidRDefault="00E5283A" w:rsidP="00E5283A">
            <w:pPr>
              <w:numPr>
                <w:ilvl w:val="0"/>
                <w:numId w:val="51"/>
              </w:numPr>
              <w:autoSpaceDE w:val="0"/>
              <w:autoSpaceDN w:val="0"/>
              <w:adjustRightInd w:val="0"/>
              <w:spacing w:before="240" w:after="260"/>
              <w:rPr>
                <w:rFonts w:cs="Arial"/>
                <w:sz w:val="16"/>
                <w:szCs w:val="18"/>
              </w:rPr>
            </w:pPr>
            <w:r w:rsidRPr="00E02972">
              <w:rPr>
                <w:rFonts w:cs="Arial"/>
                <w:sz w:val="16"/>
                <w:szCs w:val="18"/>
              </w:rPr>
              <w:t>Confirming that the opt-up test must be run separately on a local authority’s treasury management function and its pension fund administration;</w:t>
            </w:r>
          </w:p>
          <w:p w:rsidR="00E5283A" w:rsidRPr="00E02972" w:rsidRDefault="00E5283A" w:rsidP="00E5283A">
            <w:pPr>
              <w:numPr>
                <w:ilvl w:val="0"/>
                <w:numId w:val="51"/>
              </w:numPr>
              <w:autoSpaceDE w:val="0"/>
              <w:autoSpaceDN w:val="0"/>
              <w:adjustRightInd w:val="0"/>
              <w:spacing w:before="240" w:after="260"/>
              <w:rPr>
                <w:rFonts w:cs="Arial"/>
                <w:sz w:val="16"/>
                <w:szCs w:val="18"/>
              </w:rPr>
            </w:pPr>
            <w:r w:rsidRPr="00E02972">
              <w:rPr>
                <w:rFonts w:cs="Arial"/>
                <w:sz w:val="16"/>
                <w:szCs w:val="18"/>
              </w:rPr>
              <w:t>Re-iterated that UK firms with non-UK local authority clients should defer to the local criteria deemed appropriate for local government in the territory where they are located. If the relevant Member State has not exercised its discretion to apply a different standard to the test set out in MiFID2, UK firms should use the basic quantitative test as set out in Annex II (II.1) of MiFID2 (the basic opt-up test and not the enhanced UK opt-up test);</w:t>
            </w:r>
          </w:p>
          <w:p w:rsidR="00E5283A" w:rsidRPr="00E02972" w:rsidRDefault="00E5283A" w:rsidP="00E5283A">
            <w:pPr>
              <w:numPr>
                <w:ilvl w:val="0"/>
                <w:numId w:val="51"/>
              </w:numPr>
              <w:autoSpaceDE w:val="0"/>
              <w:autoSpaceDN w:val="0"/>
              <w:adjustRightInd w:val="0"/>
              <w:spacing w:before="240" w:after="260"/>
              <w:rPr>
                <w:rFonts w:cs="Arial"/>
                <w:sz w:val="16"/>
                <w:szCs w:val="18"/>
              </w:rPr>
            </w:pPr>
            <w:r w:rsidRPr="00E02972">
              <w:rPr>
                <w:rFonts w:cs="Arial"/>
                <w:sz w:val="16"/>
                <w:szCs w:val="18"/>
              </w:rPr>
              <w:t>No transitional provision given, but the FCA are giving flexibility to firms allowing them the opportunity to opt-up clients before 3 January 2018 rather than wait until then to go through the process.</w:t>
            </w:r>
          </w:p>
          <w:p w:rsidR="000F3711" w:rsidRPr="00E02972" w:rsidRDefault="000F3711" w:rsidP="00F44B85">
            <w:pPr>
              <w:autoSpaceDE w:val="0"/>
              <w:autoSpaceDN w:val="0"/>
              <w:adjustRightInd w:val="0"/>
              <w:spacing w:before="240" w:after="260"/>
              <w:rPr>
                <w:rFonts w:cs="Arial"/>
                <w:sz w:val="16"/>
                <w:szCs w:val="18"/>
                <w:lang w:val="en-US" w:eastAsia="en-GB"/>
              </w:rPr>
            </w:pPr>
            <w:r w:rsidRPr="00E02972">
              <w:rPr>
                <w:rFonts w:cs="Arial"/>
                <w:sz w:val="16"/>
                <w:szCs w:val="18"/>
              </w:rPr>
              <w:t xml:space="preserve">Firms must notify new clients and existing clients that have been newly </w:t>
            </w:r>
            <w:r w:rsidRPr="00E02972">
              <w:rPr>
                <w:rFonts w:cs="Arial"/>
                <w:sz w:val="16"/>
                <w:szCs w:val="18"/>
              </w:rPr>
              <w:lastRenderedPageBreak/>
              <w:t xml:space="preserve">classified under MiFID2 of their categorisation and right the client </w:t>
            </w:r>
            <w:proofErr w:type="gramStart"/>
            <w:r w:rsidRPr="00E02972">
              <w:rPr>
                <w:rFonts w:cs="Arial"/>
                <w:sz w:val="16"/>
                <w:szCs w:val="18"/>
              </w:rPr>
              <w:t>has to</w:t>
            </w:r>
            <w:proofErr w:type="gramEnd"/>
            <w:r w:rsidRPr="00E02972">
              <w:rPr>
                <w:rFonts w:cs="Arial"/>
                <w:sz w:val="16"/>
                <w:szCs w:val="18"/>
              </w:rPr>
              <w:t xml:space="preserve"> request a different classification and any protections they may lose in a durable medium. </w:t>
            </w:r>
          </w:p>
        </w:tc>
        <w:tc>
          <w:tcPr>
            <w:tcW w:w="306" w:type="pct"/>
            <w:tcBorders>
              <w:top w:val="single" w:sz="4" w:space="0" w:color="auto"/>
              <w:left w:val="single" w:sz="4" w:space="0" w:color="auto"/>
              <w:bottom w:val="single" w:sz="4" w:space="0" w:color="auto"/>
              <w:right w:val="single" w:sz="4" w:space="0" w:color="auto"/>
            </w:tcBorders>
          </w:tcPr>
          <w:p w:rsidR="00032535" w:rsidRPr="00E02972" w:rsidRDefault="00032535" w:rsidP="00F44B85">
            <w:pPr>
              <w:pStyle w:val="BodyParagraphText"/>
              <w:spacing w:line="240" w:lineRule="auto"/>
              <w:jc w:val="both"/>
              <w:rPr>
                <w:rFonts w:cs="Arial"/>
                <w:sz w:val="16"/>
                <w:szCs w:val="18"/>
              </w:rPr>
            </w:pPr>
            <w:r w:rsidRPr="00E02972">
              <w:rPr>
                <w:rFonts w:cs="Arial"/>
                <w:sz w:val="16"/>
                <w:szCs w:val="18"/>
              </w:rPr>
              <w:lastRenderedPageBreak/>
              <w:t>R</w:t>
            </w:r>
            <w:r w:rsidRPr="00E02972">
              <w:rPr>
                <w:rFonts w:cs="Arial"/>
                <w:sz w:val="16"/>
                <w:szCs w:val="18"/>
              </w:rPr>
              <w:br/>
              <w:t>EP</w:t>
            </w:r>
            <w:r w:rsidRPr="00E02972">
              <w:rPr>
                <w:rFonts w:cs="Arial"/>
                <w:sz w:val="16"/>
                <w:szCs w:val="18"/>
              </w:rPr>
              <w:br/>
              <w:t>PSP</w:t>
            </w:r>
            <w:r w:rsidRPr="00E02972">
              <w:rPr>
                <w:rFonts w:cs="Arial"/>
                <w:sz w:val="16"/>
                <w:szCs w:val="18"/>
              </w:rPr>
              <w:br/>
              <w:t>ECP</w:t>
            </w:r>
          </w:p>
        </w:tc>
        <w:tc>
          <w:tcPr>
            <w:tcW w:w="1611" w:type="pct"/>
            <w:tcBorders>
              <w:top w:val="single" w:sz="4" w:space="0" w:color="auto"/>
              <w:left w:val="single" w:sz="4" w:space="0" w:color="auto"/>
              <w:bottom w:val="single" w:sz="4" w:space="0" w:color="auto"/>
              <w:right w:val="single" w:sz="4" w:space="0" w:color="auto"/>
            </w:tcBorders>
          </w:tcPr>
          <w:p w:rsidR="00032535" w:rsidRPr="00E02972" w:rsidRDefault="00032535" w:rsidP="00F44B85">
            <w:pPr>
              <w:pStyle w:val="ssPara1"/>
              <w:numPr>
                <w:ilvl w:val="0"/>
                <w:numId w:val="9"/>
              </w:numPr>
              <w:tabs>
                <w:tab w:val="num" w:pos="360"/>
              </w:tabs>
              <w:spacing w:before="240"/>
              <w:rPr>
                <w:rFonts w:cs="Arial"/>
                <w:sz w:val="16"/>
                <w:szCs w:val="18"/>
              </w:rPr>
            </w:pPr>
            <w:r w:rsidRPr="00E02972">
              <w:rPr>
                <w:rFonts w:cs="Arial"/>
                <w:sz w:val="16"/>
                <w:szCs w:val="18"/>
              </w:rPr>
              <w:t xml:space="preserve">Review client classification wording in relevant client agreements or client classification letters to the extent that ECP’s wish to be treated as professional clients or to the extent </w:t>
            </w:r>
            <w:r w:rsidRPr="00E02972">
              <w:rPr>
                <w:rFonts w:cs="Arial"/>
                <w:bCs/>
                <w:sz w:val="16"/>
                <w:szCs w:val="18"/>
              </w:rPr>
              <w:t>firm</w:t>
            </w:r>
            <w:r w:rsidRPr="00E02972">
              <w:rPr>
                <w:rFonts w:cs="Arial"/>
                <w:sz w:val="16"/>
                <w:szCs w:val="18"/>
              </w:rPr>
              <w:t xml:space="preserve"> deals with municipalities and/or local publics.</w:t>
            </w:r>
          </w:p>
          <w:p w:rsidR="00032535" w:rsidRPr="00E02972" w:rsidRDefault="00032535" w:rsidP="00F44B85">
            <w:pPr>
              <w:pStyle w:val="ssPara1"/>
              <w:numPr>
                <w:ilvl w:val="0"/>
                <w:numId w:val="9"/>
              </w:numPr>
              <w:tabs>
                <w:tab w:val="num" w:pos="360"/>
              </w:tabs>
              <w:spacing w:before="240"/>
              <w:rPr>
                <w:rFonts w:cs="Arial"/>
                <w:sz w:val="16"/>
                <w:szCs w:val="18"/>
              </w:rPr>
            </w:pPr>
            <w:r w:rsidRPr="00E02972">
              <w:rPr>
                <w:rFonts w:cs="Arial"/>
                <w:sz w:val="16"/>
                <w:szCs w:val="18"/>
              </w:rPr>
              <w:t>Monitor for opt up criteria in each Member State where firm wishes to provide services to local municipalities and/or local publics.</w:t>
            </w:r>
          </w:p>
          <w:p w:rsidR="00032535" w:rsidRPr="00E02972" w:rsidRDefault="00032535" w:rsidP="00F44B85">
            <w:pPr>
              <w:pStyle w:val="ssPara1"/>
              <w:numPr>
                <w:ilvl w:val="0"/>
                <w:numId w:val="9"/>
              </w:numPr>
              <w:tabs>
                <w:tab w:val="num" w:pos="360"/>
              </w:tabs>
              <w:spacing w:before="240"/>
              <w:rPr>
                <w:rFonts w:cs="Arial"/>
                <w:sz w:val="16"/>
                <w:szCs w:val="18"/>
              </w:rPr>
            </w:pPr>
            <w:r w:rsidRPr="00E02972">
              <w:rPr>
                <w:rFonts w:cs="Arial"/>
                <w:sz w:val="16"/>
                <w:szCs w:val="18"/>
              </w:rPr>
              <w:t>Review any opt-up procedures or wording in client agreements or client classification letters with professional clients/ retails and ensure that they include:</w:t>
            </w:r>
          </w:p>
          <w:p w:rsidR="00032535" w:rsidRPr="00E02972" w:rsidRDefault="00032535" w:rsidP="00F44B85">
            <w:pPr>
              <w:pStyle w:val="BulletPoint2"/>
              <w:numPr>
                <w:ilvl w:val="0"/>
                <w:numId w:val="9"/>
              </w:numPr>
              <w:tabs>
                <w:tab w:val="num" w:pos="360"/>
              </w:tabs>
              <w:ind w:left="757"/>
              <w:jc w:val="both"/>
              <w:rPr>
                <w:rFonts w:cs="Arial"/>
                <w:sz w:val="16"/>
                <w:szCs w:val="18"/>
              </w:rPr>
            </w:pPr>
            <w:r w:rsidRPr="00E02972">
              <w:rPr>
                <w:rFonts w:cs="Arial"/>
                <w:sz w:val="16"/>
                <w:szCs w:val="18"/>
              </w:rPr>
              <w:t>written client confirmation that they wish to be treated as professional clients/ECP clients;</w:t>
            </w:r>
          </w:p>
          <w:p w:rsidR="00032535" w:rsidRPr="00E02972" w:rsidRDefault="00032535" w:rsidP="00F44B85">
            <w:pPr>
              <w:pStyle w:val="BulletPoint2"/>
              <w:numPr>
                <w:ilvl w:val="0"/>
                <w:numId w:val="9"/>
              </w:numPr>
              <w:tabs>
                <w:tab w:val="num" w:pos="360"/>
              </w:tabs>
              <w:ind w:left="757"/>
              <w:jc w:val="both"/>
              <w:rPr>
                <w:rFonts w:cs="Arial"/>
                <w:sz w:val="16"/>
                <w:szCs w:val="18"/>
              </w:rPr>
            </w:pPr>
            <w:r w:rsidRPr="00E02972">
              <w:rPr>
                <w:rFonts w:cs="Arial"/>
                <w:sz w:val="16"/>
                <w:szCs w:val="18"/>
              </w:rPr>
              <w:t>written warning of protection and compensation rights client may lose;</w:t>
            </w:r>
          </w:p>
          <w:p w:rsidR="00032535" w:rsidRPr="00E02972" w:rsidRDefault="00032535" w:rsidP="00F44B85">
            <w:pPr>
              <w:pStyle w:val="BulletPoint2"/>
              <w:numPr>
                <w:ilvl w:val="0"/>
                <w:numId w:val="9"/>
              </w:numPr>
              <w:tabs>
                <w:tab w:val="num" w:pos="757"/>
              </w:tabs>
              <w:ind w:left="757"/>
              <w:jc w:val="both"/>
              <w:rPr>
                <w:rFonts w:cs="Arial"/>
                <w:sz w:val="16"/>
                <w:szCs w:val="18"/>
              </w:rPr>
            </w:pPr>
            <w:r w:rsidRPr="00E02972">
              <w:rPr>
                <w:rFonts w:cs="Arial"/>
                <w:sz w:val="16"/>
                <w:szCs w:val="18"/>
              </w:rPr>
              <w:t>separate from any client contract, written client confirmation that they are aware of consequences of losing such protections.</w:t>
            </w:r>
          </w:p>
          <w:p w:rsidR="000F3711" w:rsidRPr="00E02972" w:rsidRDefault="000F3711" w:rsidP="00F44B85">
            <w:pPr>
              <w:pStyle w:val="BulletPoint2"/>
              <w:numPr>
                <w:ilvl w:val="0"/>
                <w:numId w:val="9"/>
              </w:numPr>
              <w:tabs>
                <w:tab w:val="num" w:pos="360"/>
              </w:tabs>
              <w:jc w:val="both"/>
              <w:rPr>
                <w:rFonts w:cs="Arial"/>
                <w:sz w:val="16"/>
              </w:rPr>
            </w:pPr>
            <w:r w:rsidRPr="00E02972">
              <w:rPr>
                <w:rFonts w:cs="Arial"/>
                <w:sz w:val="16"/>
              </w:rPr>
              <w:t>Ensure new clients are informed of their classification or existing clients are informed of any re-classification</w:t>
            </w:r>
            <w:r w:rsidR="00F9584C" w:rsidRPr="00E02972">
              <w:rPr>
                <w:rFonts w:cs="Arial"/>
                <w:sz w:val="16"/>
              </w:rPr>
              <w:t xml:space="preserve"> post MiFID2</w:t>
            </w:r>
            <w:r w:rsidRPr="00E02972">
              <w:rPr>
                <w:rFonts w:cs="Arial"/>
                <w:sz w:val="16"/>
              </w:rPr>
              <w:t xml:space="preserve">. </w:t>
            </w:r>
          </w:p>
          <w:p w:rsidR="00032535" w:rsidRPr="00E02972" w:rsidRDefault="00032535" w:rsidP="00F44B85">
            <w:pPr>
              <w:pStyle w:val="BulletPoint2"/>
              <w:numPr>
                <w:ilvl w:val="0"/>
                <w:numId w:val="9"/>
              </w:numPr>
              <w:tabs>
                <w:tab w:val="num" w:pos="360"/>
              </w:tabs>
              <w:jc w:val="both"/>
              <w:rPr>
                <w:rFonts w:cs="Arial"/>
                <w:sz w:val="16"/>
              </w:rPr>
            </w:pPr>
            <w:r w:rsidRPr="00E02972">
              <w:rPr>
                <w:rFonts w:cs="Arial"/>
                <w:sz w:val="16"/>
              </w:rPr>
              <w:t>To extent engage with municipalities and public authorities consider the need to:</w:t>
            </w:r>
          </w:p>
          <w:p w:rsidR="00032535" w:rsidRPr="00E02972" w:rsidRDefault="00032535" w:rsidP="00F44B85">
            <w:pPr>
              <w:pStyle w:val="BulletPoint2"/>
              <w:numPr>
                <w:ilvl w:val="0"/>
                <w:numId w:val="9"/>
              </w:numPr>
              <w:tabs>
                <w:tab w:val="num" w:pos="360"/>
              </w:tabs>
              <w:ind w:left="720"/>
              <w:jc w:val="both"/>
              <w:rPr>
                <w:rFonts w:cs="Arial"/>
                <w:sz w:val="16"/>
              </w:rPr>
            </w:pPr>
            <w:r w:rsidRPr="00E02972">
              <w:rPr>
                <w:rFonts w:cs="Arial"/>
                <w:sz w:val="16"/>
              </w:rPr>
              <w:t>Draft client on-boarding documentation to opt-up to professional status: or</w:t>
            </w:r>
          </w:p>
          <w:p w:rsidR="00032535" w:rsidRPr="00E02972" w:rsidRDefault="00032535" w:rsidP="00F44B85">
            <w:pPr>
              <w:pStyle w:val="BulletPoint2"/>
              <w:numPr>
                <w:ilvl w:val="0"/>
                <w:numId w:val="9"/>
              </w:numPr>
              <w:tabs>
                <w:tab w:val="num" w:pos="360"/>
              </w:tabs>
              <w:ind w:left="720"/>
              <w:jc w:val="both"/>
              <w:rPr>
                <w:rFonts w:cs="Arial"/>
                <w:sz w:val="16"/>
              </w:rPr>
            </w:pPr>
            <w:r w:rsidRPr="00E02972">
              <w:rPr>
                <w:rFonts w:cs="Arial"/>
                <w:sz w:val="16"/>
              </w:rPr>
              <w:t xml:space="preserve">To extent cannot opt up amend any existing agreements to meet all obligations when dealing with retail clients. </w:t>
            </w:r>
          </w:p>
          <w:p w:rsidR="00032535" w:rsidRPr="00E02972" w:rsidRDefault="00032535" w:rsidP="00F44B85">
            <w:pPr>
              <w:pStyle w:val="BulletPoint2"/>
              <w:numPr>
                <w:ilvl w:val="0"/>
                <w:numId w:val="0"/>
              </w:numPr>
              <w:ind w:left="397"/>
              <w:jc w:val="both"/>
              <w:rPr>
                <w:rFonts w:cs="Arial"/>
                <w:sz w:val="16"/>
              </w:rPr>
            </w:pPr>
          </w:p>
          <w:p w:rsidR="00032535" w:rsidRPr="00E02972" w:rsidRDefault="00032535" w:rsidP="00F44B85">
            <w:pPr>
              <w:pStyle w:val="BulletPoint2"/>
              <w:numPr>
                <w:ilvl w:val="0"/>
                <w:numId w:val="0"/>
              </w:numPr>
              <w:ind w:left="397"/>
              <w:jc w:val="both"/>
              <w:rPr>
                <w:rFonts w:cs="Arial"/>
                <w:sz w:val="16"/>
              </w:rPr>
            </w:pPr>
            <w:r w:rsidRPr="00E02972">
              <w:rPr>
                <w:rFonts w:cs="Arial"/>
                <w:sz w:val="16"/>
              </w:rPr>
              <w:t>(Note monitor</w:t>
            </w:r>
            <w:r w:rsidR="005973D1" w:rsidRPr="00E02972">
              <w:rPr>
                <w:rFonts w:cs="Arial"/>
                <w:sz w:val="16"/>
              </w:rPr>
              <w:t>/ implement</w:t>
            </w:r>
            <w:r w:rsidRPr="00E02972">
              <w:rPr>
                <w:rFonts w:cs="Arial"/>
                <w:sz w:val="16"/>
              </w:rPr>
              <w:t xml:space="preserve"> for any Member State gold-plating for opt up requirements for municipalities and public authorities- See FCA </w:t>
            </w:r>
            <w:r w:rsidR="005973D1" w:rsidRPr="00E02972">
              <w:rPr>
                <w:rFonts w:cs="Arial"/>
                <w:sz w:val="16"/>
              </w:rPr>
              <w:t>rules in COBS 3.5</w:t>
            </w:r>
            <w:r w:rsidRPr="00E02972">
              <w:rPr>
                <w:rFonts w:cs="Arial"/>
                <w:sz w:val="16"/>
              </w:rPr>
              <w:t>).</w:t>
            </w:r>
          </w:p>
          <w:p w:rsidR="00032535" w:rsidRPr="00E02972" w:rsidRDefault="00032535" w:rsidP="00F44B85">
            <w:pPr>
              <w:pStyle w:val="BulletPoint1"/>
              <w:tabs>
                <w:tab w:val="clear" w:pos="684"/>
              </w:tabs>
              <w:jc w:val="both"/>
              <w:rPr>
                <w:rFonts w:cs="Arial"/>
                <w:sz w:val="16"/>
                <w:szCs w:val="18"/>
              </w:rPr>
            </w:pPr>
          </w:p>
        </w:tc>
        <w:tc>
          <w:tcPr>
            <w:tcW w:w="625" w:type="pct"/>
            <w:tcBorders>
              <w:top w:val="single" w:sz="4" w:space="0" w:color="auto"/>
              <w:left w:val="single" w:sz="4" w:space="0" w:color="auto"/>
              <w:bottom w:val="single" w:sz="4" w:space="0" w:color="auto"/>
              <w:right w:val="single" w:sz="4" w:space="0" w:color="auto"/>
            </w:tcBorders>
          </w:tcPr>
          <w:p w:rsidR="00032535" w:rsidRPr="00E02972" w:rsidRDefault="00032535" w:rsidP="00D925E0">
            <w:pPr>
              <w:numPr>
                <w:ilvl w:val="0"/>
                <w:numId w:val="25"/>
              </w:numPr>
              <w:spacing w:before="240" w:after="260"/>
              <w:jc w:val="left"/>
              <w:rPr>
                <w:rFonts w:eastAsia="Times New Roman" w:cs="Arial"/>
                <w:bCs/>
                <w:sz w:val="16"/>
                <w:szCs w:val="18"/>
              </w:rPr>
            </w:pPr>
            <w:r w:rsidRPr="00E02972">
              <w:rPr>
                <w:rFonts w:eastAsia="Times New Roman" w:cs="Arial"/>
                <w:bCs/>
                <w:sz w:val="16"/>
                <w:szCs w:val="18"/>
              </w:rPr>
              <w:t>Client on</w:t>
            </w:r>
            <w:r w:rsidR="007B3437" w:rsidRPr="00E02972">
              <w:rPr>
                <w:rFonts w:eastAsia="Times New Roman" w:cs="Arial"/>
                <w:bCs/>
                <w:sz w:val="16"/>
                <w:szCs w:val="18"/>
              </w:rPr>
              <w:t>-</w:t>
            </w:r>
            <w:r w:rsidR="00F9584C" w:rsidRPr="00E02972">
              <w:rPr>
                <w:rFonts w:eastAsia="Times New Roman" w:cs="Arial"/>
                <w:bCs/>
                <w:sz w:val="16"/>
                <w:szCs w:val="18"/>
              </w:rPr>
              <w:t>boarding documentation</w:t>
            </w:r>
          </w:p>
          <w:p w:rsidR="007B3437" w:rsidRPr="00E02972" w:rsidRDefault="00F9584C" w:rsidP="00D925E0">
            <w:pPr>
              <w:numPr>
                <w:ilvl w:val="0"/>
                <w:numId w:val="25"/>
              </w:numPr>
              <w:spacing w:before="240" w:after="260"/>
              <w:jc w:val="left"/>
              <w:rPr>
                <w:rFonts w:eastAsia="Times New Roman" w:cs="Arial"/>
                <w:bCs/>
                <w:sz w:val="16"/>
                <w:szCs w:val="18"/>
              </w:rPr>
            </w:pPr>
            <w:r w:rsidRPr="00E02972">
              <w:rPr>
                <w:rFonts w:eastAsia="Times New Roman" w:cs="Arial"/>
                <w:bCs/>
                <w:sz w:val="16"/>
                <w:szCs w:val="18"/>
              </w:rPr>
              <w:t>Client Terms of Business</w:t>
            </w:r>
          </w:p>
          <w:p w:rsidR="002A6FF0" w:rsidRPr="00E02972" w:rsidRDefault="002A6FF0" w:rsidP="00D925E0">
            <w:pPr>
              <w:numPr>
                <w:ilvl w:val="0"/>
                <w:numId w:val="25"/>
              </w:numPr>
              <w:spacing w:before="240" w:after="260"/>
              <w:jc w:val="left"/>
              <w:rPr>
                <w:rFonts w:eastAsia="Times New Roman" w:cs="Arial"/>
                <w:bCs/>
                <w:sz w:val="16"/>
                <w:szCs w:val="18"/>
              </w:rPr>
            </w:pPr>
            <w:r w:rsidRPr="00E02972">
              <w:rPr>
                <w:rFonts w:eastAsia="Times New Roman" w:cs="Arial"/>
                <w:bCs/>
                <w:sz w:val="16"/>
                <w:szCs w:val="18"/>
              </w:rPr>
              <w:t>Client covering letters (to send with general terms of business)</w:t>
            </w:r>
          </w:p>
          <w:p w:rsidR="00032535" w:rsidRPr="00E02972" w:rsidRDefault="00F9584C" w:rsidP="00D925E0">
            <w:pPr>
              <w:numPr>
                <w:ilvl w:val="0"/>
                <w:numId w:val="25"/>
              </w:numPr>
              <w:spacing w:before="240" w:after="260"/>
              <w:jc w:val="left"/>
              <w:rPr>
                <w:rFonts w:eastAsia="Times New Roman" w:cs="Arial"/>
                <w:bCs/>
                <w:sz w:val="16"/>
                <w:szCs w:val="18"/>
              </w:rPr>
            </w:pPr>
            <w:r w:rsidRPr="00E02972">
              <w:rPr>
                <w:rFonts w:eastAsia="Times New Roman" w:cs="Arial"/>
                <w:bCs/>
                <w:sz w:val="16"/>
                <w:szCs w:val="18"/>
              </w:rPr>
              <w:t>Client classification letters</w:t>
            </w:r>
          </w:p>
          <w:p w:rsidR="005548E2" w:rsidRPr="00E02972" w:rsidRDefault="005548E2" w:rsidP="00D925E0">
            <w:pPr>
              <w:numPr>
                <w:ilvl w:val="0"/>
                <w:numId w:val="25"/>
              </w:numPr>
              <w:spacing w:before="240" w:after="260"/>
              <w:jc w:val="left"/>
              <w:rPr>
                <w:rFonts w:eastAsia="Times New Roman" w:cs="Arial"/>
                <w:bCs/>
                <w:sz w:val="16"/>
                <w:szCs w:val="18"/>
              </w:rPr>
            </w:pPr>
            <w:r w:rsidRPr="00E02972">
              <w:rPr>
                <w:rFonts w:eastAsia="Times New Roman" w:cs="Arial"/>
                <w:bCs/>
                <w:sz w:val="16"/>
                <w:szCs w:val="18"/>
              </w:rPr>
              <w:t>I</w:t>
            </w:r>
            <w:r w:rsidR="00F9584C" w:rsidRPr="00E02972">
              <w:rPr>
                <w:rFonts w:eastAsia="Times New Roman" w:cs="Arial"/>
                <w:bCs/>
                <w:sz w:val="16"/>
                <w:szCs w:val="18"/>
              </w:rPr>
              <w:t>nvestment Management Agreements</w:t>
            </w:r>
          </w:p>
          <w:p w:rsidR="00C51B7B" w:rsidRPr="00E02972" w:rsidRDefault="00F9584C" w:rsidP="00D925E0">
            <w:pPr>
              <w:numPr>
                <w:ilvl w:val="0"/>
                <w:numId w:val="25"/>
              </w:numPr>
              <w:spacing w:before="240" w:after="260"/>
              <w:jc w:val="left"/>
              <w:rPr>
                <w:rFonts w:eastAsia="Times New Roman" w:cs="Arial"/>
                <w:bCs/>
                <w:sz w:val="16"/>
                <w:szCs w:val="18"/>
              </w:rPr>
            </w:pPr>
            <w:r w:rsidRPr="00E02972">
              <w:rPr>
                <w:rFonts w:eastAsia="Times New Roman" w:cs="Arial"/>
                <w:bCs/>
                <w:sz w:val="16"/>
                <w:szCs w:val="18"/>
              </w:rPr>
              <w:t>Investment advisory agreements</w:t>
            </w:r>
          </w:p>
          <w:p w:rsidR="005548E2" w:rsidRPr="00E02972" w:rsidRDefault="00F9584C" w:rsidP="00D925E0">
            <w:pPr>
              <w:numPr>
                <w:ilvl w:val="0"/>
                <w:numId w:val="25"/>
              </w:numPr>
              <w:spacing w:before="240" w:after="260"/>
              <w:jc w:val="left"/>
              <w:rPr>
                <w:rFonts w:eastAsia="Times New Roman" w:cs="Arial"/>
                <w:bCs/>
                <w:sz w:val="16"/>
                <w:szCs w:val="18"/>
              </w:rPr>
            </w:pPr>
            <w:r w:rsidRPr="00E02972">
              <w:rPr>
                <w:rFonts w:eastAsia="Times New Roman" w:cs="Arial"/>
                <w:bCs/>
                <w:sz w:val="16"/>
                <w:szCs w:val="18"/>
              </w:rPr>
              <w:t>Side letters</w:t>
            </w:r>
          </w:p>
          <w:p w:rsidR="005548E2" w:rsidRPr="00E02972" w:rsidRDefault="00F9584C" w:rsidP="00D925E0">
            <w:pPr>
              <w:numPr>
                <w:ilvl w:val="0"/>
                <w:numId w:val="25"/>
              </w:numPr>
              <w:spacing w:before="240" w:after="260"/>
              <w:jc w:val="left"/>
              <w:rPr>
                <w:rFonts w:eastAsia="Times New Roman" w:cs="Arial"/>
                <w:bCs/>
                <w:sz w:val="16"/>
                <w:szCs w:val="18"/>
              </w:rPr>
            </w:pPr>
            <w:r w:rsidRPr="00E02972">
              <w:rPr>
                <w:rFonts w:eastAsia="Times New Roman" w:cs="Arial"/>
                <w:bCs/>
                <w:sz w:val="16"/>
                <w:szCs w:val="18"/>
              </w:rPr>
              <w:t>Sale and Distribution Agreements</w:t>
            </w:r>
          </w:p>
          <w:p w:rsidR="005548E2" w:rsidRPr="00E02972" w:rsidRDefault="00F9584C" w:rsidP="00D925E0">
            <w:pPr>
              <w:numPr>
                <w:ilvl w:val="0"/>
                <w:numId w:val="25"/>
              </w:numPr>
              <w:spacing w:before="240" w:after="260"/>
              <w:jc w:val="left"/>
              <w:rPr>
                <w:rFonts w:eastAsia="Times New Roman" w:cs="Arial"/>
                <w:bCs/>
                <w:sz w:val="16"/>
                <w:szCs w:val="18"/>
              </w:rPr>
            </w:pPr>
            <w:r w:rsidRPr="00E02972">
              <w:rPr>
                <w:rFonts w:eastAsia="Times New Roman" w:cs="Arial"/>
                <w:bCs/>
                <w:sz w:val="16"/>
                <w:szCs w:val="18"/>
              </w:rPr>
              <w:t>Marketing Agreements</w:t>
            </w:r>
          </w:p>
          <w:p w:rsidR="005548E2" w:rsidRPr="00E02972" w:rsidRDefault="005548E2" w:rsidP="005548E2">
            <w:pPr>
              <w:spacing w:before="240" w:after="260"/>
              <w:ind w:left="360"/>
              <w:jc w:val="left"/>
              <w:rPr>
                <w:rFonts w:eastAsia="Times New Roman" w:cs="Arial"/>
                <w:bCs/>
                <w:sz w:val="16"/>
                <w:szCs w:val="18"/>
              </w:rPr>
            </w:pPr>
          </w:p>
        </w:tc>
        <w:tc>
          <w:tcPr>
            <w:tcW w:w="416" w:type="pct"/>
            <w:tcBorders>
              <w:top w:val="single" w:sz="4" w:space="0" w:color="auto"/>
              <w:left w:val="single" w:sz="4" w:space="0" w:color="auto"/>
              <w:bottom w:val="single" w:sz="4" w:space="0" w:color="auto"/>
              <w:right w:val="single" w:sz="4" w:space="0" w:color="auto"/>
            </w:tcBorders>
          </w:tcPr>
          <w:p w:rsidR="00032535" w:rsidRPr="00E02972" w:rsidRDefault="00032535" w:rsidP="00F44B85">
            <w:pPr>
              <w:spacing w:before="240" w:after="260"/>
              <w:rPr>
                <w:rFonts w:eastAsia="Times New Roman" w:cs="Arial"/>
                <w:bCs/>
                <w:sz w:val="16"/>
                <w:szCs w:val="18"/>
              </w:rPr>
            </w:pPr>
            <w:r w:rsidRPr="00E02972">
              <w:rPr>
                <w:rFonts w:eastAsia="Times New Roman" w:cs="Arial"/>
                <w:bCs/>
                <w:sz w:val="16"/>
                <w:szCs w:val="18"/>
              </w:rPr>
              <w:t xml:space="preserve">Written confirmation required separate from any client contract to extent </w:t>
            </w:r>
            <w:r w:rsidR="00F9584C" w:rsidRPr="00E02972">
              <w:rPr>
                <w:rFonts w:eastAsia="Times New Roman" w:cs="Arial"/>
                <w:bCs/>
                <w:sz w:val="16"/>
                <w:szCs w:val="18"/>
              </w:rPr>
              <w:t xml:space="preserve">retails are to be opted up to Professionals </w:t>
            </w:r>
            <w:r w:rsidRPr="00E02972">
              <w:rPr>
                <w:rFonts w:eastAsia="Times New Roman" w:cs="Arial"/>
                <w:bCs/>
                <w:sz w:val="16"/>
                <w:szCs w:val="18"/>
              </w:rPr>
              <w:t>or Pro</w:t>
            </w:r>
            <w:r w:rsidR="005973D1" w:rsidRPr="00E02972">
              <w:rPr>
                <w:rFonts w:eastAsia="Times New Roman" w:cs="Arial"/>
                <w:bCs/>
                <w:sz w:val="16"/>
                <w:szCs w:val="18"/>
              </w:rPr>
              <w:t>fessional wish to opt-up to ECP</w:t>
            </w:r>
            <w:r w:rsidRPr="00E02972">
              <w:rPr>
                <w:rFonts w:eastAsia="Times New Roman" w:cs="Arial"/>
                <w:bCs/>
                <w:sz w:val="16"/>
                <w:szCs w:val="18"/>
              </w:rPr>
              <w:t xml:space="preserve">s. </w:t>
            </w:r>
          </w:p>
          <w:p w:rsidR="000F3711" w:rsidRPr="00E02972" w:rsidRDefault="000F3711" w:rsidP="00F44B85">
            <w:pPr>
              <w:spacing w:before="240" w:after="260"/>
              <w:rPr>
                <w:rFonts w:eastAsia="Times New Roman" w:cs="Arial"/>
                <w:bCs/>
                <w:sz w:val="16"/>
                <w:szCs w:val="18"/>
              </w:rPr>
            </w:pPr>
          </w:p>
        </w:tc>
      </w:tr>
      <w:tr w:rsidR="00032535" w:rsidRPr="00E02972" w:rsidTr="00F44B85">
        <w:tc>
          <w:tcPr>
            <w:tcW w:w="455" w:type="pct"/>
            <w:tcBorders>
              <w:top w:val="single" w:sz="4" w:space="0" w:color="auto"/>
              <w:left w:val="single" w:sz="4" w:space="0" w:color="auto"/>
              <w:bottom w:val="single" w:sz="4" w:space="0" w:color="auto"/>
              <w:right w:val="single" w:sz="4" w:space="0" w:color="auto"/>
            </w:tcBorders>
            <w:shd w:val="clear" w:color="auto" w:fill="69889A"/>
          </w:tcPr>
          <w:p w:rsidR="00032535" w:rsidRPr="00E02972" w:rsidRDefault="00032535" w:rsidP="001354A1">
            <w:pPr>
              <w:spacing w:before="120" w:after="120"/>
              <w:jc w:val="left"/>
              <w:rPr>
                <w:rFonts w:eastAsia="Times New Roman" w:cs="Arial"/>
                <w:b/>
                <w:bCs/>
                <w:color w:val="FFFFFF" w:themeColor="background1"/>
                <w:sz w:val="16"/>
                <w:szCs w:val="18"/>
                <w:lang w:eastAsia="en-GB"/>
              </w:rPr>
            </w:pPr>
            <w:r w:rsidRPr="00E02972">
              <w:rPr>
                <w:rFonts w:eastAsia="Times New Roman" w:cs="Arial"/>
                <w:b/>
                <w:bCs/>
                <w:color w:val="FFFFFF" w:themeColor="background1"/>
                <w:sz w:val="16"/>
                <w:szCs w:val="18"/>
                <w:lang w:eastAsia="en-GB"/>
              </w:rPr>
              <w:t xml:space="preserve">PRODUCT GOVERNANCE –MANUFACTURERS </w:t>
            </w:r>
          </w:p>
        </w:tc>
        <w:tc>
          <w:tcPr>
            <w:tcW w:w="374" w:type="pct"/>
            <w:tcBorders>
              <w:top w:val="single" w:sz="4" w:space="0" w:color="auto"/>
              <w:left w:val="single" w:sz="4" w:space="0" w:color="auto"/>
              <w:bottom w:val="single" w:sz="4" w:space="0" w:color="auto"/>
              <w:right w:val="single" w:sz="4" w:space="0" w:color="auto"/>
            </w:tcBorders>
          </w:tcPr>
          <w:p w:rsidR="00901AA5" w:rsidRPr="00E02972" w:rsidRDefault="006C2CF1" w:rsidP="00901AA5">
            <w:pPr>
              <w:spacing w:before="120" w:after="120"/>
              <w:jc w:val="left"/>
              <w:rPr>
                <w:rFonts w:eastAsia="Times New Roman" w:cs="Arial"/>
                <w:sz w:val="16"/>
                <w:szCs w:val="18"/>
                <w:lang w:val="de-DE"/>
              </w:rPr>
            </w:pPr>
            <w:hyperlink r:id="rId12" w:history="1">
              <w:r w:rsidR="00901AA5" w:rsidRPr="00E02972">
                <w:rPr>
                  <w:rStyle w:val="Hyperlink"/>
                  <w:rFonts w:cs="Arial"/>
                  <w:sz w:val="16"/>
                  <w:szCs w:val="18"/>
                  <w:lang w:val="de-DE"/>
                </w:rPr>
                <w:t>D</w:t>
              </w:r>
            </w:hyperlink>
            <w:r w:rsidR="00901AA5" w:rsidRPr="00E02972">
              <w:rPr>
                <w:rFonts w:cs="Arial"/>
                <w:sz w:val="16"/>
                <w:szCs w:val="18"/>
                <w:lang w:val="de-DE"/>
              </w:rPr>
              <w:t xml:space="preserve"> </w:t>
            </w:r>
            <w:r w:rsidR="00901AA5" w:rsidRPr="00E02972">
              <w:rPr>
                <w:rFonts w:eastAsia="Times New Roman" w:cs="Arial"/>
                <w:sz w:val="16"/>
                <w:szCs w:val="18"/>
                <w:lang w:val="de-DE"/>
              </w:rPr>
              <w:t xml:space="preserve"> Art 24 (2), Art 16(3) </w:t>
            </w:r>
          </w:p>
          <w:p w:rsidR="00901AA5" w:rsidRPr="00E02972" w:rsidRDefault="00901AA5" w:rsidP="00901AA5">
            <w:pPr>
              <w:spacing w:before="120" w:after="120"/>
              <w:jc w:val="left"/>
              <w:rPr>
                <w:rFonts w:cs="Arial"/>
                <w:sz w:val="16"/>
                <w:szCs w:val="18"/>
                <w:lang w:val="de-DE"/>
              </w:rPr>
            </w:pPr>
            <w:r w:rsidRPr="00E02972">
              <w:rPr>
                <w:rFonts w:cs="Arial"/>
                <w:sz w:val="16"/>
                <w:szCs w:val="18"/>
                <w:lang w:val="de-DE"/>
              </w:rPr>
              <w:t>L2: (</w:t>
            </w:r>
            <w:hyperlink r:id="rId13" w:history="1">
              <w:hyperlink r:id="rId14" w:history="1">
                <w:r w:rsidRPr="00E02972">
                  <w:rPr>
                    <w:rStyle w:val="Hyperlink"/>
                    <w:rFonts w:cs="Arial"/>
                    <w:sz w:val="16"/>
                    <w:szCs w:val="18"/>
                    <w:lang w:val="de-DE"/>
                  </w:rPr>
                  <w:t>CP1</w:t>
                </w:r>
              </w:hyperlink>
            </w:hyperlink>
            <w:r w:rsidRPr="00E02972">
              <w:rPr>
                <w:rFonts w:cs="Arial"/>
                <w:b/>
                <w:sz w:val="16"/>
                <w:szCs w:val="18"/>
                <w:lang w:val="de-DE"/>
              </w:rPr>
              <w:t xml:space="preserve">, </w:t>
            </w:r>
            <w:hyperlink r:id="rId15" w:history="1">
              <w:r w:rsidRPr="00E02972">
                <w:rPr>
                  <w:rStyle w:val="Hyperlink"/>
                  <w:rFonts w:cs="Arial"/>
                  <w:sz w:val="16"/>
                  <w:szCs w:val="18"/>
                  <w:lang w:val="de-DE"/>
                </w:rPr>
                <w:t>FR</w:t>
              </w:r>
            </w:hyperlink>
            <w:r w:rsidRPr="00E02972">
              <w:rPr>
                <w:rFonts w:cs="Arial"/>
                <w:sz w:val="16"/>
                <w:szCs w:val="18"/>
                <w:lang w:val="de-DE"/>
              </w:rPr>
              <w:t>)</w:t>
            </w:r>
          </w:p>
          <w:p w:rsidR="00901AA5" w:rsidRPr="00E02972" w:rsidRDefault="006C2CF1" w:rsidP="00D925E0">
            <w:pPr>
              <w:pStyle w:val="ListParagraph"/>
              <w:numPr>
                <w:ilvl w:val="0"/>
                <w:numId w:val="26"/>
              </w:numPr>
              <w:spacing w:before="120" w:after="120" w:line="240" w:lineRule="auto"/>
              <w:rPr>
                <w:rStyle w:val="Hyperlink"/>
                <w:rFonts w:ascii="Arial" w:hAnsi="Arial" w:cs="Arial"/>
                <w:b/>
                <w:color w:val="0000FF"/>
                <w:sz w:val="16"/>
                <w:szCs w:val="18"/>
                <w:lang w:val="de-DE"/>
              </w:rPr>
            </w:pPr>
            <w:hyperlink r:id="rId16" w:history="1">
              <w:r w:rsidR="00901AA5" w:rsidRPr="00E02972">
                <w:rPr>
                  <w:rStyle w:val="Hyperlink"/>
                  <w:rFonts w:ascii="Arial" w:hAnsi="Arial" w:cs="Arial"/>
                  <w:color w:val="0000FF"/>
                  <w:sz w:val="16"/>
                  <w:szCs w:val="18"/>
                </w:rPr>
                <w:t>DA1</w:t>
              </w:r>
            </w:hyperlink>
            <w:r w:rsidR="00901AA5" w:rsidRPr="00E02972">
              <w:rPr>
                <w:rStyle w:val="Hyperlink"/>
                <w:rFonts w:ascii="Arial" w:hAnsi="Arial" w:cs="Arial"/>
                <w:b/>
                <w:color w:val="0000FF"/>
                <w:sz w:val="16"/>
                <w:szCs w:val="18"/>
                <w:lang w:val="de-DE"/>
              </w:rPr>
              <w:t xml:space="preserve"> (Art 9)</w:t>
            </w:r>
          </w:p>
          <w:p w:rsidR="00901AA5" w:rsidRPr="00E02972" w:rsidRDefault="00901AA5" w:rsidP="00901AA5">
            <w:pPr>
              <w:spacing w:before="120" w:after="120"/>
              <w:jc w:val="left"/>
              <w:rPr>
                <w:rStyle w:val="Hyperlink"/>
                <w:rFonts w:eastAsia="Times New Roman" w:cs="Arial"/>
                <w:color w:val="auto"/>
                <w:sz w:val="16"/>
                <w:szCs w:val="18"/>
                <w:u w:val="none"/>
              </w:rPr>
            </w:pPr>
            <w:r w:rsidRPr="00E02972">
              <w:rPr>
                <w:rStyle w:val="Hyperlink"/>
                <w:rFonts w:eastAsia="Times New Roman" w:cs="Arial"/>
                <w:color w:val="auto"/>
                <w:sz w:val="16"/>
                <w:szCs w:val="18"/>
                <w:u w:val="none"/>
              </w:rPr>
              <w:t xml:space="preserve">L3: </w:t>
            </w:r>
          </w:p>
          <w:p w:rsidR="00901AA5" w:rsidRPr="00E02972" w:rsidRDefault="006C2CF1" w:rsidP="00D925E0">
            <w:pPr>
              <w:pStyle w:val="ListParagraph"/>
              <w:numPr>
                <w:ilvl w:val="0"/>
                <w:numId w:val="26"/>
              </w:numPr>
              <w:spacing w:before="120" w:after="120" w:line="240" w:lineRule="auto"/>
              <w:rPr>
                <w:rFonts w:ascii="Arial" w:hAnsi="Arial" w:cs="Arial"/>
                <w:b/>
                <w:sz w:val="16"/>
                <w:szCs w:val="18"/>
              </w:rPr>
            </w:pPr>
            <w:hyperlink r:id="rId17" w:history="1">
              <w:r w:rsidR="00901AA5" w:rsidRPr="00E02972">
                <w:rPr>
                  <w:rStyle w:val="Hyperlink"/>
                  <w:rFonts w:ascii="Arial" w:eastAsia="Times New Roman" w:hAnsi="Arial" w:cs="Arial"/>
                  <w:color w:val="0000FF"/>
                  <w:sz w:val="16"/>
                  <w:szCs w:val="18"/>
                </w:rPr>
                <w:t>CP10</w:t>
              </w:r>
            </w:hyperlink>
            <w:r w:rsidR="00901AA5" w:rsidRPr="00E02972">
              <w:rPr>
                <w:rStyle w:val="Hyperlink"/>
                <w:rFonts w:ascii="Arial" w:eastAsia="Times New Roman" w:hAnsi="Arial" w:cs="Arial"/>
                <w:color w:val="0000FF"/>
                <w:sz w:val="16"/>
                <w:szCs w:val="18"/>
              </w:rPr>
              <w:t xml:space="preserve"> (ESMA Draft Guidelines on Product Governance)</w:t>
            </w:r>
            <w:r w:rsidR="00901AA5" w:rsidRPr="00E02972">
              <w:rPr>
                <w:rStyle w:val="Hyperlink"/>
                <w:rFonts w:ascii="Arial" w:eastAsia="Times New Roman" w:hAnsi="Arial" w:cs="Arial"/>
                <w:sz w:val="16"/>
                <w:szCs w:val="18"/>
              </w:rPr>
              <w:t>Final guidelines expected Q1/Q2 2017</w:t>
            </w:r>
          </w:p>
          <w:p w:rsidR="00032535" w:rsidRPr="00E02972" w:rsidRDefault="00032535" w:rsidP="00841683">
            <w:pPr>
              <w:pStyle w:val="ssPara1"/>
              <w:spacing w:before="240"/>
              <w:rPr>
                <w:rFonts w:cs="Arial"/>
                <w:b/>
                <w:sz w:val="16"/>
                <w:szCs w:val="18"/>
              </w:rPr>
            </w:pPr>
          </w:p>
        </w:tc>
        <w:tc>
          <w:tcPr>
            <w:tcW w:w="1213" w:type="pct"/>
            <w:tcBorders>
              <w:top w:val="single" w:sz="4" w:space="0" w:color="auto"/>
              <w:left w:val="single" w:sz="4" w:space="0" w:color="auto"/>
              <w:bottom w:val="single" w:sz="4" w:space="0" w:color="auto"/>
              <w:right w:val="single" w:sz="4" w:space="0" w:color="auto"/>
            </w:tcBorders>
          </w:tcPr>
          <w:p w:rsidR="00901AA5" w:rsidRPr="00E02972" w:rsidRDefault="00901AA5" w:rsidP="00F44B85">
            <w:pPr>
              <w:pStyle w:val="NormalWeb"/>
              <w:spacing w:after="0" w:line="240" w:lineRule="auto"/>
              <w:jc w:val="both"/>
              <w:rPr>
                <w:rFonts w:ascii="Arial" w:hAnsi="Arial" w:cs="Arial"/>
                <w:sz w:val="16"/>
                <w:szCs w:val="18"/>
              </w:rPr>
            </w:pPr>
            <w:r w:rsidRPr="00E02972">
              <w:rPr>
                <w:rFonts w:ascii="Arial" w:hAnsi="Arial" w:cs="Arial"/>
                <w:sz w:val="16"/>
                <w:szCs w:val="18"/>
              </w:rPr>
              <w:t>Manufacturers are required to:</w:t>
            </w:r>
          </w:p>
          <w:p w:rsidR="00901AA5" w:rsidRPr="00E02972" w:rsidRDefault="00901AA5" w:rsidP="00F44B85">
            <w:pPr>
              <w:pStyle w:val="BulletPoint1"/>
              <w:numPr>
                <w:ilvl w:val="0"/>
                <w:numId w:val="9"/>
              </w:numPr>
              <w:tabs>
                <w:tab w:val="clear" w:pos="684"/>
                <w:tab w:val="left" w:pos="402"/>
              </w:tabs>
              <w:jc w:val="both"/>
              <w:rPr>
                <w:rFonts w:cs="Arial"/>
                <w:sz w:val="16"/>
                <w:szCs w:val="18"/>
              </w:rPr>
            </w:pPr>
            <w:r w:rsidRPr="00E02972">
              <w:rPr>
                <w:rFonts w:cs="Arial"/>
                <w:sz w:val="16"/>
                <w:szCs w:val="18"/>
              </w:rPr>
              <w:t>implement measures and processes to ensure that a financial product, including its features do not:</w:t>
            </w:r>
          </w:p>
          <w:p w:rsidR="00901AA5" w:rsidRPr="00E02972" w:rsidRDefault="00901AA5" w:rsidP="00F44B85">
            <w:pPr>
              <w:pStyle w:val="BulletPoint1"/>
              <w:numPr>
                <w:ilvl w:val="0"/>
                <w:numId w:val="9"/>
              </w:numPr>
              <w:tabs>
                <w:tab w:val="clear" w:pos="684"/>
                <w:tab w:val="left" w:pos="402"/>
              </w:tabs>
              <w:ind w:left="720"/>
              <w:jc w:val="both"/>
              <w:rPr>
                <w:rFonts w:cs="Arial"/>
                <w:sz w:val="16"/>
                <w:szCs w:val="18"/>
              </w:rPr>
            </w:pPr>
            <w:r w:rsidRPr="00E02972">
              <w:rPr>
                <w:rFonts w:cs="Arial"/>
                <w:sz w:val="16"/>
                <w:szCs w:val="18"/>
              </w:rPr>
              <w:t>adversely affect end clients;</w:t>
            </w:r>
          </w:p>
          <w:p w:rsidR="00901AA5" w:rsidRPr="00E02972" w:rsidRDefault="00901AA5" w:rsidP="00F44B85">
            <w:pPr>
              <w:pStyle w:val="BulletPoint1"/>
              <w:numPr>
                <w:ilvl w:val="0"/>
                <w:numId w:val="9"/>
              </w:numPr>
              <w:tabs>
                <w:tab w:val="clear" w:pos="684"/>
                <w:tab w:val="left" w:pos="402"/>
              </w:tabs>
              <w:ind w:left="720"/>
              <w:jc w:val="both"/>
              <w:rPr>
                <w:rFonts w:cs="Arial"/>
                <w:sz w:val="16"/>
                <w:szCs w:val="18"/>
              </w:rPr>
            </w:pPr>
            <w:r w:rsidRPr="00E02972">
              <w:rPr>
                <w:rFonts w:cs="Arial"/>
                <w:sz w:val="16"/>
                <w:szCs w:val="18"/>
              </w:rPr>
              <w:t>lead to problems with market integrity; or</w:t>
            </w:r>
          </w:p>
          <w:p w:rsidR="00901AA5" w:rsidRPr="00E02972" w:rsidRDefault="00901AA5" w:rsidP="00F44B85">
            <w:pPr>
              <w:pStyle w:val="BulletPoint1"/>
              <w:numPr>
                <w:ilvl w:val="0"/>
                <w:numId w:val="9"/>
              </w:numPr>
              <w:tabs>
                <w:tab w:val="clear" w:pos="684"/>
                <w:tab w:val="left" w:pos="402"/>
              </w:tabs>
              <w:ind w:left="720"/>
              <w:jc w:val="both"/>
              <w:rPr>
                <w:rFonts w:cs="Arial"/>
                <w:sz w:val="16"/>
                <w:szCs w:val="18"/>
              </w:rPr>
            </w:pPr>
            <w:r w:rsidRPr="00E02972">
              <w:rPr>
                <w:rFonts w:cs="Arial"/>
                <w:sz w:val="16"/>
                <w:szCs w:val="18"/>
              </w:rPr>
              <w:t>represent a threat to the orderly function of the financial markets.</w:t>
            </w:r>
          </w:p>
          <w:p w:rsidR="00901AA5" w:rsidRPr="00E02972" w:rsidRDefault="00901AA5" w:rsidP="00D925E0">
            <w:pPr>
              <w:pStyle w:val="BulletPoint1"/>
              <w:numPr>
                <w:ilvl w:val="0"/>
                <w:numId w:val="27"/>
              </w:numPr>
              <w:tabs>
                <w:tab w:val="clear" w:pos="684"/>
                <w:tab w:val="left" w:pos="402"/>
              </w:tabs>
              <w:jc w:val="both"/>
              <w:rPr>
                <w:rFonts w:cs="Arial"/>
                <w:sz w:val="16"/>
                <w:szCs w:val="18"/>
              </w:rPr>
            </w:pPr>
            <w:r w:rsidRPr="00E02972">
              <w:rPr>
                <w:rFonts w:cs="Arial"/>
                <w:sz w:val="16"/>
                <w:szCs w:val="18"/>
              </w:rPr>
              <w:t>analyse potential conflicts of interests each time a financial product is manufactured</w:t>
            </w:r>
            <w:r w:rsidR="00F9584C" w:rsidRPr="00E02972">
              <w:rPr>
                <w:rFonts w:cs="Arial"/>
                <w:sz w:val="16"/>
                <w:szCs w:val="18"/>
              </w:rPr>
              <w:t>.</w:t>
            </w:r>
          </w:p>
          <w:p w:rsidR="00901AA5" w:rsidRPr="00E02972" w:rsidRDefault="00901AA5" w:rsidP="00D925E0">
            <w:pPr>
              <w:pStyle w:val="BulletPoint1"/>
              <w:numPr>
                <w:ilvl w:val="0"/>
                <w:numId w:val="27"/>
              </w:numPr>
              <w:tabs>
                <w:tab w:val="clear" w:pos="684"/>
                <w:tab w:val="left" w:pos="402"/>
              </w:tabs>
              <w:jc w:val="both"/>
              <w:rPr>
                <w:rFonts w:cs="Arial"/>
                <w:sz w:val="16"/>
                <w:szCs w:val="18"/>
              </w:rPr>
            </w:pPr>
            <w:r w:rsidRPr="00E02972">
              <w:rPr>
                <w:rFonts w:cs="Arial"/>
                <w:sz w:val="16"/>
                <w:szCs w:val="18"/>
              </w:rPr>
              <w:t>assess whether the financial product creates a situation where end clients may be adversely affected if they take: (a) an exposure opposite to the one previously held by the firm itself; or (b) an exposure opposite to the one that the firm wants to hold after the sale of the product. </w:t>
            </w:r>
          </w:p>
          <w:p w:rsidR="00901AA5" w:rsidRPr="00E02972" w:rsidRDefault="00901AA5" w:rsidP="00D925E0">
            <w:pPr>
              <w:pStyle w:val="BulletPoint1"/>
              <w:numPr>
                <w:ilvl w:val="0"/>
                <w:numId w:val="27"/>
              </w:numPr>
              <w:tabs>
                <w:tab w:val="clear" w:pos="684"/>
                <w:tab w:val="left" w:pos="402"/>
              </w:tabs>
              <w:jc w:val="both"/>
              <w:rPr>
                <w:rFonts w:cs="Arial"/>
                <w:sz w:val="16"/>
                <w:szCs w:val="18"/>
              </w:rPr>
            </w:pPr>
            <w:r w:rsidRPr="00E02972">
              <w:rPr>
                <w:rFonts w:cs="Arial"/>
                <w:sz w:val="16"/>
                <w:szCs w:val="18"/>
              </w:rPr>
              <w:t>ensure financial product meets the identified needs, characteristics and objectives of the target market, including by examining whether the financial products: (a) risk/reward profile is consistent with the target market; and (b) design is driven by features that benefit the client and not by a business model that relies on poor client outcomes to be profitable. </w:t>
            </w:r>
          </w:p>
          <w:p w:rsidR="00901AA5" w:rsidRPr="00E02972" w:rsidRDefault="00901AA5" w:rsidP="00F44B85">
            <w:pPr>
              <w:pStyle w:val="BulletPoint1"/>
              <w:numPr>
                <w:ilvl w:val="0"/>
                <w:numId w:val="9"/>
              </w:numPr>
              <w:tabs>
                <w:tab w:val="clear" w:pos="684"/>
                <w:tab w:val="left" w:pos="402"/>
              </w:tabs>
              <w:jc w:val="both"/>
              <w:rPr>
                <w:rFonts w:cs="Arial"/>
                <w:sz w:val="16"/>
                <w:szCs w:val="18"/>
              </w:rPr>
            </w:pPr>
            <w:r w:rsidRPr="00E02972">
              <w:rPr>
                <w:rFonts w:cs="Arial"/>
                <w:sz w:val="16"/>
                <w:szCs w:val="18"/>
              </w:rPr>
              <w:t>consider the charging structure proposed for the financial product, including by examining whether the charging structure:(a) is compatible with the needs, objectives of the target market; (b) undermines the financial instrument’s return expectations; and (c) is appropriately transparent for the target market, such as that it does not disguise charges. </w:t>
            </w:r>
          </w:p>
          <w:p w:rsidR="00901AA5" w:rsidRPr="00E02972" w:rsidRDefault="00901AA5" w:rsidP="00F44B85">
            <w:pPr>
              <w:pStyle w:val="BulletPoint1"/>
              <w:numPr>
                <w:ilvl w:val="0"/>
                <w:numId w:val="9"/>
              </w:numPr>
              <w:tabs>
                <w:tab w:val="clear" w:pos="684"/>
                <w:tab w:val="left" w:pos="402"/>
              </w:tabs>
              <w:jc w:val="both"/>
              <w:rPr>
                <w:rFonts w:cs="Arial"/>
                <w:sz w:val="16"/>
                <w:szCs w:val="18"/>
              </w:rPr>
            </w:pPr>
            <w:r w:rsidRPr="00E02972">
              <w:rPr>
                <w:rFonts w:cs="Arial"/>
                <w:sz w:val="16"/>
                <w:szCs w:val="18"/>
              </w:rPr>
              <w:t xml:space="preserve">review products regularly to assess whether the product remains consistent with the needs </w:t>
            </w:r>
            <w:r w:rsidR="00F9584C" w:rsidRPr="00E02972">
              <w:rPr>
                <w:rFonts w:cs="Arial"/>
                <w:sz w:val="16"/>
                <w:szCs w:val="18"/>
              </w:rPr>
              <w:t>of the identified target market.</w:t>
            </w:r>
          </w:p>
          <w:p w:rsidR="00901AA5" w:rsidRPr="00E02972" w:rsidRDefault="00F44B85" w:rsidP="00F44B85">
            <w:pPr>
              <w:pStyle w:val="BulletPoint1"/>
              <w:numPr>
                <w:ilvl w:val="0"/>
                <w:numId w:val="9"/>
              </w:numPr>
              <w:tabs>
                <w:tab w:val="clear" w:pos="684"/>
                <w:tab w:val="left" w:pos="402"/>
              </w:tabs>
              <w:jc w:val="both"/>
              <w:rPr>
                <w:rFonts w:cs="Arial"/>
                <w:sz w:val="16"/>
                <w:szCs w:val="18"/>
              </w:rPr>
            </w:pPr>
            <w:r w:rsidRPr="00E02972">
              <w:rPr>
                <w:rFonts w:cs="Arial"/>
                <w:sz w:val="16"/>
                <w:szCs w:val="18"/>
              </w:rPr>
              <w:t xml:space="preserve">in order to conduct a </w:t>
            </w:r>
            <w:proofErr w:type="gramStart"/>
            <w:r w:rsidRPr="00E02972">
              <w:rPr>
                <w:rFonts w:cs="Arial"/>
                <w:sz w:val="16"/>
                <w:szCs w:val="18"/>
              </w:rPr>
              <w:t>review</w:t>
            </w:r>
            <w:proofErr w:type="gramEnd"/>
            <w:r w:rsidRPr="00E02972">
              <w:rPr>
                <w:rFonts w:cs="Arial"/>
                <w:sz w:val="16"/>
                <w:szCs w:val="18"/>
              </w:rPr>
              <w:t xml:space="preserve"> identify - information required to be obtained from the distributors.</w:t>
            </w:r>
            <w:r w:rsidRPr="00E02972">
              <w:rPr>
                <w:rFonts w:cs="Arial"/>
                <w:sz w:val="16"/>
                <w:szCs w:val="18"/>
              </w:rPr>
              <w:br w:type="page"/>
            </w:r>
          </w:p>
          <w:p w:rsidR="00901AA5" w:rsidRPr="00E02972" w:rsidRDefault="00901AA5" w:rsidP="00F44B85">
            <w:pPr>
              <w:pStyle w:val="BulletPoint1"/>
              <w:numPr>
                <w:ilvl w:val="0"/>
                <w:numId w:val="9"/>
              </w:numPr>
              <w:tabs>
                <w:tab w:val="clear" w:pos="684"/>
                <w:tab w:val="left" w:pos="402"/>
              </w:tabs>
              <w:jc w:val="both"/>
              <w:rPr>
                <w:rFonts w:cs="Arial"/>
                <w:sz w:val="16"/>
                <w:szCs w:val="18"/>
              </w:rPr>
            </w:pPr>
            <w:r w:rsidRPr="00E02972">
              <w:rPr>
                <w:rFonts w:cs="Arial"/>
                <w:sz w:val="16"/>
                <w:szCs w:val="18"/>
                <w:lang w:val="en-US"/>
              </w:rPr>
              <w:t>take ‘appropriate action’ where they become aware of an event that could potentially affect the risk o</w:t>
            </w:r>
            <w:r w:rsidR="00F9584C" w:rsidRPr="00E02972">
              <w:rPr>
                <w:rFonts w:cs="Arial"/>
                <w:sz w:val="16"/>
                <w:szCs w:val="18"/>
                <w:lang w:val="en-US"/>
              </w:rPr>
              <w:t>f the identified target market.</w:t>
            </w:r>
          </w:p>
          <w:p w:rsidR="00901AA5" w:rsidRPr="00E02972" w:rsidRDefault="00901AA5" w:rsidP="00F44B85">
            <w:pPr>
              <w:pStyle w:val="BulletPoint1"/>
              <w:numPr>
                <w:ilvl w:val="0"/>
                <w:numId w:val="9"/>
              </w:numPr>
              <w:tabs>
                <w:tab w:val="clear" w:pos="684"/>
                <w:tab w:val="left" w:pos="402"/>
              </w:tabs>
              <w:jc w:val="both"/>
              <w:rPr>
                <w:rFonts w:cs="Arial"/>
                <w:sz w:val="16"/>
                <w:szCs w:val="18"/>
              </w:rPr>
            </w:pPr>
            <w:r w:rsidRPr="00E02972">
              <w:rPr>
                <w:rFonts w:cs="Arial"/>
                <w:sz w:val="16"/>
                <w:szCs w:val="18"/>
              </w:rPr>
              <w:t xml:space="preserve">identify distribution strategy and provide the distributor with information including appropriate channels for distribution with or without advice, execution  only, face to face or over the phone </w:t>
            </w:r>
            <w:r w:rsidR="00F44B85" w:rsidRPr="00E02972">
              <w:rPr>
                <w:rFonts w:cs="Arial"/>
                <w:sz w:val="16"/>
                <w:szCs w:val="18"/>
              </w:rPr>
              <w:t>etc.</w:t>
            </w:r>
            <w:r w:rsidRPr="00E02972">
              <w:rPr>
                <w:rFonts w:cs="Arial"/>
                <w:sz w:val="16"/>
                <w:szCs w:val="18"/>
              </w:rPr>
              <w:t xml:space="preserve">, product approval process and target market assessment of an </w:t>
            </w:r>
            <w:r w:rsidRPr="00E02972">
              <w:rPr>
                <w:rFonts w:cs="Arial"/>
                <w:sz w:val="16"/>
                <w:szCs w:val="18"/>
              </w:rPr>
              <w:lastRenderedPageBreak/>
              <w:t>adequate standard so that can distribute products properly.</w:t>
            </w:r>
          </w:p>
          <w:p w:rsidR="00032535" w:rsidRPr="00E02972" w:rsidRDefault="007307B0" w:rsidP="00F44B85">
            <w:pPr>
              <w:pStyle w:val="BulletPoint1"/>
              <w:numPr>
                <w:ilvl w:val="0"/>
                <w:numId w:val="9"/>
              </w:numPr>
              <w:tabs>
                <w:tab w:val="clear" w:pos="684"/>
                <w:tab w:val="left" w:pos="402"/>
              </w:tabs>
              <w:jc w:val="both"/>
              <w:rPr>
                <w:rFonts w:asciiTheme="majorHAnsi" w:hAnsiTheme="majorHAnsi" w:cstheme="majorHAnsi"/>
                <w:sz w:val="16"/>
                <w:szCs w:val="18"/>
              </w:rPr>
            </w:pPr>
            <w:r w:rsidRPr="00E02972">
              <w:rPr>
                <w:rFonts w:cs="Arial"/>
                <w:sz w:val="16"/>
                <w:szCs w:val="18"/>
              </w:rPr>
              <w:t>m</w:t>
            </w:r>
            <w:r w:rsidR="00901AA5" w:rsidRPr="00E02972">
              <w:rPr>
                <w:rFonts w:cs="Arial"/>
                <w:sz w:val="16"/>
                <w:szCs w:val="18"/>
              </w:rPr>
              <w:t xml:space="preserve">ake a list of dos and don’t, </w:t>
            </w:r>
            <w:r w:rsidRPr="00E02972">
              <w:rPr>
                <w:rFonts w:cs="Arial"/>
                <w:sz w:val="16"/>
                <w:szCs w:val="18"/>
              </w:rPr>
              <w:t>appropriate warnings and list pr</w:t>
            </w:r>
            <w:r w:rsidR="00901AA5" w:rsidRPr="00E02972">
              <w:rPr>
                <w:rFonts w:cs="Arial"/>
                <w:sz w:val="16"/>
                <w:szCs w:val="18"/>
              </w:rPr>
              <w:t>oduct alternatives.</w:t>
            </w:r>
            <w:r w:rsidR="00901AA5" w:rsidRPr="00E02972">
              <w:rPr>
                <w:rFonts w:asciiTheme="majorHAnsi" w:hAnsiTheme="majorHAnsi" w:cstheme="majorHAnsi"/>
                <w:sz w:val="16"/>
                <w:szCs w:val="18"/>
              </w:rPr>
              <w:t xml:space="preserve"> </w:t>
            </w:r>
          </w:p>
          <w:p w:rsidR="00901AA5" w:rsidRPr="00E02972" w:rsidRDefault="00901AA5" w:rsidP="00F44B85">
            <w:pPr>
              <w:pStyle w:val="BulletPoint1"/>
              <w:numPr>
                <w:ilvl w:val="0"/>
                <w:numId w:val="9"/>
              </w:numPr>
              <w:tabs>
                <w:tab w:val="clear" w:pos="684"/>
                <w:tab w:val="left" w:pos="402"/>
              </w:tabs>
              <w:jc w:val="both"/>
              <w:rPr>
                <w:rFonts w:cs="Arial"/>
                <w:sz w:val="16"/>
                <w:szCs w:val="18"/>
              </w:rPr>
            </w:pPr>
            <w:r w:rsidRPr="00E02972">
              <w:rPr>
                <w:rFonts w:cs="Arial"/>
                <w:sz w:val="16"/>
                <w:szCs w:val="18"/>
              </w:rPr>
              <w:t>Where firms manufacture products with a non-EEA manufacturer they will be required to enter into written agreements to set out clearly responsibilities.</w:t>
            </w:r>
          </w:p>
        </w:tc>
        <w:tc>
          <w:tcPr>
            <w:tcW w:w="306" w:type="pct"/>
            <w:tcBorders>
              <w:top w:val="single" w:sz="4" w:space="0" w:color="auto"/>
              <w:left w:val="single" w:sz="4" w:space="0" w:color="auto"/>
              <w:bottom w:val="single" w:sz="4" w:space="0" w:color="auto"/>
              <w:right w:val="single" w:sz="4" w:space="0" w:color="auto"/>
            </w:tcBorders>
          </w:tcPr>
          <w:p w:rsidR="00032535" w:rsidRPr="00E02972" w:rsidRDefault="00032535" w:rsidP="00F44B85">
            <w:pPr>
              <w:pStyle w:val="ssPara1"/>
              <w:spacing w:before="240" w:after="0"/>
              <w:rPr>
                <w:rFonts w:cs="Arial"/>
                <w:sz w:val="16"/>
                <w:szCs w:val="18"/>
              </w:rPr>
            </w:pPr>
            <w:r w:rsidRPr="00E02972">
              <w:rPr>
                <w:rFonts w:cs="Arial"/>
                <w:sz w:val="16"/>
                <w:szCs w:val="18"/>
              </w:rPr>
              <w:lastRenderedPageBreak/>
              <w:t>R</w:t>
            </w:r>
          </w:p>
          <w:p w:rsidR="00032535" w:rsidRPr="00E02972" w:rsidRDefault="00032535" w:rsidP="00F44B85">
            <w:pPr>
              <w:pStyle w:val="ssPara1"/>
              <w:spacing w:after="0"/>
              <w:rPr>
                <w:rFonts w:cs="Arial"/>
                <w:sz w:val="16"/>
                <w:szCs w:val="18"/>
              </w:rPr>
            </w:pPr>
            <w:r w:rsidRPr="00E02972">
              <w:rPr>
                <w:rFonts w:cs="Arial"/>
                <w:sz w:val="16"/>
                <w:szCs w:val="18"/>
              </w:rPr>
              <w:t>EP</w:t>
            </w:r>
          </w:p>
          <w:p w:rsidR="00032535" w:rsidRPr="00E02972" w:rsidRDefault="00032535" w:rsidP="00F44B85">
            <w:pPr>
              <w:pStyle w:val="ssPara1"/>
              <w:spacing w:after="0"/>
              <w:rPr>
                <w:rFonts w:cs="Arial"/>
                <w:sz w:val="16"/>
                <w:szCs w:val="18"/>
              </w:rPr>
            </w:pPr>
            <w:r w:rsidRPr="00E02972">
              <w:rPr>
                <w:rFonts w:cs="Arial"/>
                <w:sz w:val="16"/>
                <w:szCs w:val="18"/>
              </w:rPr>
              <w:t>PSP</w:t>
            </w:r>
          </w:p>
          <w:p w:rsidR="00032535" w:rsidRPr="00E02972" w:rsidRDefault="00032535" w:rsidP="00F44B85">
            <w:pPr>
              <w:pStyle w:val="ssPara1"/>
              <w:spacing w:before="240"/>
              <w:rPr>
                <w:rFonts w:cs="Arial"/>
                <w:sz w:val="16"/>
                <w:szCs w:val="18"/>
              </w:rPr>
            </w:pPr>
            <w:r w:rsidRPr="00E02972">
              <w:rPr>
                <w:rFonts w:cs="Arial"/>
                <w:sz w:val="16"/>
                <w:szCs w:val="18"/>
              </w:rPr>
              <w:t>(Not applicable to eligible counter-parties for firms authorised to execute orders on client behalf, on own account  and/or receive and transmit orders- See MiFID2 Art 30)</w:t>
            </w:r>
          </w:p>
        </w:tc>
        <w:tc>
          <w:tcPr>
            <w:tcW w:w="1611" w:type="pct"/>
            <w:tcBorders>
              <w:top w:val="single" w:sz="4" w:space="0" w:color="auto"/>
              <w:left w:val="single" w:sz="4" w:space="0" w:color="auto"/>
              <w:bottom w:val="single" w:sz="4" w:space="0" w:color="auto"/>
              <w:right w:val="single" w:sz="4" w:space="0" w:color="auto"/>
            </w:tcBorders>
          </w:tcPr>
          <w:p w:rsidR="00E56D5A" w:rsidRPr="00E02972" w:rsidRDefault="00E56D5A" w:rsidP="00F44B85">
            <w:pPr>
              <w:pStyle w:val="BulletPoint1"/>
              <w:numPr>
                <w:ilvl w:val="0"/>
                <w:numId w:val="9"/>
              </w:numPr>
              <w:tabs>
                <w:tab w:val="clear" w:pos="684"/>
              </w:tabs>
              <w:jc w:val="both"/>
              <w:rPr>
                <w:rFonts w:cs="Arial"/>
                <w:i/>
                <w:sz w:val="16"/>
                <w:szCs w:val="18"/>
              </w:rPr>
            </w:pPr>
            <w:r w:rsidRPr="00E02972">
              <w:rPr>
                <w:rFonts w:cs="Arial"/>
                <w:i/>
                <w:sz w:val="16"/>
                <w:szCs w:val="18"/>
              </w:rPr>
              <w:t>Product Governance Counterparty</w:t>
            </w:r>
          </w:p>
          <w:p w:rsidR="00E56D5A" w:rsidRPr="00E02972" w:rsidRDefault="00E56D5A" w:rsidP="00F44B85">
            <w:pPr>
              <w:pStyle w:val="BulletPoint1"/>
              <w:numPr>
                <w:ilvl w:val="0"/>
                <w:numId w:val="9"/>
              </w:numPr>
              <w:tabs>
                <w:tab w:val="clear" w:pos="684"/>
              </w:tabs>
              <w:jc w:val="both"/>
              <w:rPr>
                <w:rFonts w:cs="Arial"/>
                <w:sz w:val="16"/>
                <w:szCs w:val="18"/>
              </w:rPr>
            </w:pPr>
            <w:r w:rsidRPr="00E02972">
              <w:rPr>
                <w:rFonts w:cs="Arial"/>
                <w:sz w:val="16"/>
                <w:szCs w:val="18"/>
              </w:rPr>
              <w:t>Consider impact and need for written manufacturing and distribution agreements</w:t>
            </w:r>
            <w:r w:rsidR="00901AA5" w:rsidRPr="00E02972">
              <w:rPr>
                <w:rFonts w:cs="Arial"/>
                <w:sz w:val="16"/>
                <w:szCs w:val="18"/>
              </w:rPr>
              <w:t xml:space="preserve"> (or </w:t>
            </w:r>
            <w:r w:rsidR="008269C8" w:rsidRPr="00E02972">
              <w:rPr>
                <w:rFonts w:cs="Arial"/>
                <w:sz w:val="16"/>
                <w:szCs w:val="18"/>
              </w:rPr>
              <w:t>joint manufacturing agreements)</w:t>
            </w:r>
            <w:r w:rsidRPr="00E02972">
              <w:rPr>
                <w:rFonts w:cs="Arial"/>
                <w:sz w:val="16"/>
                <w:szCs w:val="18"/>
              </w:rPr>
              <w:t xml:space="preserve"> setting out:</w:t>
            </w:r>
          </w:p>
          <w:p w:rsidR="00E56D5A" w:rsidRPr="00E02972" w:rsidRDefault="00E56D5A" w:rsidP="00F44B85">
            <w:pPr>
              <w:pStyle w:val="BulletPoint1"/>
              <w:numPr>
                <w:ilvl w:val="0"/>
                <w:numId w:val="9"/>
              </w:numPr>
              <w:tabs>
                <w:tab w:val="clear" w:pos="684"/>
              </w:tabs>
              <w:ind w:left="720"/>
              <w:jc w:val="both"/>
              <w:rPr>
                <w:rFonts w:cs="Arial"/>
                <w:sz w:val="16"/>
                <w:szCs w:val="18"/>
              </w:rPr>
            </w:pPr>
            <w:r w:rsidRPr="00E02972">
              <w:rPr>
                <w:rFonts w:cs="Arial"/>
                <w:sz w:val="16"/>
                <w:szCs w:val="18"/>
              </w:rPr>
              <w:t>Obligations and responsibilities;</w:t>
            </w:r>
          </w:p>
          <w:p w:rsidR="00E56D5A" w:rsidRPr="00E02972" w:rsidRDefault="00E56D5A" w:rsidP="00F44B85">
            <w:pPr>
              <w:pStyle w:val="BulletPoint1"/>
              <w:numPr>
                <w:ilvl w:val="0"/>
                <w:numId w:val="9"/>
              </w:numPr>
              <w:tabs>
                <w:tab w:val="clear" w:pos="684"/>
              </w:tabs>
              <w:ind w:left="720"/>
              <w:jc w:val="both"/>
              <w:rPr>
                <w:rFonts w:cs="Arial"/>
                <w:sz w:val="16"/>
                <w:szCs w:val="18"/>
              </w:rPr>
            </w:pPr>
            <w:r w:rsidRPr="00E02972">
              <w:rPr>
                <w:rFonts w:cs="Arial"/>
                <w:sz w:val="16"/>
                <w:szCs w:val="18"/>
              </w:rPr>
              <w:t>Identifying negative and positive target market;</w:t>
            </w:r>
          </w:p>
          <w:p w:rsidR="00E56D5A" w:rsidRPr="00E02972" w:rsidRDefault="00E56D5A" w:rsidP="00F44B85">
            <w:pPr>
              <w:pStyle w:val="BulletPoint1"/>
              <w:numPr>
                <w:ilvl w:val="0"/>
                <w:numId w:val="9"/>
              </w:numPr>
              <w:tabs>
                <w:tab w:val="clear" w:pos="684"/>
              </w:tabs>
              <w:ind w:left="720"/>
              <w:jc w:val="both"/>
              <w:rPr>
                <w:rFonts w:cs="Arial"/>
                <w:sz w:val="16"/>
                <w:szCs w:val="18"/>
              </w:rPr>
            </w:pPr>
            <w:r w:rsidRPr="00E02972">
              <w:rPr>
                <w:rFonts w:cs="Arial"/>
                <w:sz w:val="16"/>
                <w:szCs w:val="18"/>
              </w:rPr>
              <w:t>Reporting responsibilities between parties;</w:t>
            </w:r>
          </w:p>
          <w:p w:rsidR="00E56D5A" w:rsidRPr="00E02972" w:rsidRDefault="00E56D5A" w:rsidP="00F44B85">
            <w:pPr>
              <w:pStyle w:val="BulletPoint1"/>
              <w:numPr>
                <w:ilvl w:val="0"/>
                <w:numId w:val="9"/>
              </w:numPr>
              <w:tabs>
                <w:tab w:val="clear" w:pos="684"/>
              </w:tabs>
              <w:ind w:left="720"/>
              <w:jc w:val="both"/>
              <w:rPr>
                <w:rFonts w:cs="Arial"/>
                <w:sz w:val="16"/>
                <w:szCs w:val="18"/>
              </w:rPr>
            </w:pPr>
            <w:r w:rsidRPr="00E02972">
              <w:rPr>
                <w:rFonts w:cs="Arial"/>
                <w:sz w:val="16"/>
                <w:szCs w:val="18"/>
              </w:rPr>
              <w:t>Distribution strategy;</w:t>
            </w:r>
          </w:p>
          <w:p w:rsidR="00E56D5A" w:rsidRPr="00E02972" w:rsidRDefault="00E56D5A" w:rsidP="00F44B85">
            <w:pPr>
              <w:pStyle w:val="BulletPoint1"/>
              <w:numPr>
                <w:ilvl w:val="0"/>
                <w:numId w:val="9"/>
              </w:numPr>
              <w:tabs>
                <w:tab w:val="clear" w:pos="684"/>
              </w:tabs>
              <w:ind w:left="720"/>
              <w:jc w:val="both"/>
              <w:rPr>
                <w:rFonts w:cs="Arial"/>
                <w:sz w:val="16"/>
                <w:szCs w:val="18"/>
              </w:rPr>
            </w:pPr>
            <w:r w:rsidRPr="00E02972">
              <w:rPr>
                <w:rFonts w:cs="Arial"/>
                <w:sz w:val="16"/>
                <w:szCs w:val="18"/>
              </w:rPr>
              <w:t>Dealing with complaints, process if products being sold outside of target ma</w:t>
            </w:r>
            <w:r w:rsidR="00901AA5" w:rsidRPr="00E02972">
              <w:rPr>
                <w:rFonts w:cs="Arial"/>
                <w:sz w:val="16"/>
                <w:szCs w:val="18"/>
              </w:rPr>
              <w:t>r</w:t>
            </w:r>
            <w:r w:rsidRPr="00E02972">
              <w:rPr>
                <w:rFonts w:cs="Arial"/>
                <w:sz w:val="16"/>
                <w:szCs w:val="18"/>
              </w:rPr>
              <w:t>ket.</w:t>
            </w:r>
          </w:p>
          <w:p w:rsidR="00E56D5A" w:rsidRPr="00E02972" w:rsidRDefault="00E56D5A" w:rsidP="00F44B85">
            <w:pPr>
              <w:pStyle w:val="BulletPoint1"/>
              <w:numPr>
                <w:ilvl w:val="0"/>
                <w:numId w:val="9"/>
              </w:numPr>
              <w:tabs>
                <w:tab w:val="clear" w:pos="684"/>
              </w:tabs>
              <w:jc w:val="both"/>
              <w:rPr>
                <w:rFonts w:cs="Arial"/>
                <w:sz w:val="16"/>
                <w:szCs w:val="18"/>
              </w:rPr>
            </w:pPr>
            <w:r w:rsidRPr="00E02972">
              <w:rPr>
                <w:rFonts w:cs="Arial"/>
                <w:sz w:val="16"/>
                <w:szCs w:val="18"/>
              </w:rPr>
              <w:t xml:space="preserve">Monitor for industry body standard manufacturing and distribution agreements. </w:t>
            </w:r>
          </w:p>
          <w:p w:rsidR="00C34432" w:rsidRPr="00E02972" w:rsidRDefault="00C34432" w:rsidP="00F44B85">
            <w:pPr>
              <w:pStyle w:val="BulletPoint1"/>
              <w:numPr>
                <w:ilvl w:val="0"/>
                <w:numId w:val="9"/>
              </w:numPr>
              <w:tabs>
                <w:tab w:val="clear" w:pos="684"/>
              </w:tabs>
              <w:jc w:val="both"/>
              <w:rPr>
                <w:rFonts w:cs="Arial"/>
                <w:i/>
                <w:sz w:val="16"/>
                <w:szCs w:val="18"/>
              </w:rPr>
            </w:pPr>
            <w:r w:rsidRPr="00E02972">
              <w:rPr>
                <w:rFonts w:cs="Arial"/>
                <w:i/>
                <w:sz w:val="16"/>
                <w:szCs w:val="18"/>
              </w:rPr>
              <w:t xml:space="preserve">Target Market </w:t>
            </w:r>
            <w:r w:rsidR="00E56D5A" w:rsidRPr="00E02972">
              <w:rPr>
                <w:rFonts w:cs="Arial"/>
                <w:i/>
                <w:sz w:val="16"/>
                <w:szCs w:val="18"/>
              </w:rPr>
              <w:t xml:space="preserve">end-client </w:t>
            </w:r>
            <w:r w:rsidRPr="00E02972">
              <w:rPr>
                <w:rFonts w:cs="Arial"/>
                <w:i/>
                <w:sz w:val="16"/>
                <w:szCs w:val="18"/>
              </w:rPr>
              <w:t>Documentation</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Review any existing target client due diligence questionnaires for existing products being manufactured and distributed to ensure they meet requirements under MiFID2.</w:t>
            </w:r>
          </w:p>
          <w:p w:rsidR="00C34432" w:rsidRPr="00E02972" w:rsidRDefault="00C34432" w:rsidP="00F44B85">
            <w:pPr>
              <w:pStyle w:val="BulletPoint1"/>
              <w:numPr>
                <w:ilvl w:val="0"/>
                <w:numId w:val="9"/>
              </w:numPr>
              <w:tabs>
                <w:tab w:val="clear" w:pos="684"/>
              </w:tabs>
              <w:jc w:val="both"/>
              <w:rPr>
                <w:rFonts w:cs="Arial"/>
                <w:sz w:val="16"/>
                <w:szCs w:val="18"/>
              </w:rPr>
            </w:pPr>
            <w:r w:rsidRPr="00E02972">
              <w:rPr>
                <w:rFonts w:cs="Arial"/>
                <w:sz w:val="16"/>
                <w:szCs w:val="18"/>
              </w:rPr>
              <w:t>Consider</w:t>
            </w:r>
            <w:r w:rsidRPr="00E02972">
              <w:rPr>
                <w:rFonts w:cs="Arial"/>
                <w:bCs/>
                <w:sz w:val="16"/>
                <w:szCs w:val="18"/>
              </w:rPr>
              <w:t xml:space="preserve"> the need to prepare </w:t>
            </w:r>
            <w:r w:rsidRPr="00E02972">
              <w:rPr>
                <w:rFonts w:cs="Arial"/>
                <w:sz w:val="16"/>
                <w:szCs w:val="18"/>
              </w:rPr>
              <w:t>client due diligence questionnaires for relevant target clients for new products or existing products (to the extent not already in place).</w:t>
            </w:r>
          </w:p>
          <w:p w:rsidR="00C34432" w:rsidRPr="00E02972" w:rsidRDefault="00C34432" w:rsidP="00F44B85">
            <w:pPr>
              <w:pStyle w:val="BulletPoint1"/>
              <w:numPr>
                <w:ilvl w:val="0"/>
                <w:numId w:val="9"/>
              </w:numPr>
              <w:tabs>
                <w:tab w:val="clear" w:pos="684"/>
              </w:tabs>
              <w:jc w:val="both"/>
              <w:rPr>
                <w:rFonts w:cs="Arial"/>
                <w:sz w:val="16"/>
                <w:szCs w:val="18"/>
              </w:rPr>
            </w:pPr>
            <w:r w:rsidRPr="00E02972">
              <w:rPr>
                <w:rFonts w:cs="Arial"/>
                <w:sz w:val="16"/>
                <w:szCs w:val="18"/>
              </w:rPr>
              <w:t>Incorporate or ensure pro</w:t>
            </w:r>
            <w:r w:rsidR="00F9584C" w:rsidRPr="00E02972">
              <w:rPr>
                <w:rFonts w:cs="Arial"/>
                <w:sz w:val="16"/>
                <w:szCs w:val="18"/>
              </w:rPr>
              <w:t>cess is in place to incorporate</w:t>
            </w:r>
            <w:r w:rsidRPr="00E02972">
              <w:rPr>
                <w:rFonts w:cs="Arial"/>
                <w:sz w:val="16"/>
                <w:szCs w:val="18"/>
              </w:rPr>
              <w:t xml:space="preserve"> risk warnings, costs and charges disclosures to be included in client agreements, prospectuses or other product information documents, to be communicated to distributors.</w:t>
            </w:r>
          </w:p>
          <w:p w:rsidR="00032535" w:rsidRPr="00E02972" w:rsidRDefault="00032535" w:rsidP="00F44B85">
            <w:pPr>
              <w:pStyle w:val="ssPara1"/>
              <w:spacing w:before="240"/>
              <w:rPr>
                <w:rFonts w:eastAsia="Times New Roman" w:cs="Arial"/>
                <w:sz w:val="16"/>
                <w:szCs w:val="18"/>
              </w:rPr>
            </w:pPr>
          </w:p>
          <w:p w:rsidR="00032535" w:rsidRPr="00E02972" w:rsidRDefault="00032535" w:rsidP="00F44B85">
            <w:pPr>
              <w:pStyle w:val="ssPara1"/>
              <w:spacing w:before="240"/>
              <w:rPr>
                <w:rFonts w:eastAsia="Times New Roman" w:cs="Arial"/>
                <w:sz w:val="16"/>
                <w:szCs w:val="18"/>
              </w:rPr>
            </w:pPr>
          </w:p>
        </w:tc>
        <w:tc>
          <w:tcPr>
            <w:tcW w:w="625" w:type="pct"/>
            <w:tcBorders>
              <w:top w:val="single" w:sz="4" w:space="0" w:color="auto"/>
              <w:left w:val="single" w:sz="4" w:space="0" w:color="auto"/>
              <w:bottom w:val="single" w:sz="4" w:space="0" w:color="auto"/>
              <w:right w:val="single" w:sz="4" w:space="0" w:color="auto"/>
            </w:tcBorders>
          </w:tcPr>
          <w:p w:rsidR="00C34432" w:rsidRPr="00E02972" w:rsidRDefault="00C34432" w:rsidP="00C34432">
            <w:pPr>
              <w:spacing w:before="240" w:after="260"/>
              <w:jc w:val="left"/>
              <w:rPr>
                <w:rFonts w:eastAsia="Times New Roman" w:cs="Arial"/>
                <w:i/>
                <w:sz w:val="16"/>
                <w:szCs w:val="18"/>
              </w:rPr>
            </w:pPr>
            <w:r w:rsidRPr="00E02972">
              <w:rPr>
                <w:rFonts w:eastAsia="Times New Roman" w:cs="Arial"/>
                <w:i/>
                <w:sz w:val="16"/>
                <w:szCs w:val="18"/>
              </w:rPr>
              <w:t>Product Governance Counterparty</w:t>
            </w:r>
          </w:p>
          <w:p w:rsidR="00C87704" w:rsidRPr="00E02972" w:rsidRDefault="00C87704" w:rsidP="00D925E0">
            <w:pPr>
              <w:numPr>
                <w:ilvl w:val="0"/>
                <w:numId w:val="25"/>
              </w:numPr>
              <w:spacing w:before="240" w:after="260"/>
              <w:jc w:val="left"/>
              <w:rPr>
                <w:rFonts w:eastAsia="Times New Roman" w:cs="Arial"/>
                <w:sz w:val="16"/>
                <w:szCs w:val="18"/>
              </w:rPr>
            </w:pPr>
            <w:r w:rsidRPr="00E02972">
              <w:rPr>
                <w:rFonts w:eastAsia="Times New Roman" w:cs="Arial"/>
                <w:sz w:val="16"/>
                <w:szCs w:val="18"/>
              </w:rPr>
              <w:t>Manufacturing Agreements (with EU and non-EU counterparties)</w:t>
            </w:r>
          </w:p>
          <w:p w:rsidR="00C87704" w:rsidRPr="00E02972" w:rsidRDefault="00C87704" w:rsidP="00D925E0">
            <w:pPr>
              <w:numPr>
                <w:ilvl w:val="0"/>
                <w:numId w:val="25"/>
              </w:numPr>
              <w:spacing w:before="240" w:after="260"/>
              <w:jc w:val="left"/>
              <w:rPr>
                <w:rFonts w:eastAsia="Times New Roman" w:cs="Arial"/>
                <w:sz w:val="16"/>
                <w:szCs w:val="18"/>
              </w:rPr>
            </w:pPr>
            <w:r w:rsidRPr="00E02972">
              <w:rPr>
                <w:rFonts w:eastAsia="Times New Roman" w:cs="Arial"/>
                <w:sz w:val="16"/>
                <w:szCs w:val="18"/>
              </w:rPr>
              <w:t xml:space="preserve">Co- </w:t>
            </w:r>
            <w:r w:rsidR="00901AA5" w:rsidRPr="00E02972">
              <w:rPr>
                <w:rFonts w:eastAsia="Times New Roman" w:cs="Arial"/>
                <w:sz w:val="16"/>
                <w:szCs w:val="18"/>
              </w:rPr>
              <w:t>manufacturing</w:t>
            </w:r>
            <w:r w:rsidR="00F9584C" w:rsidRPr="00E02972">
              <w:rPr>
                <w:rFonts w:eastAsia="Times New Roman" w:cs="Arial"/>
                <w:sz w:val="16"/>
                <w:szCs w:val="18"/>
              </w:rPr>
              <w:t xml:space="preserve"> agreements</w:t>
            </w:r>
            <w:r w:rsidRPr="00E02972">
              <w:rPr>
                <w:rFonts w:eastAsia="Times New Roman" w:cs="Arial"/>
                <w:sz w:val="16"/>
                <w:szCs w:val="18"/>
              </w:rPr>
              <w:t>.</w:t>
            </w:r>
          </w:p>
          <w:p w:rsidR="00E56D5A" w:rsidRPr="00E02972" w:rsidRDefault="00E56D5A" w:rsidP="00E56D5A">
            <w:pPr>
              <w:spacing w:before="240" w:after="260"/>
              <w:jc w:val="left"/>
              <w:rPr>
                <w:rFonts w:eastAsia="Times New Roman" w:cs="Arial"/>
                <w:i/>
                <w:sz w:val="16"/>
                <w:szCs w:val="18"/>
              </w:rPr>
            </w:pPr>
            <w:r w:rsidRPr="00E02972">
              <w:rPr>
                <w:rFonts w:eastAsia="Times New Roman" w:cs="Arial"/>
                <w:i/>
                <w:sz w:val="16"/>
                <w:szCs w:val="18"/>
              </w:rPr>
              <w:t>Target Market</w:t>
            </w:r>
          </w:p>
          <w:p w:rsidR="00C87704" w:rsidRPr="00E02972" w:rsidRDefault="00C87704" w:rsidP="00D925E0">
            <w:pPr>
              <w:numPr>
                <w:ilvl w:val="0"/>
                <w:numId w:val="25"/>
              </w:numPr>
              <w:spacing w:before="240" w:after="260"/>
              <w:jc w:val="left"/>
              <w:rPr>
                <w:rFonts w:eastAsia="Times New Roman" w:cs="Arial"/>
                <w:sz w:val="16"/>
                <w:szCs w:val="18"/>
              </w:rPr>
            </w:pPr>
            <w:r w:rsidRPr="00E02972">
              <w:rPr>
                <w:rFonts w:eastAsia="Times New Roman" w:cs="Arial"/>
                <w:sz w:val="16"/>
                <w:szCs w:val="18"/>
              </w:rPr>
              <w:t>Target Market</w:t>
            </w:r>
            <w:r w:rsidR="00C34432" w:rsidRPr="00E02972">
              <w:rPr>
                <w:rFonts w:eastAsia="Times New Roman" w:cs="Arial"/>
                <w:sz w:val="16"/>
                <w:szCs w:val="18"/>
              </w:rPr>
              <w:t xml:space="preserve"> d</w:t>
            </w:r>
            <w:r w:rsidRPr="00E02972">
              <w:rPr>
                <w:rFonts w:eastAsia="Times New Roman" w:cs="Arial"/>
                <w:sz w:val="16"/>
                <w:szCs w:val="18"/>
              </w:rPr>
              <w:t xml:space="preserve">ue diligence questionnaires. </w:t>
            </w:r>
          </w:p>
          <w:p w:rsidR="00C34432" w:rsidRPr="00E02972" w:rsidRDefault="00C34432" w:rsidP="00D925E0">
            <w:pPr>
              <w:numPr>
                <w:ilvl w:val="0"/>
                <w:numId w:val="25"/>
              </w:numPr>
              <w:spacing w:before="240" w:after="260"/>
              <w:jc w:val="left"/>
              <w:rPr>
                <w:rFonts w:eastAsia="Times New Roman" w:cs="Arial"/>
                <w:sz w:val="16"/>
                <w:szCs w:val="18"/>
              </w:rPr>
            </w:pPr>
            <w:r w:rsidRPr="00E02972">
              <w:rPr>
                <w:rFonts w:eastAsia="Times New Roman" w:cs="Arial"/>
                <w:sz w:val="16"/>
                <w:szCs w:val="18"/>
              </w:rPr>
              <w:t>End client terms</w:t>
            </w:r>
            <w:r w:rsidR="00E56D5A" w:rsidRPr="00E02972">
              <w:rPr>
                <w:rFonts w:eastAsia="Times New Roman" w:cs="Arial"/>
                <w:sz w:val="16"/>
                <w:szCs w:val="18"/>
              </w:rPr>
              <w:t xml:space="preserve"> of business- incorporate risk warnings, costs disclosures. </w:t>
            </w:r>
          </w:p>
          <w:p w:rsidR="00C87704" w:rsidRPr="00E02972" w:rsidRDefault="00C87704" w:rsidP="00D925E0">
            <w:pPr>
              <w:numPr>
                <w:ilvl w:val="0"/>
                <w:numId w:val="25"/>
              </w:numPr>
              <w:spacing w:before="240" w:after="260"/>
              <w:jc w:val="left"/>
              <w:rPr>
                <w:rFonts w:eastAsia="Times New Roman" w:cs="Arial"/>
                <w:sz w:val="16"/>
                <w:szCs w:val="18"/>
              </w:rPr>
            </w:pPr>
            <w:r w:rsidRPr="00E02972">
              <w:rPr>
                <w:rFonts w:eastAsia="Times New Roman" w:cs="Arial"/>
                <w:sz w:val="16"/>
                <w:szCs w:val="18"/>
              </w:rPr>
              <w:t>Prospectus.</w:t>
            </w:r>
          </w:p>
          <w:p w:rsidR="00C87704" w:rsidRPr="00E02972" w:rsidRDefault="00C87704" w:rsidP="00D925E0">
            <w:pPr>
              <w:numPr>
                <w:ilvl w:val="0"/>
                <w:numId w:val="25"/>
              </w:numPr>
              <w:spacing w:before="240" w:after="260"/>
              <w:jc w:val="left"/>
              <w:rPr>
                <w:rFonts w:eastAsia="Times New Roman" w:cs="Arial"/>
                <w:sz w:val="16"/>
                <w:szCs w:val="18"/>
              </w:rPr>
            </w:pPr>
            <w:r w:rsidRPr="00E02972">
              <w:rPr>
                <w:rFonts w:eastAsia="Times New Roman" w:cs="Arial"/>
                <w:sz w:val="16"/>
                <w:szCs w:val="18"/>
              </w:rPr>
              <w:t xml:space="preserve">Key information documents. </w:t>
            </w:r>
          </w:p>
          <w:p w:rsidR="0000353D" w:rsidRPr="00E02972" w:rsidRDefault="0000353D" w:rsidP="00D925E0">
            <w:pPr>
              <w:numPr>
                <w:ilvl w:val="0"/>
                <w:numId w:val="25"/>
              </w:numPr>
              <w:spacing w:before="240" w:after="260"/>
              <w:jc w:val="left"/>
              <w:rPr>
                <w:rFonts w:eastAsia="Times New Roman" w:cs="Arial"/>
                <w:sz w:val="16"/>
                <w:szCs w:val="18"/>
              </w:rPr>
            </w:pPr>
            <w:r w:rsidRPr="00E02972">
              <w:rPr>
                <w:rFonts w:eastAsia="Times New Roman" w:cs="Arial"/>
                <w:sz w:val="16"/>
                <w:szCs w:val="18"/>
              </w:rPr>
              <w:t>Marketing communications.</w:t>
            </w:r>
          </w:p>
        </w:tc>
        <w:tc>
          <w:tcPr>
            <w:tcW w:w="416" w:type="pct"/>
            <w:tcBorders>
              <w:top w:val="single" w:sz="4" w:space="0" w:color="auto"/>
              <w:left w:val="single" w:sz="4" w:space="0" w:color="auto"/>
              <w:bottom w:val="single" w:sz="4" w:space="0" w:color="auto"/>
              <w:right w:val="single" w:sz="4" w:space="0" w:color="auto"/>
            </w:tcBorders>
          </w:tcPr>
          <w:p w:rsidR="00032535" w:rsidRPr="00E02972" w:rsidRDefault="00032535" w:rsidP="00F44B85">
            <w:pPr>
              <w:spacing w:before="240" w:after="260"/>
              <w:rPr>
                <w:rFonts w:eastAsia="Times New Roman" w:cs="Arial"/>
                <w:bCs/>
                <w:sz w:val="16"/>
                <w:szCs w:val="18"/>
              </w:rPr>
            </w:pPr>
            <w:r w:rsidRPr="00E02972">
              <w:rPr>
                <w:rFonts w:eastAsia="Times New Roman" w:cs="Arial"/>
                <w:sz w:val="16"/>
                <w:szCs w:val="18"/>
              </w:rPr>
              <w:t>No express prior consent requirements but information about products and appropriate risk warnings to be given in advance of product being sold to target client.</w:t>
            </w:r>
          </w:p>
        </w:tc>
      </w:tr>
      <w:tr w:rsidR="00032535" w:rsidRPr="00E02972" w:rsidTr="00F44B85">
        <w:tc>
          <w:tcPr>
            <w:tcW w:w="455" w:type="pct"/>
            <w:tcBorders>
              <w:top w:val="single" w:sz="4" w:space="0" w:color="auto"/>
              <w:left w:val="single" w:sz="4" w:space="0" w:color="auto"/>
              <w:bottom w:val="single" w:sz="4" w:space="0" w:color="auto"/>
              <w:right w:val="single" w:sz="4" w:space="0" w:color="auto"/>
            </w:tcBorders>
            <w:shd w:val="clear" w:color="auto" w:fill="69889A"/>
          </w:tcPr>
          <w:p w:rsidR="00032535" w:rsidRPr="00E02972" w:rsidRDefault="00032535" w:rsidP="002F6988">
            <w:pPr>
              <w:spacing w:before="120" w:after="120"/>
              <w:jc w:val="left"/>
              <w:rPr>
                <w:rFonts w:eastAsia="Times New Roman" w:cs="Arial"/>
                <w:b/>
                <w:bCs/>
                <w:color w:val="FFFFFF" w:themeColor="background1"/>
                <w:sz w:val="16"/>
                <w:szCs w:val="18"/>
                <w:lang w:eastAsia="en-GB"/>
              </w:rPr>
            </w:pPr>
            <w:r w:rsidRPr="00E02972">
              <w:rPr>
                <w:rFonts w:eastAsia="Times New Roman" w:cs="Arial"/>
                <w:b/>
                <w:bCs/>
                <w:color w:val="FFFFFF" w:themeColor="background1"/>
                <w:sz w:val="16"/>
                <w:szCs w:val="18"/>
                <w:lang w:eastAsia="en-GB"/>
              </w:rPr>
              <w:t>PRODUCT GOVERNANCE –DISTRIBUTORS</w:t>
            </w:r>
          </w:p>
        </w:tc>
        <w:tc>
          <w:tcPr>
            <w:tcW w:w="374" w:type="pct"/>
            <w:tcBorders>
              <w:top w:val="single" w:sz="4" w:space="0" w:color="auto"/>
              <w:left w:val="single" w:sz="4" w:space="0" w:color="auto"/>
              <w:bottom w:val="single" w:sz="4" w:space="0" w:color="auto"/>
              <w:right w:val="single" w:sz="4" w:space="0" w:color="auto"/>
            </w:tcBorders>
          </w:tcPr>
          <w:p w:rsidR="00901AA5" w:rsidRPr="00E02972" w:rsidRDefault="006C2CF1" w:rsidP="00901AA5">
            <w:pPr>
              <w:spacing w:before="120" w:after="120"/>
              <w:jc w:val="left"/>
              <w:rPr>
                <w:rFonts w:eastAsia="Times New Roman" w:cs="Arial"/>
                <w:sz w:val="16"/>
                <w:szCs w:val="18"/>
                <w:lang w:val="de-DE"/>
              </w:rPr>
            </w:pPr>
            <w:hyperlink r:id="rId18" w:history="1">
              <w:r w:rsidR="00901AA5" w:rsidRPr="00E02972">
                <w:rPr>
                  <w:rStyle w:val="Hyperlink"/>
                  <w:rFonts w:cs="Arial"/>
                  <w:sz w:val="16"/>
                  <w:szCs w:val="18"/>
                  <w:lang w:val="de-DE"/>
                </w:rPr>
                <w:t>D</w:t>
              </w:r>
            </w:hyperlink>
            <w:r w:rsidR="00901AA5" w:rsidRPr="00E02972">
              <w:rPr>
                <w:rFonts w:cs="Arial"/>
                <w:sz w:val="16"/>
                <w:szCs w:val="18"/>
                <w:lang w:val="de-DE"/>
              </w:rPr>
              <w:t xml:space="preserve"> </w:t>
            </w:r>
            <w:r w:rsidR="00901AA5" w:rsidRPr="00E02972">
              <w:rPr>
                <w:rFonts w:eastAsia="Times New Roman" w:cs="Arial"/>
                <w:sz w:val="16"/>
                <w:szCs w:val="18"/>
                <w:lang w:val="de-DE"/>
              </w:rPr>
              <w:t xml:space="preserve"> Art 24 (2), Art 16(3) </w:t>
            </w:r>
          </w:p>
          <w:p w:rsidR="00901AA5" w:rsidRPr="00E02972" w:rsidRDefault="00901AA5" w:rsidP="00901AA5">
            <w:pPr>
              <w:spacing w:before="120" w:after="120"/>
              <w:jc w:val="left"/>
              <w:rPr>
                <w:rFonts w:cs="Arial"/>
                <w:sz w:val="16"/>
                <w:szCs w:val="18"/>
                <w:lang w:val="de-DE"/>
              </w:rPr>
            </w:pPr>
            <w:r w:rsidRPr="00E02972">
              <w:rPr>
                <w:rFonts w:cs="Arial"/>
                <w:sz w:val="16"/>
                <w:szCs w:val="18"/>
                <w:lang w:val="de-DE"/>
              </w:rPr>
              <w:t>L2: (</w:t>
            </w:r>
            <w:hyperlink r:id="rId19" w:history="1">
              <w:hyperlink r:id="rId20" w:history="1">
                <w:r w:rsidRPr="00E02972">
                  <w:rPr>
                    <w:rStyle w:val="Hyperlink"/>
                    <w:rFonts w:cs="Arial"/>
                    <w:color w:val="auto"/>
                    <w:sz w:val="16"/>
                    <w:szCs w:val="18"/>
                    <w:lang w:val="de-DE"/>
                  </w:rPr>
                  <w:t>CP1</w:t>
                </w:r>
              </w:hyperlink>
            </w:hyperlink>
            <w:r w:rsidRPr="00E02972">
              <w:rPr>
                <w:rFonts w:cs="Arial"/>
                <w:b/>
                <w:sz w:val="16"/>
                <w:szCs w:val="18"/>
                <w:lang w:val="de-DE"/>
              </w:rPr>
              <w:t xml:space="preserve">, </w:t>
            </w:r>
            <w:hyperlink r:id="rId21" w:history="1">
              <w:r w:rsidRPr="00E02972">
                <w:rPr>
                  <w:rStyle w:val="Hyperlink"/>
                  <w:rFonts w:cs="Arial"/>
                  <w:color w:val="auto"/>
                  <w:sz w:val="16"/>
                  <w:szCs w:val="18"/>
                  <w:lang w:val="de-DE"/>
                </w:rPr>
                <w:t>FR</w:t>
              </w:r>
            </w:hyperlink>
            <w:r w:rsidRPr="00E02972">
              <w:rPr>
                <w:rFonts w:cs="Arial"/>
                <w:sz w:val="16"/>
                <w:szCs w:val="18"/>
                <w:lang w:val="de-DE"/>
              </w:rPr>
              <w:t>)</w:t>
            </w:r>
          </w:p>
          <w:p w:rsidR="00901AA5" w:rsidRPr="00E02972" w:rsidRDefault="006C2CF1" w:rsidP="00D925E0">
            <w:pPr>
              <w:pStyle w:val="ListParagraph"/>
              <w:numPr>
                <w:ilvl w:val="0"/>
                <w:numId w:val="26"/>
              </w:numPr>
              <w:spacing w:before="120" w:after="120" w:line="240" w:lineRule="auto"/>
              <w:rPr>
                <w:rStyle w:val="Hyperlink"/>
                <w:rFonts w:ascii="Arial" w:hAnsi="Arial" w:cs="Arial"/>
                <w:b/>
                <w:color w:val="0000FF"/>
                <w:sz w:val="16"/>
                <w:szCs w:val="18"/>
                <w:lang w:val="de-DE"/>
              </w:rPr>
            </w:pPr>
            <w:hyperlink r:id="rId22" w:history="1">
              <w:r w:rsidR="00901AA5" w:rsidRPr="00E02972">
                <w:rPr>
                  <w:rStyle w:val="Hyperlink"/>
                  <w:rFonts w:ascii="Arial" w:hAnsi="Arial" w:cs="Arial"/>
                  <w:color w:val="0000FF"/>
                  <w:sz w:val="16"/>
                  <w:szCs w:val="18"/>
                </w:rPr>
                <w:t>DA1</w:t>
              </w:r>
            </w:hyperlink>
            <w:r w:rsidR="00901AA5" w:rsidRPr="00E02972">
              <w:rPr>
                <w:rStyle w:val="Hyperlink"/>
                <w:rFonts w:ascii="Arial" w:hAnsi="Arial" w:cs="Arial"/>
                <w:b/>
                <w:color w:val="0000FF"/>
                <w:sz w:val="16"/>
                <w:szCs w:val="18"/>
                <w:lang w:val="de-DE"/>
              </w:rPr>
              <w:t xml:space="preserve"> (Art 9)</w:t>
            </w:r>
          </w:p>
          <w:p w:rsidR="00901AA5" w:rsidRPr="00E02972" w:rsidRDefault="00901AA5" w:rsidP="00901AA5">
            <w:pPr>
              <w:spacing w:before="120" w:after="120"/>
              <w:jc w:val="left"/>
              <w:rPr>
                <w:rStyle w:val="Hyperlink"/>
                <w:rFonts w:eastAsia="Times New Roman" w:cs="Arial"/>
                <w:color w:val="auto"/>
                <w:sz w:val="16"/>
                <w:szCs w:val="18"/>
                <w:u w:val="none"/>
              </w:rPr>
            </w:pPr>
            <w:r w:rsidRPr="00E02972">
              <w:rPr>
                <w:rStyle w:val="Hyperlink"/>
                <w:rFonts w:eastAsia="Times New Roman" w:cs="Arial"/>
                <w:color w:val="auto"/>
                <w:sz w:val="16"/>
                <w:szCs w:val="18"/>
                <w:u w:val="none"/>
              </w:rPr>
              <w:t xml:space="preserve">L3: </w:t>
            </w:r>
          </w:p>
          <w:p w:rsidR="00901AA5" w:rsidRPr="00E02972" w:rsidRDefault="006C2CF1" w:rsidP="00D925E0">
            <w:pPr>
              <w:pStyle w:val="ListParagraph"/>
              <w:numPr>
                <w:ilvl w:val="0"/>
                <w:numId w:val="26"/>
              </w:numPr>
              <w:spacing w:before="120" w:after="120" w:line="240" w:lineRule="auto"/>
              <w:rPr>
                <w:rFonts w:ascii="Arial" w:hAnsi="Arial" w:cs="Arial"/>
                <w:b/>
                <w:sz w:val="16"/>
                <w:szCs w:val="18"/>
              </w:rPr>
            </w:pPr>
            <w:hyperlink r:id="rId23" w:history="1">
              <w:r w:rsidR="00901AA5" w:rsidRPr="00E02972">
                <w:rPr>
                  <w:rStyle w:val="Hyperlink"/>
                  <w:rFonts w:ascii="Arial" w:eastAsia="Times New Roman" w:hAnsi="Arial" w:cs="Arial"/>
                  <w:color w:val="0000FF"/>
                  <w:sz w:val="16"/>
                  <w:szCs w:val="18"/>
                </w:rPr>
                <w:t>CP10</w:t>
              </w:r>
            </w:hyperlink>
            <w:r w:rsidR="00901AA5" w:rsidRPr="00E02972">
              <w:rPr>
                <w:rStyle w:val="Hyperlink"/>
                <w:rFonts w:ascii="Arial" w:eastAsia="Times New Roman" w:hAnsi="Arial" w:cs="Arial"/>
                <w:color w:val="0000FF"/>
                <w:sz w:val="16"/>
                <w:szCs w:val="18"/>
              </w:rPr>
              <w:t xml:space="preserve"> (ESMA Draft Guidelines on Product Governance)</w:t>
            </w:r>
            <w:r w:rsidR="00901AA5" w:rsidRPr="00E02972">
              <w:rPr>
                <w:rStyle w:val="Hyperlink"/>
                <w:rFonts w:ascii="Arial" w:eastAsia="Times New Roman" w:hAnsi="Arial" w:cs="Arial"/>
                <w:sz w:val="16"/>
                <w:szCs w:val="18"/>
              </w:rPr>
              <w:t>Final guidelines expected Q1/Q2 2017</w:t>
            </w:r>
          </w:p>
          <w:p w:rsidR="00032535" w:rsidRPr="00E02972" w:rsidRDefault="00032535" w:rsidP="00841683">
            <w:pPr>
              <w:spacing w:before="240" w:after="260"/>
              <w:jc w:val="left"/>
              <w:rPr>
                <w:rFonts w:cs="Arial"/>
                <w:sz w:val="16"/>
                <w:szCs w:val="18"/>
              </w:rPr>
            </w:pPr>
          </w:p>
        </w:tc>
        <w:tc>
          <w:tcPr>
            <w:tcW w:w="1213" w:type="pct"/>
            <w:tcBorders>
              <w:top w:val="single" w:sz="4" w:space="0" w:color="auto"/>
              <w:left w:val="single" w:sz="4" w:space="0" w:color="auto"/>
              <w:bottom w:val="single" w:sz="4" w:space="0" w:color="auto"/>
              <w:right w:val="single" w:sz="4" w:space="0" w:color="auto"/>
            </w:tcBorders>
          </w:tcPr>
          <w:p w:rsidR="00032535" w:rsidRPr="00E02972" w:rsidRDefault="00032535" w:rsidP="00F44B85">
            <w:pPr>
              <w:pStyle w:val="BodyParagraphText"/>
              <w:jc w:val="both"/>
              <w:rPr>
                <w:rFonts w:cs="Arial"/>
                <w:sz w:val="16"/>
                <w:szCs w:val="18"/>
              </w:rPr>
            </w:pPr>
            <w:r w:rsidRPr="00E02972">
              <w:rPr>
                <w:rFonts w:cs="Arial"/>
                <w:sz w:val="16"/>
                <w:szCs w:val="18"/>
              </w:rPr>
              <w:t>New product governance regime for distributors of products.</w:t>
            </w:r>
          </w:p>
          <w:p w:rsidR="00032535" w:rsidRPr="00E02972" w:rsidRDefault="00032535" w:rsidP="00F44B85">
            <w:pPr>
              <w:pStyle w:val="BodyParagraphText"/>
              <w:jc w:val="both"/>
              <w:rPr>
                <w:rFonts w:cs="Arial"/>
                <w:sz w:val="16"/>
                <w:szCs w:val="18"/>
              </w:rPr>
            </w:pPr>
            <w:r w:rsidRPr="00E02972">
              <w:rPr>
                <w:rFonts w:cs="Arial"/>
                <w:sz w:val="16"/>
                <w:szCs w:val="18"/>
              </w:rPr>
              <w:t>Firms need:</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br w:type="page"/>
              <w:t>explicit product governance arrangements in relation to the distri</w:t>
            </w:r>
            <w:r w:rsidR="00F9584C" w:rsidRPr="00E02972">
              <w:rPr>
                <w:rFonts w:cs="Arial"/>
                <w:sz w:val="16"/>
                <w:szCs w:val="18"/>
              </w:rPr>
              <w:t>bution of products and services.</w:t>
            </w:r>
          </w:p>
          <w:p w:rsidR="00F9584C"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maintained procedures and measures to ensure that products and services offered are compatible with needs and objectiv</w:t>
            </w:r>
            <w:r w:rsidR="00F9584C" w:rsidRPr="00E02972">
              <w:rPr>
                <w:rFonts w:cs="Arial"/>
                <w:sz w:val="16"/>
                <w:szCs w:val="18"/>
              </w:rPr>
              <w:t>es of target market.</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to review products regularly to assess whether the product remains consistent with the needs o</w:t>
            </w:r>
            <w:r w:rsidR="00F9584C" w:rsidRPr="00E02972">
              <w:rPr>
                <w:rFonts w:cs="Arial"/>
                <w:sz w:val="16"/>
                <w:szCs w:val="18"/>
              </w:rPr>
              <w:t>f the identified target market.</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to provide the manufacturer with all ap</w:t>
            </w:r>
            <w:r w:rsidR="007307B0" w:rsidRPr="00E02972">
              <w:rPr>
                <w:rFonts w:cs="Arial"/>
                <w:sz w:val="16"/>
                <w:szCs w:val="18"/>
              </w:rPr>
              <w:t>propriate product feedback.</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 xml:space="preserve">take steps to ensure information from manufacturer is of a reliable and adequate standard to ensure products distributed in accordance with the characteristics and objectives of the target market. </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a firm who offers or recommends a product understands the features of the product, including the identified target market.</w:t>
            </w:r>
          </w:p>
        </w:tc>
        <w:tc>
          <w:tcPr>
            <w:tcW w:w="306" w:type="pct"/>
            <w:tcBorders>
              <w:top w:val="single" w:sz="4" w:space="0" w:color="auto"/>
              <w:left w:val="single" w:sz="4" w:space="0" w:color="auto"/>
              <w:bottom w:val="single" w:sz="4" w:space="0" w:color="auto"/>
              <w:right w:val="single" w:sz="4" w:space="0" w:color="auto"/>
            </w:tcBorders>
          </w:tcPr>
          <w:p w:rsidR="00032535" w:rsidRPr="00E02972" w:rsidRDefault="00032535" w:rsidP="00F44B85">
            <w:pPr>
              <w:pStyle w:val="ssPara1"/>
              <w:spacing w:before="240" w:after="0"/>
              <w:rPr>
                <w:rFonts w:cs="Arial"/>
                <w:sz w:val="16"/>
                <w:szCs w:val="18"/>
              </w:rPr>
            </w:pPr>
            <w:r w:rsidRPr="00E02972">
              <w:rPr>
                <w:rFonts w:cs="Arial"/>
                <w:sz w:val="16"/>
                <w:szCs w:val="18"/>
              </w:rPr>
              <w:t>R</w:t>
            </w:r>
          </w:p>
          <w:p w:rsidR="00032535" w:rsidRPr="00E02972" w:rsidRDefault="00032535" w:rsidP="00F44B85">
            <w:pPr>
              <w:pStyle w:val="ssPara1"/>
              <w:spacing w:after="0"/>
              <w:rPr>
                <w:rFonts w:cs="Arial"/>
                <w:sz w:val="16"/>
                <w:szCs w:val="18"/>
              </w:rPr>
            </w:pPr>
            <w:r w:rsidRPr="00E02972">
              <w:rPr>
                <w:rFonts w:cs="Arial"/>
                <w:sz w:val="16"/>
                <w:szCs w:val="18"/>
              </w:rPr>
              <w:t>EP</w:t>
            </w:r>
          </w:p>
          <w:p w:rsidR="00032535" w:rsidRPr="00E02972" w:rsidRDefault="00032535" w:rsidP="00F44B85">
            <w:pPr>
              <w:pStyle w:val="ssPara1"/>
              <w:spacing w:after="0"/>
              <w:rPr>
                <w:rFonts w:cs="Arial"/>
                <w:sz w:val="16"/>
                <w:szCs w:val="18"/>
              </w:rPr>
            </w:pPr>
            <w:r w:rsidRPr="00E02972">
              <w:rPr>
                <w:rFonts w:cs="Arial"/>
                <w:sz w:val="16"/>
                <w:szCs w:val="18"/>
              </w:rPr>
              <w:t>PSP</w:t>
            </w:r>
          </w:p>
          <w:p w:rsidR="00032535" w:rsidRPr="00E02972" w:rsidRDefault="00032535" w:rsidP="00F44B85">
            <w:pPr>
              <w:pStyle w:val="BodyParagraphText"/>
              <w:spacing w:line="240" w:lineRule="auto"/>
              <w:jc w:val="both"/>
              <w:rPr>
                <w:rFonts w:cs="Arial"/>
                <w:sz w:val="16"/>
                <w:szCs w:val="18"/>
              </w:rPr>
            </w:pPr>
            <w:r w:rsidRPr="00E02972">
              <w:rPr>
                <w:rFonts w:cs="Arial"/>
                <w:sz w:val="16"/>
                <w:szCs w:val="18"/>
              </w:rPr>
              <w:t>(Not applicable to eligible counter-parties for firms authorised to execute orders on client behalf, on own account  and/or receive and transmit orders- See MiFID2 Art 30)</w:t>
            </w:r>
          </w:p>
        </w:tc>
        <w:tc>
          <w:tcPr>
            <w:tcW w:w="1611" w:type="pct"/>
            <w:tcBorders>
              <w:top w:val="single" w:sz="4" w:space="0" w:color="auto"/>
              <w:left w:val="single" w:sz="4" w:space="0" w:color="auto"/>
              <w:bottom w:val="single" w:sz="4" w:space="0" w:color="auto"/>
              <w:right w:val="single" w:sz="4" w:space="0" w:color="auto"/>
            </w:tcBorders>
          </w:tcPr>
          <w:p w:rsidR="00901AA5" w:rsidRPr="00E02972" w:rsidRDefault="00901AA5" w:rsidP="00F44B85">
            <w:pPr>
              <w:pStyle w:val="BulletPoint1"/>
              <w:numPr>
                <w:ilvl w:val="0"/>
                <w:numId w:val="9"/>
              </w:numPr>
              <w:tabs>
                <w:tab w:val="clear" w:pos="684"/>
              </w:tabs>
              <w:jc w:val="both"/>
              <w:rPr>
                <w:rFonts w:cs="Arial"/>
                <w:i/>
                <w:sz w:val="16"/>
                <w:szCs w:val="18"/>
              </w:rPr>
            </w:pPr>
            <w:r w:rsidRPr="00E02972">
              <w:rPr>
                <w:rFonts w:cs="Arial"/>
                <w:i/>
                <w:sz w:val="16"/>
                <w:szCs w:val="18"/>
              </w:rPr>
              <w:t>Product Governance Counterparty</w:t>
            </w:r>
          </w:p>
          <w:p w:rsidR="00901AA5" w:rsidRPr="00E02972" w:rsidRDefault="00901AA5" w:rsidP="00F44B85">
            <w:pPr>
              <w:pStyle w:val="BulletPoint1"/>
              <w:numPr>
                <w:ilvl w:val="0"/>
                <w:numId w:val="9"/>
              </w:numPr>
              <w:tabs>
                <w:tab w:val="clear" w:pos="684"/>
              </w:tabs>
              <w:jc w:val="both"/>
              <w:rPr>
                <w:rFonts w:cs="Arial"/>
                <w:sz w:val="16"/>
                <w:szCs w:val="18"/>
              </w:rPr>
            </w:pPr>
            <w:r w:rsidRPr="00E02972">
              <w:rPr>
                <w:rFonts w:cs="Arial"/>
                <w:sz w:val="16"/>
                <w:szCs w:val="18"/>
              </w:rPr>
              <w:t>Consider impact and need for written distribution agreements (or joint distribution agreements)  setting out:</w:t>
            </w:r>
          </w:p>
          <w:p w:rsidR="00901AA5" w:rsidRPr="00E02972" w:rsidRDefault="00901AA5" w:rsidP="00F44B85">
            <w:pPr>
              <w:pStyle w:val="BulletPoint1"/>
              <w:numPr>
                <w:ilvl w:val="0"/>
                <w:numId w:val="9"/>
              </w:numPr>
              <w:tabs>
                <w:tab w:val="clear" w:pos="684"/>
              </w:tabs>
              <w:ind w:left="720"/>
              <w:jc w:val="both"/>
              <w:rPr>
                <w:rFonts w:cs="Arial"/>
                <w:sz w:val="16"/>
                <w:szCs w:val="18"/>
              </w:rPr>
            </w:pPr>
            <w:r w:rsidRPr="00E02972">
              <w:rPr>
                <w:rFonts w:cs="Arial"/>
                <w:sz w:val="16"/>
                <w:szCs w:val="18"/>
              </w:rPr>
              <w:t>Obligations and responsibilities;</w:t>
            </w:r>
          </w:p>
          <w:p w:rsidR="00901AA5" w:rsidRPr="00E02972" w:rsidRDefault="00901AA5" w:rsidP="00F44B85">
            <w:pPr>
              <w:pStyle w:val="BulletPoint1"/>
              <w:numPr>
                <w:ilvl w:val="0"/>
                <w:numId w:val="9"/>
              </w:numPr>
              <w:tabs>
                <w:tab w:val="clear" w:pos="684"/>
              </w:tabs>
              <w:ind w:left="720"/>
              <w:jc w:val="both"/>
              <w:rPr>
                <w:rFonts w:cs="Arial"/>
                <w:sz w:val="16"/>
                <w:szCs w:val="18"/>
              </w:rPr>
            </w:pPr>
            <w:r w:rsidRPr="00E02972">
              <w:rPr>
                <w:rFonts w:cs="Arial"/>
                <w:sz w:val="16"/>
                <w:szCs w:val="18"/>
              </w:rPr>
              <w:t>Identifying negative and positive target market;</w:t>
            </w:r>
          </w:p>
          <w:p w:rsidR="00901AA5" w:rsidRPr="00E02972" w:rsidRDefault="00901AA5" w:rsidP="00F44B85">
            <w:pPr>
              <w:pStyle w:val="BulletPoint1"/>
              <w:numPr>
                <w:ilvl w:val="0"/>
                <w:numId w:val="9"/>
              </w:numPr>
              <w:tabs>
                <w:tab w:val="clear" w:pos="684"/>
              </w:tabs>
              <w:ind w:left="720"/>
              <w:jc w:val="both"/>
              <w:rPr>
                <w:rFonts w:cs="Arial"/>
                <w:sz w:val="16"/>
                <w:szCs w:val="18"/>
              </w:rPr>
            </w:pPr>
            <w:r w:rsidRPr="00E02972">
              <w:rPr>
                <w:rFonts w:cs="Arial"/>
                <w:sz w:val="16"/>
                <w:szCs w:val="18"/>
              </w:rPr>
              <w:t>Reporting responsibilities between parties;</w:t>
            </w:r>
          </w:p>
          <w:p w:rsidR="00901AA5" w:rsidRPr="00E02972" w:rsidRDefault="00901AA5" w:rsidP="00F44B85">
            <w:pPr>
              <w:pStyle w:val="BulletPoint1"/>
              <w:numPr>
                <w:ilvl w:val="0"/>
                <w:numId w:val="9"/>
              </w:numPr>
              <w:tabs>
                <w:tab w:val="clear" w:pos="684"/>
              </w:tabs>
              <w:ind w:left="720"/>
              <w:jc w:val="both"/>
              <w:rPr>
                <w:rFonts w:cs="Arial"/>
                <w:sz w:val="16"/>
                <w:szCs w:val="18"/>
              </w:rPr>
            </w:pPr>
            <w:r w:rsidRPr="00E02972">
              <w:rPr>
                <w:rFonts w:cs="Arial"/>
                <w:sz w:val="16"/>
                <w:szCs w:val="18"/>
              </w:rPr>
              <w:t>Distribution strategy;</w:t>
            </w:r>
          </w:p>
          <w:p w:rsidR="00901AA5" w:rsidRPr="00E02972" w:rsidRDefault="00901AA5" w:rsidP="00F44B85">
            <w:pPr>
              <w:pStyle w:val="BulletPoint1"/>
              <w:numPr>
                <w:ilvl w:val="0"/>
                <w:numId w:val="9"/>
              </w:numPr>
              <w:tabs>
                <w:tab w:val="clear" w:pos="684"/>
              </w:tabs>
              <w:ind w:left="720"/>
              <w:jc w:val="both"/>
              <w:rPr>
                <w:rFonts w:cs="Arial"/>
                <w:sz w:val="16"/>
                <w:szCs w:val="18"/>
              </w:rPr>
            </w:pPr>
            <w:r w:rsidRPr="00E02972">
              <w:rPr>
                <w:rFonts w:cs="Arial"/>
                <w:sz w:val="16"/>
                <w:szCs w:val="18"/>
              </w:rPr>
              <w:t>Dealing with complaints, process if products being sold outside of target market.</w:t>
            </w:r>
          </w:p>
          <w:p w:rsidR="00901AA5" w:rsidRPr="00E02972" w:rsidRDefault="00901AA5" w:rsidP="00F44B85">
            <w:pPr>
              <w:pStyle w:val="BulletPoint1"/>
              <w:numPr>
                <w:ilvl w:val="0"/>
                <w:numId w:val="9"/>
              </w:numPr>
              <w:tabs>
                <w:tab w:val="clear" w:pos="684"/>
              </w:tabs>
              <w:jc w:val="both"/>
              <w:rPr>
                <w:rFonts w:cs="Arial"/>
                <w:sz w:val="16"/>
                <w:szCs w:val="18"/>
              </w:rPr>
            </w:pPr>
            <w:r w:rsidRPr="00E02972">
              <w:rPr>
                <w:rFonts w:cs="Arial"/>
                <w:sz w:val="16"/>
                <w:szCs w:val="18"/>
              </w:rPr>
              <w:t>Monitor for</w:t>
            </w:r>
            <w:r w:rsidR="005973D1" w:rsidRPr="00E02972">
              <w:rPr>
                <w:rFonts w:cs="Arial"/>
                <w:sz w:val="16"/>
                <w:szCs w:val="18"/>
              </w:rPr>
              <w:t>/ consider use of</w:t>
            </w:r>
            <w:r w:rsidRPr="00E02972">
              <w:rPr>
                <w:rFonts w:cs="Arial"/>
                <w:sz w:val="16"/>
                <w:szCs w:val="18"/>
              </w:rPr>
              <w:t xml:space="preserve"> industry body standard manufacturing and distribution agreements. </w:t>
            </w:r>
          </w:p>
          <w:p w:rsidR="00901AA5" w:rsidRPr="00E02972" w:rsidRDefault="00901AA5" w:rsidP="00F44B85">
            <w:pPr>
              <w:pStyle w:val="BulletPoint1"/>
              <w:numPr>
                <w:ilvl w:val="0"/>
                <w:numId w:val="9"/>
              </w:numPr>
              <w:tabs>
                <w:tab w:val="clear" w:pos="684"/>
              </w:tabs>
              <w:jc w:val="both"/>
              <w:rPr>
                <w:rFonts w:cs="Arial"/>
                <w:i/>
                <w:sz w:val="16"/>
                <w:szCs w:val="18"/>
              </w:rPr>
            </w:pPr>
            <w:r w:rsidRPr="00E02972">
              <w:rPr>
                <w:rFonts w:cs="Arial"/>
                <w:i/>
                <w:sz w:val="16"/>
                <w:szCs w:val="18"/>
              </w:rPr>
              <w:t>Target Market end-client Documentation</w:t>
            </w:r>
          </w:p>
          <w:p w:rsidR="00901AA5" w:rsidRPr="00E02972" w:rsidRDefault="00901AA5" w:rsidP="00F44B85">
            <w:pPr>
              <w:pStyle w:val="BulletPoint1"/>
              <w:numPr>
                <w:ilvl w:val="0"/>
                <w:numId w:val="9"/>
              </w:numPr>
              <w:tabs>
                <w:tab w:val="clear" w:pos="684"/>
              </w:tabs>
              <w:jc w:val="both"/>
              <w:rPr>
                <w:rFonts w:cs="Arial"/>
                <w:sz w:val="16"/>
                <w:szCs w:val="18"/>
              </w:rPr>
            </w:pPr>
            <w:r w:rsidRPr="00E02972">
              <w:rPr>
                <w:rFonts w:cs="Arial"/>
                <w:sz w:val="16"/>
                <w:szCs w:val="18"/>
              </w:rPr>
              <w:t>Review any existing target client due diligence questionnaires for existing products being manufactured and distributed to ensure they meet requirements under MiFID2.</w:t>
            </w:r>
          </w:p>
          <w:p w:rsidR="00901AA5" w:rsidRPr="00E02972" w:rsidRDefault="00901AA5" w:rsidP="00F44B85">
            <w:pPr>
              <w:pStyle w:val="BulletPoint1"/>
              <w:numPr>
                <w:ilvl w:val="0"/>
                <w:numId w:val="9"/>
              </w:numPr>
              <w:tabs>
                <w:tab w:val="clear" w:pos="684"/>
              </w:tabs>
              <w:jc w:val="both"/>
              <w:rPr>
                <w:rFonts w:cs="Arial"/>
                <w:sz w:val="16"/>
                <w:szCs w:val="18"/>
              </w:rPr>
            </w:pPr>
            <w:r w:rsidRPr="00E02972">
              <w:rPr>
                <w:rFonts w:cs="Arial"/>
                <w:sz w:val="16"/>
                <w:szCs w:val="18"/>
              </w:rPr>
              <w:t>Consider</w:t>
            </w:r>
            <w:r w:rsidRPr="00E02972">
              <w:rPr>
                <w:rFonts w:cs="Arial"/>
                <w:bCs/>
                <w:sz w:val="16"/>
                <w:szCs w:val="18"/>
              </w:rPr>
              <w:t xml:space="preserve"> the need to prepare </w:t>
            </w:r>
            <w:r w:rsidRPr="00E02972">
              <w:rPr>
                <w:rFonts w:cs="Arial"/>
                <w:sz w:val="16"/>
                <w:szCs w:val="18"/>
              </w:rPr>
              <w:t>client due diligence questionnaires for relevant target clients for new products or existing products (to the extent not already in place).</w:t>
            </w:r>
          </w:p>
          <w:p w:rsidR="00032535" w:rsidRPr="00E02972" w:rsidRDefault="00901AA5" w:rsidP="00C526AC">
            <w:pPr>
              <w:pStyle w:val="BulletPoint1"/>
              <w:numPr>
                <w:ilvl w:val="0"/>
                <w:numId w:val="9"/>
              </w:numPr>
              <w:tabs>
                <w:tab w:val="clear" w:pos="684"/>
              </w:tabs>
              <w:jc w:val="both"/>
              <w:rPr>
                <w:rFonts w:cs="Arial"/>
                <w:sz w:val="16"/>
                <w:szCs w:val="18"/>
              </w:rPr>
            </w:pPr>
            <w:r w:rsidRPr="00E02972">
              <w:rPr>
                <w:rFonts w:cs="Arial"/>
                <w:sz w:val="16"/>
                <w:szCs w:val="18"/>
              </w:rPr>
              <w:t>Incorporate or ensure process is in plac</w:t>
            </w:r>
            <w:r w:rsidR="007307B0" w:rsidRPr="00E02972">
              <w:rPr>
                <w:rFonts w:cs="Arial"/>
                <w:sz w:val="16"/>
                <w:szCs w:val="18"/>
              </w:rPr>
              <w:t>e to incorporate</w:t>
            </w:r>
            <w:r w:rsidRPr="00E02972">
              <w:rPr>
                <w:rFonts w:cs="Arial"/>
                <w:sz w:val="16"/>
                <w:szCs w:val="18"/>
              </w:rPr>
              <w:t xml:space="preserve"> risk warnings, costs and charges disclosures to be included in client agreements, prospectuses or other product information documents, to be communicated to distributors.</w:t>
            </w:r>
          </w:p>
        </w:tc>
        <w:tc>
          <w:tcPr>
            <w:tcW w:w="625" w:type="pct"/>
            <w:tcBorders>
              <w:top w:val="single" w:sz="4" w:space="0" w:color="auto"/>
              <w:left w:val="single" w:sz="4" w:space="0" w:color="auto"/>
              <w:bottom w:val="single" w:sz="4" w:space="0" w:color="auto"/>
              <w:right w:val="single" w:sz="4" w:space="0" w:color="auto"/>
            </w:tcBorders>
          </w:tcPr>
          <w:p w:rsidR="00901AA5" w:rsidRPr="00E02972" w:rsidRDefault="00901AA5" w:rsidP="00901AA5">
            <w:pPr>
              <w:spacing w:before="240" w:after="260"/>
              <w:jc w:val="left"/>
              <w:rPr>
                <w:rFonts w:eastAsia="Times New Roman" w:cs="Arial"/>
                <w:i/>
                <w:sz w:val="16"/>
                <w:szCs w:val="18"/>
              </w:rPr>
            </w:pPr>
            <w:r w:rsidRPr="00E02972">
              <w:rPr>
                <w:rFonts w:eastAsia="Times New Roman" w:cs="Arial"/>
                <w:i/>
                <w:sz w:val="16"/>
                <w:szCs w:val="18"/>
              </w:rPr>
              <w:t>Product Governance Counterparty</w:t>
            </w:r>
          </w:p>
          <w:p w:rsidR="00901AA5" w:rsidRPr="00E02972" w:rsidRDefault="00901AA5" w:rsidP="00D925E0">
            <w:pPr>
              <w:numPr>
                <w:ilvl w:val="0"/>
                <w:numId w:val="28"/>
              </w:numPr>
              <w:spacing w:before="240" w:after="260"/>
              <w:jc w:val="left"/>
              <w:rPr>
                <w:rFonts w:eastAsia="Times New Roman" w:cs="Arial"/>
                <w:sz w:val="16"/>
                <w:szCs w:val="18"/>
              </w:rPr>
            </w:pPr>
            <w:r w:rsidRPr="00E02972">
              <w:rPr>
                <w:rFonts w:eastAsia="Times New Roman" w:cs="Arial"/>
                <w:sz w:val="16"/>
                <w:szCs w:val="18"/>
              </w:rPr>
              <w:t>Distribution Agreements (with EU and Non-EU counterparties)</w:t>
            </w:r>
          </w:p>
          <w:p w:rsidR="00901AA5" w:rsidRPr="00E02972" w:rsidRDefault="007307B0" w:rsidP="00D925E0">
            <w:pPr>
              <w:numPr>
                <w:ilvl w:val="0"/>
                <w:numId w:val="28"/>
              </w:numPr>
              <w:spacing w:before="240" w:after="260"/>
              <w:jc w:val="left"/>
              <w:rPr>
                <w:rFonts w:eastAsia="Times New Roman" w:cs="Arial"/>
                <w:sz w:val="16"/>
                <w:szCs w:val="18"/>
              </w:rPr>
            </w:pPr>
            <w:r w:rsidRPr="00E02972">
              <w:rPr>
                <w:rFonts w:eastAsia="Times New Roman" w:cs="Arial"/>
                <w:sz w:val="16"/>
                <w:szCs w:val="18"/>
              </w:rPr>
              <w:t>Co-distribution</w:t>
            </w:r>
            <w:r w:rsidR="00901AA5" w:rsidRPr="00E02972">
              <w:rPr>
                <w:rFonts w:eastAsia="Times New Roman" w:cs="Arial"/>
                <w:sz w:val="16"/>
                <w:szCs w:val="18"/>
              </w:rPr>
              <w:t xml:space="preserve"> agreements.</w:t>
            </w:r>
          </w:p>
          <w:p w:rsidR="00901AA5" w:rsidRPr="00E02972" w:rsidRDefault="00901AA5" w:rsidP="00901AA5">
            <w:pPr>
              <w:spacing w:before="240" w:after="260"/>
              <w:jc w:val="left"/>
              <w:rPr>
                <w:rFonts w:eastAsia="Times New Roman" w:cs="Arial"/>
                <w:i/>
                <w:sz w:val="16"/>
                <w:szCs w:val="18"/>
              </w:rPr>
            </w:pPr>
            <w:r w:rsidRPr="00E02972">
              <w:rPr>
                <w:rFonts w:eastAsia="Times New Roman" w:cs="Arial"/>
                <w:i/>
                <w:sz w:val="16"/>
                <w:szCs w:val="18"/>
              </w:rPr>
              <w:t>Target Market</w:t>
            </w:r>
          </w:p>
          <w:p w:rsidR="00901AA5" w:rsidRPr="00E02972" w:rsidRDefault="00901AA5" w:rsidP="00D925E0">
            <w:pPr>
              <w:numPr>
                <w:ilvl w:val="0"/>
                <w:numId w:val="29"/>
              </w:numPr>
              <w:spacing w:before="240" w:after="260"/>
              <w:jc w:val="left"/>
              <w:rPr>
                <w:rFonts w:eastAsia="Times New Roman" w:cs="Arial"/>
                <w:sz w:val="16"/>
                <w:szCs w:val="18"/>
              </w:rPr>
            </w:pPr>
            <w:r w:rsidRPr="00E02972">
              <w:rPr>
                <w:rFonts w:eastAsia="Times New Roman" w:cs="Arial"/>
                <w:sz w:val="16"/>
                <w:szCs w:val="18"/>
              </w:rPr>
              <w:t xml:space="preserve">Target Market due diligence questionnaires. </w:t>
            </w:r>
          </w:p>
          <w:p w:rsidR="00901AA5" w:rsidRPr="00E02972" w:rsidRDefault="00901AA5" w:rsidP="00D925E0">
            <w:pPr>
              <w:numPr>
                <w:ilvl w:val="0"/>
                <w:numId w:val="29"/>
              </w:numPr>
              <w:spacing w:before="240" w:after="260"/>
              <w:jc w:val="left"/>
              <w:rPr>
                <w:rFonts w:eastAsia="Times New Roman" w:cs="Arial"/>
                <w:sz w:val="16"/>
                <w:szCs w:val="18"/>
              </w:rPr>
            </w:pPr>
            <w:r w:rsidRPr="00E02972">
              <w:rPr>
                <w:rFonts w:eastAsia="Times New Roman" w:cs="Arial"/>
                <w:sz w:val="16"/>
                <w:szCs w:val="18"/>
              </w:rPr>
              <w:t xml:space="preserve">End client terms of business- incorporate risk warnings, costs disclosures. </w:t>
            </w:r>
          </w:p>
          <w:p w:rsidR="00901AA5" w:rsidRPr="00E02972" w:rsidRDefault="00901AA5" w:rsidP="00D925E0">
            <w:pPr>
              <w:numPr>
                <w:ilvl w:val="0"/>
                <w:numId w:val="29"/>
              </w:numPr>
              <w:spacing w:before="240" w:after="260"/>
              <w:jc w:val="left"/>
              <w:rPr>
                <w:rFonts w:eastAsia="Times New Roman" w:cs="Arial"/>
                <w:sz w:val="16"/>
                <w:szCs w:val="18"/>
              </w:rPr>
            </w:pPr>
            <w:r w:rsidRPr="00E02972">
              <w:rPr>
                <w:rFonts w:eastAsia="Times New Roman" w:cs="Arial"/>
                <w:sz w:val="16"/>
                <w:szCs w:val="18"/>
              </w:rPr>
              <w:t>Prospectus.</w:t>
            </w:r>
          </w:p>
          <w:p w:rsidR="00032535" w:rsidRPr="00E02972" w:rsidRDefault="00901AA5" w:rsidP="00D925E0">
            <w:pPr>
              <w:pStyle w:val="ssPara1"/>
              <w:numPr>
                <w:ilvl w:val="0"/>
                <w:numId w:val="29"/>
              </w:numPr>
              <w:spacing w:before="240"/>
              <w:jc w:val="left"/>
              <w:rPr>
                <w:rFonts w:eastAsia="Times New Roman" w:cs="Arial"/>
                <w:sz w:val="16"/>
                <w:szCs w:val="18"/>
              </w:rPr>
            </w:pPr>
            <w:r w:rsidRPr="00E02972">
              <w:rPr>
                <w:rFonts w:eastAsia="Times New Roman" w:cs="Arial"/>
                <w:sz w:val="16"/>
                <w:szCs w:val="18"/>
              </w:rPr>
              <w:t>Key information documents.</w:t>
            </w:r>
          </w:p>
          <w:p w:rsidR="0000353D" w:rsidRPr="00E02972" w:rsidRDefault="0000353D" w:rsidP="00D925E0">
            <w:pPr>
              <w:pStyle w:val="ssPara1"/>
              <w:numPr>
                <w:ilvl w:val="0"/>
                <w:numId w:val="29"/>
              </w:numPr>
              <w:spacing w:before="240"/>
              <w:jc w:val="left"/>
              <w:rPr>
                <w:rFonts w:eastAsia="Times New Roman" w:cs="Arial"/>
                <w:sz w:val="16"/>
                <w:szCs w:val="18"/>
              </w:rPr>
            </w:pPr>
            <w:r w:rsidRPr="00E02972">
              <w:rPr>
                <w:rFonts w:eastAsia="Times New Roman" w:cs="Arial"/>
                <w:sz w:val="16"/>
                <w:szCs w:val="18"/>
              </w:rPr>
              <w:t>Marketing communications.</w:t>
            </w:r>
          </w:p>
        </w:tc>
        <w:tc>
          <w:tcPr>
            <w:tcW w:w="416" w:type="pct"/>
            <w:tcBorders>
              <w:top w:val="single" w:sz="4" w:space="0" w:color="auto"/>
              <w:left w:val="single" w:sz="4" w:space="0" w:color="auto"/>
              <w:bottom w:val="single" w:sz="4" w:space="0" w:color="auto"/>
              <w:right w:val="single" w:sz="4" w:space="0" w:color="auto"/>
            </w:tcBorders>
          </w:tcPr>
          <w:p w:rsidR="00032535" w:rsidRPr="00E02972" w:rsidRDefault="00032535" w:rsidP="00F44B85">
            <w:pPr>
              <w:pStyle w:val="ssPara1"/>
              <w:spacing w:before="240"/>
              <w:rPr>
                <w:rFonts w:eastAsia="Times New Roman" w:cs="Arial"/>
                <w:sz w:val="16"/>
                <w:szCs w:val="18"/>
              </w:rPr>
            </w:pPr>
            <w:r w:rsidRPr="00E02972">
              <w:rPr>
                <w:rFonts w:eastAsia="Times New Roman" w:cs="Arial"/>
                <w:sz w:val="16"/>
                <w:szCs w:val="18"/>
              </w:rPr>
              <w:t xml:space="preserve">No express prior consent requirements but information about products and appropriate risk warnings to be given in advance of product being sold to target client. </w:t>
            </w:r>
          </w:p>
        </w:tc>
      </w:tr>
      <w:tr w:rsidR="00032535" w:rsidRPr="00E02972" w:rsidTr="00F44B85">
        <w:tc>
          <w:tcPr>
            <w:tcW w:w="455" w:type="pct"/>
            <w:tcBorders>
              <w:top w:val="single" w:sz="4" w:space="0" w:color="auto"/>
              <w:left w:val="single" w:sz="4" w:space="0" w:color="auto"/>
              <w:bottom w:val="single" w:sz="4" w:space="0" w:color="auto"/>
              <w:right w:val="single" w:sz="4" w:space="0" w:color="auto"/>
            </w:tcBorders>
            <w:shd w:val="clear" w:color="auto" w:fill="69889A"/>
          </w:tcPr>
          <w:p w:rsidR="00032535" w:rsidRPr="00E02972" w:rsidRDefault="00032535" w:rsidP="006E3A87">
            <w:pPr>
              <w:spacing w:before="120" w:after="120"/>
              <w:jc w:val="left"/>
              <w:rPr>
                <w:rFonts w:eastAsia="Times New Roman" w:cs="Arial"/>
                <w:b/>
                <w:bCs/>
                <w:color w:val="FFFFFF" w:themeColor="background1"/>
                <w:sz w:val="16"/>
                <w:szCs w:val="18"/>
                <w:lang w:eastAsia="en-GB"/>
              </w:rPr>
            </w:pPr>
            <w:r w:rsidRPr="00E02972">
              <w:rPr>
                <w:rFonts w:cs="Arial"/>
                <w:b/>
                <w:color w:val="FFFFFF" w:themeColor="background1"/>
                <w:sz w:val="16"/>
                <w:szCs w:val="18"/>
              </w:rPr>
              <w:t>GENERAL INFORMATION TO CLIENTS</w:t>
            </w:r>
          </w:p>
        </w:tc>
        <w:tc>
          <w:tcPr>
            <w:tcW w:w="374" w:type="pct"/>
            <w:tcBorders>
              <w:top w:val="single" w:sz="4" w:space="0" w:color="auto"/>
              <w:left w:val="single" w:sz="4" w:space="0" w:color="auto"/>
              <w:bottom w:val="single" w:sz="4" w:space="0" w:color="auto"/>
              <w:right w:val="single" w:sz="4" w:space="0" w:color="auto"/>
            </w:tcBorders>
          </w:tcPr>
          <w:p w:rsidR="00901AA5" w:rsidRPr="00E02972" w:rsidRDefault="006C2CF1" w:rsidP="00901AA5">
            <w:pPr>
              <w:spacing w:before="120" w:after="120"/>
              <w:jc w:val="left"/>
              <w:rPr>
                <w:rFonts w:eastAsia="Times New Roman" w:cs="Arial"/>
                <w:sz w:val="16"/>
                <w:szCs w:val="18"/>
              </w:rPr>
            </w:pPr>
            <w:hyperlink r:id="rId24" w:history="1">
              <w:r w:rsidR="00901AA5" w:rsidRPr="00E02972">
                <w:rPr>
                  <w:rStyle w:val="Hyperlink"/>
                  <w:rFonts w:cs="Arial"/>
                  <w:sz w:val="16"/>
                  <w:szCs w:val="18"/>
                </w:rPr>
                <w:t>D</w:t>
              </w:r>
            </w:hyperlink>
            <w:r w:rsidR="00901AA5" w:rsidRPr="00E02972">
              <w:rPr>
                <w:rFonts w:cs="Arial"/>
                <w:sz w:val="16"/>
                <w:szCs w:val="18"/>
              </w:rPr>
              <w:t xml:space="preserve"> </w:t>
            </w:r>
            <w:r w:rsidR="00901AA5" w:rsidRPr="00E02972">
              <w:rPr>
                <w:rFonts w:eastAsia="Times New Roman" w:cs="Arial"/>
                <w:sz w:val="16"/>
                <w:szCs w:val="18"/>
              </w:rPr>
              <w:t xml:space="preserve"> Art 24(4) </w:t>
            </w:r>
          </w:p>
          <w:p w:rsidR="00901AA5" w:rsidRPr="00E02972" w:rsidRDefault="00901AA5" w:rsidP="00901AA5">
            <w:pPr>
              <w:spacing w:before="120" w:after="120"/>
              <w:jc w:val="left"/>
              <w:rPr>
                <w:rFonts w:cs="Arial"/>
                <w:b/>
                <w:sz w:val="16"/>
                <w:szCs w:val="18"/>
              </w:rPr>
            </w:pPr>
            <w:r w:rsidRPr="00E02972">
              <w:rPr>
                <w:rFonts w:cs="Arial"/>
                <w:sz w:val="16"/>
                <w:szCs w:val="18"/>
              </w:rPr>
              <w:t xml:space="preserve">L2: </w:t>
            </w:r>
            <w:r w:rsidRPr="00E02972">
              <w:rPr>
                <w:rFonts w:cs="Arial"/>
                <w:b/>
                <w:sz w:val="16"/>
                <w:szCs w:val="18"/>
              </w:rPr>
              <w:t>(</w:t>
            </w:r>
            <w:hyperlink r:id="rId25" w:history="1">
              <w:hyperlink r:id="rId26" w:history="1">
                <w:r w:rsidRPr="00E02972">
                  <w:rPr>
                    <w:rStyle w:val="Hyperlink"/>
                    <w:rFonts w:cs="Arial"/>
                    <w:sz w:val="16"/>
                    <w:szCs w:val="18"/>
                  </w:rPr>
                  <w:t>CP1</w:t>
                </w:r>
              </w:hyperlink>
            </w:hyperlink>
            <w:r w:rsidRPr="00E02972">
              <w:rPr>
                <w:rFonts w:cs="Arial"/>
                <w:b/>
                <w:sz w:val="16"/>
                <w:szCs w:val="18"/>
              </w:rPr>
              <w:t xml:space="preserve">, </w:t>
            </w:r>
            <w:hyperlink r:id="rId27" w:history="1">
              <w:r w:rsidRPr="00E02972">
                <w:rPr>
                  <w:rStyle w:val="Hyperlink"/>
                  <w:rFonts w:cs="Arial"/>
                  <w:sz w:val="16"/>
                  <w:szCs w:val="18"/>
                </w:rPr>
                <w:t>FR</w:t>
              </w:r>
            </w:hyperlink>
            <w:r w:rsidRPr="00E02972">
              <w:rPr>
                <w:rFonts w:cs="Arial"/>
                <w:b/>
                <w:sz w:val="16"/>
                <w:szCs w:val="18"/>
              </w:rPr>
              <w:t xml:space="preserve">) </w:t>
            </w:r>
          </w:p>
          <w:p w:rsidR="00032535" w:rsidRPr="00E02972" w:rsidRDefault="006C2CF1" w:rsidP="00D925E0">
            <w:pPr>
              <w:numPr>
                <w:ilvl w:val="0"/>
                <w:numId w:val="30"/>
              </w:numPr>
              <w:spacing w:before="240" w:after="260"/>
              <w:jc w:val="left"/>
              <w:rPr>
                <w:rFonts w:cs="Arial"/>
                <w:sz w:val="16"/>
                <w:szCs w:val="18"/>
              </w:rPr>
            </w:pPr>
            <w:hyperlink r:id="rId28" w:history="1">
              <w:r w:rsidR="00901AA5" w:rsidRPr="00E02972">
                <w:rPr>
                  <w:rStyle w:val="Hyperlink"/>
                  <w:rFonts w:cs="Arial"/>
                  <w:color w:val="0000FF"/>
                  <w:sz w:val="16"/>
                  <w:szCs w:val="18"/>
                </w:rPr>
                <w:t>DR1</w:t>
              </w:r>
            </w:hyperlink>
            <w:r w:rsidR="00901AA5" w:rsidRPr="00E02972">
              <w:rPr>
                <w:rStyle w:val="Hyperlink"/>
                <w:rFonts w:cs="Arial"/>
                <w:color w:val="0000FF"/>
                <w:sz w:val="16"/>
                <w:szCs w:val="18"/>
              </w:rPr>
              <w:t>(</w:t>
            </w:r>
            <w:hyperlink r:id="rId29" w:history="1">
              <w:r w:rsidR="00901AA5" w:rsidRPr="00E02972">
                <w:rPr>
                  <w:rStyle w:val="Hyperlink"/>
                  <w:rFonts w:cs="Arial"/>
                  <w:b/>
                  <w:color w:val="0000FF"/>
                  <w:sz w:val="16"/>
                  <w:szCs w:val="18"/>
                </w:rPr>
                <w:t>Art  46, 47</w:t>
              </w:r>
            </w:hyperlink>
            <w:r w:rsidR="00901AA5" w:rsidRPr="00E02972">
              <w:rPr>
                <w:rStyle w:val="Hyperlink"/>
                <w:rFonts w:cs="Arial"/>
                <w:color w:val="0000FF"/>
                <w:sz w:val="16"/>
                <w:szCs w:val="18"/>
              </w:rPr>
              <w:t>)</w:t>
            </w:r>
          </w:p>
        </w:tc>
        <w:tc>
          <w:tcPr>
            <w:tcW w:w="1213" w:type="pct"/>
            <w:tcBorders>
              <w:top w:val="single" w:sz="4" w:space="0" w:color="auto"/>
              <w:left w:val="single" w:sz="4" w:space="0" w:color="auto"/>
              <w:bottom w:val="single" w:sz="4" w:space="0" w:color="auto"/>
              <w:right w:val="single" w:sz="4" w:space="0" w:color="auto"/>
            </w:tcBorders>
          </w:tcPr>
          <w:p w:rsidR="00032535" w:rsidRPr="00E02972" w:rsidRDefault="00032535" w:rsidP="00F44B85">
            <w:pPr>
              <w:spacing w:before="120" w:after="120"/>
              <w:rPr>
                <w:rFonts w:eastAsia="Times New Roman" w:cs="Arial"/>
                <w:sz w:val="16"/>
                <w:szCs w:val="18"/>
              </w:rPr>
            </w:pPr>
            <w:r w:rsidRPr="00E02972">
              <w:rPr>
                <w:rFonts w:eastAsia="Times New Roman" w:cs="Arial"/>
                <w:sz w:val="16"/>
                <w:szCs w:val="18"/>
              </w:rPr>
              <w:t>Detailed information requirements for firms. Must provide clients or potential clients</w:t>
            </w:r>
            <w:r w:rsidR="004958FC" w:rsidRPr="00E02972">
              <w:rPr>
                <w:rFonts w:eastAsia="Times New Roman" w:cs="Arial"/>
                <w:sz w:val="16"/>
                <w:szCs w:val="18"/>
              </w:rPr>
              <w:t xml:space="preserve"> (to be provided in a durable medium or by means of a website)</w:t>
            </w:r>
            <w:r w:rsidR="004958FC" w:rsidRPr="00E02972">
              <w:rPr>
                <w:rStyle w:val="FootnoteReference"/>
                <w:rFonts w:eastAsia="Times New Roman" w:cs="Arial"/>
                <w:sz w:val="16"/>
                <w:szCs w:val="18"/>
              </w:rPr>
              <w:footnoteReference w:id="2"/>
            </w:r>
            <w:r w:rsidRPr="00E02972">
              <w:rPr>
                <w:rFonts w:eastAsia="Times New Roman" w:cs="Arial"/>
                <w:sz w:val="16"/>
                <w:szCs w:val="18"/>
              </w:rPr>
              <w:t>:</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the name and address of the investment firm, and the contact details necessary to enable clients to communicate effectively with the firm;</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the languages in which the client may communicate with the investment firm, and receive documents and other information from the firm;</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the methods of communication to be used between the investment firm and the client including, where relevant, those for the sending and reception of orders;</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a statement of the fact that the investment firm is authorised and the name and contact address of the competent authority that has authorised it;</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lastRenderedPageBreak/>
              <w:t>where the investment firm is acting through a tied agent, a statement of this fact ;</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the nature, frequency and timing of the reports on the performance of the service to be provided by the investment firm;</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where the investment firm holds client financial instruments or client funds, a summary description of the steps which it takes to ensure their protection;</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a description, which may be provided in summary form, of the conflicts of interest policy;</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 xml:space="preserve">at the request of the client, further details of that conflicts of interest policy in a durable medium or by means of a website. </w:t>
            </w:r>
          </w:p>
          <w:p w:rsidR="00032535" w:rsidRPr="00E02972" w:rsidRDefault="00032535" w:rsidP="00F44B85">
            <w:pPr>
              <w:spacing w:before="120" w:after="120"/>
              <w:rPr>
                <w:rFonts w:eastAsia="Times New Roman" w:cs="Arial"/>
                <w:sz w:val="16"/>
                <w:szCs w:val="18"/>
              </w:rPr>
            </w:pPr>
            <w:r w:rsidRPr="00E02972">
              <w:rPr>
                <w:rFonts w:eastAsia="Times New Roman" w:cs="Arial"/>
                <w:sz w:val="16"/>
                <w:szCs w:val="18"/>
              </w:rPr>
              <w:t xml:space="preserve">The information to be provided before provision of any service. </w:t>
            </w:r>
          </w:p>
          <w:p w:rsidR="004958FC" w:rsidRPr="00E02972" w:rsidRDefault="004958FC" w:rsidP="00F44B85">
            <w:pPr>
              <w:spacing w:before="120" w:after="120"/>
              <w:rPr>
                <w:rFonts w:eastAsia="Times New Roman" w:cs="Arial"/>
                <w:sz w:val="16"/>
                <w:szCs w:val="18"/>
              </w:rPr>
            </w:pPr>
            <w:r w:rsidRPr="00E02972">
              <w:rPr>
                <w:rFonts w:eastAsia="Times New Roman" w:cs="Arial"/>
                <w:sz w:val="16"/>
                <w:szCs w:val="18"/>
              </w:rPr>
              <w:t xml:space="preserve">Information contained in a marketing communication must be consistent with any information firm provides. </w:t>
            </w:r>
          </w:p>
          <w:p w:rsidR="00032535" w:rsidRPr="00E02972" w:rsidRDefault="00032535" w:rsidP="00F44B85">
            <w:pPr>
              <w:spacing w:before="120" w:after="120"/>
              <w:rPr>
                <w:rFonts w:eastAsia="Times New Roman" w:cs="Arial"/>
                <w:sz w:val="16"/>
                <w:szCs w:val="18"/>
              </w:rPr>
            </w:pPr>
            <w:r w:rsidRPr="00E02972">
              <w:rPr>
                <w:rFonts w:eastAsia="Times New Roman" w:cs="Arial"/>
                <w:sz w:val="16"/>
                <w:szCs w:val="18"/>
              </w:rPr>
              <w:t>Where firm provides portfolio management must provide the following additional information:</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 xml:space="preserve">information on the method and frequency of valuation of the financial instruments in the client portfolio; </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 xml:space="preserve">details of any delegation of the discretionary management of all or part of the financial instruments or funds in the client portfolio; </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a specification of any benchmark against which the performance of the client portfolio will be compared;</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the types of financial instrument that may be included in the client portfolio and types of transaction that may be carried out in such instruments, including any limits;</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the management objectives, the level of risk to be reflected in the manager's exercise of discretion, and any specific constraints on that discretion</w:t>
            </w:r>
          </w:p>
        </w:tc>
        <w:tc>
          <w:tcPr>
            <w:tcW w:w="306" w:type="pct"/>
            <w:tcBorders>
              <w:top w:val="single" w:sz="4" w:space="0" w:color="auto"/>
              <w:left w:val="single" w:sz="4" w:space="0" w:color="auto"/>
              <w:bottom w:val="single" w:sz="4" w:space="0" w:color="auto"/>
              <w:right w:val="single" w:sz="4" w:space="0" w:color="auto"/>
            </w:tcBorders>
          </w:tcPr>
          <w:p w:rsidR="00032535" w:rsidRPr="00E02972" w:rsidRDefault="00032535" w:rsidP="00F44B85">
            <w:pPr>
              <w:pStyle w:val="BodyParagraphText"/>
              <w:spacing w:line="240" w:lineRule="auto"/>
              <w:jc w:val="both"/>
              <w:rPr>
                <w:rFonts w:cs="Arial"/>
                <w:sz w:val="16"/>
                <w:szCs w:val="18"/>
              </w:rPr>
            </w:pPr>
            <w:r w:rsidRPr="00E02972">
              <w:rPr>
                <w:rFonts w:cs="Arial"/>
                <w:sz w:val="16"/>
                <w:szCs w:val="18"/>
              </w:rPr>
              <w:lastRenderedPageBreak/>
              <w:t>R</w:t>
            </w:r>
            <w:r w:rsidRPr="00E02972">
              <w:rPr>
                <w:rFonts w:cs="Arial"/>
                <w:sz w:val="16"/>
                <w:szCs w:val="18"/>
              </w:rPr>
              <w:br/>
              <w:t>EP</w:t>
            </w:r>
            <w:r w:rsidRPr="00E02972">
              <w:rPr>
                <w:rFonts w:cs="Arial"/>
                <w:sz w:val="16"/>
                <w:szCs w:val="18"/>
              </w:rPr>
              <w:br/>
              <w:t>PSP</w:t>
            </w:r>
            <w:r w:rsidRPr="00E02972">
              <w:rPr>
                <w:rFonts w:cs="Arial"/>
                <w:sz w:val="16"/>
                <w:szCs w:val="18"/>
              </w:rPr>
              <w:br/>
              <w:t>ECP</w:t>
            </w:r>
          </w:p>
        </w:tc>
        <w:tc>
          <w:tcPr>
            <w:tcW w:w="1611" w:type="pct"/>
            <w:tcBorders>
              <w:top w:val="single" w:sz="4" w:space="0" w:color="auto"/>
              <w:left w:val="single" w:sz="4" w:space="0" w:color="auto"/>
              <w:bottom w:val="single" w:sz="4" w:space="0" w:color="auto"/>
              <w:right w:val="single" w:sz="4" w:space="0" w:color="auto"/>
            </w:tcBorders>
          </w:tcPr>
          <w:p w:rsidR="00901AA5" w:rsidRPr="00E02972" w:rsidRDefault="00901AA5" w:rsidP="00F44B85">
            <w:pPr>
              <w:pStyle w:val="BulletPoint1"/>
              <w:numPr>
                <w:ilvl w:val="0"/>
                <w:numId w:val="9"/>
              </w:numPr>
              <w:tabs>
                <w:tab w:val="clear" w:pos="684"/>
              </w:tabs>
              <w:jc w:val="both"/>
              <w:rPr>
                <w:rFonts w:cs="Arial"/>
                <w:sz w:val="16"/>
                <w:szCs w:val="18"/>
              </w:rPr>
            </w:pPr>
            <w:r w:rsidRPr="00E02972">
              <w:rPr>
                <w:rFonts w:cs="Arial"/>
                <w:sz w:val="16"/>
                <w:szCs w:val="18"/>
              </w:rPr>
              <w:t xml:space="preserve">Review client on-boarding process and client documentation to ensure appropriate disclosures are provided to the clients. </w:t>
            </w:r>
          </w:p>
          <w:p w:rsidR="004958FC" w:rsidRPr="00E02972" w:rsidRDefault="004958FC" w:rsidP="00F44B85">
            <w:pPr>
              <w:pStyle w:val="BulletPoint1"/>
              <w:numPr>
                <w:ilvl w:val="0"/>
                <w:numId w:val="9"/>
              </w:numPr>
              <w:tabs>
                <w:tab w:val="clear" w:pos="684"/>
              </w:tabs>
              <w:jc w:val="both"/>
              <w:rPr>
                <w:rFonts w:cs="Arial"/>
                <w:sz w:val="16"/>
                <w:szCs w:val="18"/>
              </w:rPr>
            </w:pPr>
            <w:r w:rsidRPr="00E02972">
              <w:rPr>
                <w:rFonts w:cs="Arial"/>
                <w:sz w:val="16"/>
                <w:szCs w:val="18"/>
              </w:rPr>
              <w:t>Consider how such disclosures will be made (papered or website).</w:t>
            </w:r>
          </w:p>
          <w:p w:rsidR="004958FC" w:rsidRPr="00E02972" w:rsidRDefault="00D6124B" w:rsidP="00F44B85">
            <w:pPr>
              <w:pStyle w:val="BulletPoint1"/>
              <w:numPr>
                <w:ilvl w:val="0"/>
                <w:numId w:val="9"/>
              </w:numPr>
              <w:tabs>
                <w:tab w:val="clear" w:pos="684"/>
              </w:tabs>
              <w:jc w:val="both"/>
              <w:rPr>
                <w:rFonts w:cs="Arial"/>
                <w:sz w:val="16"/>
                <w:szCs w:val="18"/>
              </w:rPr>
            </w:pPr>
            <w:r w:rsidRPr="00E02972">
              <w:rPr>
                <w:rFonts w:cs="Arial"/>
                <w:sz w:val="16"/>
                <w:szCs w:val="18"/>
              </w:rPr>
              <w:t xml:space="preserve">If providing portfolio management, need to incorporate additional disclosure requirements. </w:t>
            </w:r>
          </w:p>
          <w:p w:rsidR="00032535" w:rsidRPr="00E02972" w:rsidRDefault="00032535" w:rsidP="00F44B85">
            <w:pPr>
              <w:pStyle w:val="BulletPoint1"/>
              <w:tabs>
                <w:tab w:val="clear" w:pos="684"/>
              </w:tabs>
              <w:ind w:left="360"/>
              <w:jc w:val="both"/>
              <w:rPr>
                <w:rFonts w:cs="Arial"/>
                <w:sz w:val="16"/>
                <w:szCs w:val="18"/>
              </w:rPr>
            </w:pPr>
          </w:p>
          <w:p w:rsidR="00032535" w:rsidRPr="00E02972" w:rsidRDefault="00032535" w:rsidP="00F44B85">
            <w:pPr>
              <w:pStyle w:val="BulletPoint1"/>
              <w:tabs>
                <w:tab w:val="clear" w:pos="684"/>
              </w:tabs>
              <w:ind w:left="360"/>
              <w:jc w:val="both"/>
              <w:rPr>
                <w:rFonts w:cs="Arial"/>
                <w:sz w:val="16"/>
                <w:szCs w:val="18"/>
              </w:rPr>
            </w:pPr>
          </w:p>
          <w:p w:rsidR="00032535" w:rsidRPr="00E02972" w:rsidRDefault="00032535" w:rsidP="00F44B85">
            <w:pPr>
              <w:pStyle w:val="BodyParagraphText"/>
              <w:spacing w:before="240" w:after="260" w:line="240" w:lineRule="auto"/>
              <w:jc w:val="both"/>
              <w:rPr>
                <w:rFonts w:cs="Arial"/>
                <w:b/>
                <w:sz w:val="16"/>
                <w:szCs w:val="18"/>
              </w:rPr>
            </w:pPr>
          </w:p>
        </w:tc>
        <w:tc>
          <w:tcPr>
            <w:tcW w:w="625" w:type="pct"/>
            <w:tcBorders>
              <w:top w:val="single" w:sz="4" w:space="0" w:color="auto"/>
              <w:left w:val="single" w:sz="4" w:space="0" w:color="auto"/>
              <w:bottom w:val="single" w:sz="4" w:space="0" w:color="auto"/>
              <w:right w:val="single" w:sz="4" w:space="0" w:color="auto"/>
            </w:tcBorders>
          </w:tcPr>
          <w:p w:rsidR="004958FC" w:rsidRPr="00E02972" w:rsidRDefault="004958FC" w:rsidP="00D925E0">
            <w:pPr>
              <w:numPr>
                <w:ilvl w:val="0"/>
                <w:numId w:val="25"/>
              </w:numPr>
              <w:spacing w:before="240" w:after="260"/>
              <w:jc w:val="left"/>
              <w:rPr>
                <w:rFonts w:eastAsia="Times New Roman" w:cs="Arial"/>
                <w:bCs/>
                <w:sz w:val="16"/>
                <w:szCs w:val="18"/>
              </w:rPr>
            </w:pPr>
            <w:r w:rsidRPr="00E02972">
              <w:rPr>
                <w:rFonts w:eastAsia="Times New Roman" w:cs="Arial"/>
                <w:sz w:val="16"/>
                <w:szCs w:val="18"/>
              </w:rPr>
              <w:t xml:space="preserve"> </w:t>
            </w:r>
            <w:r w:rsidRPr="00E02972">
              <w:rPr>
                <w:rFonts w:eastAsia="Times New Roman" w:cs="Arial"/>
                <w:bCs/>
                <w:sz w:val="16"/>
                <w:szCs w:val="18"/>
              </w:rPr>
              <w:t>Client on-boarding documentation.</w:t>
            </w:r>
          </w:p>
          <w:p w:rsidR="004958FC" w:rsidRPr="00E02972" w:rsidRDefault="004958FC" w:rsidP="00D925E0">
            <w:pPr>
              <w:numPr>
                <w:ilvl w:val="0"/>
                <w:numId w:val="25"/>
              </w:numPr>
              <w:spacing w:before="240" w:after="260"/>
              <w:jc w:val="left"/>
              <w:rPr>
                <w:rFonts w:eastAsia="Times New Roman" w:cs="Arial"/>
                <w:bCs/>
                <w:sz w:val="16"/>
                <w:szCs w:val="18"/>
              </w:rPr>
            </w:pPr>
            <w:r w:rsidRPr="00E02972">
              <w:rPr>
                <w:rFonts w:eastAsia="Times New Roman" w:cs="Arial"/>
                <w:bCs/>
                <w:sz w:val="16"/>
                <w:szCs w:val="18"/>
              </w:rPr>
              <w:t>Client Terms of Business.</w:t>
            </w:r>
          </w:p>
          <w:p w:rsidR="004958FC" w:rsidRPr="00E02972" w:rsidRDefault="004958FC" w:rsidP="00D925E0">
            <w:pPr>
              <w:numPr>
                <w:ilvl w:val="0"/>
                <w:numId w:val="25"/>
              </w:numPr>
              <w:spacing w:before="240" w:after="260"/>
              <w:jc w:val="left"/>
              <w:rPr>
                <w:rFonts w:eastAsia="Times New Roman" w:cs="Arial"/>
                <w:bCs/>
                <w:sz w:val="16"/>
                <w:szCs w:val="18"/>
              </w:rPr>
            </w:pPr>
            <w:r w:rsidRPr="00E02972">
              <w:rPr>
                <w:rFonts w:eastAsia="Times New Roman" w:cs="Arial"/>
                <w:bCs/>
                <w:sz w:val="16"/>
                <w:szCs w:val="18"/>
              </w:rPr>
              <w:t>Client covering letters (to send with general terms of business).</w:t>
            </w:r>
          </w:p>
          <w:p w:rsidR="00032535" w:rsidRPr="00E02972" w:rsidRDefault="004958FC" w:rsidP="00D925E0">
            <w:pPr>
              <w:numPr>
                <w:ilvl w:val="0"/>
                <w:numId w:val="25"/>
              </w:numPr>
              <w:spacing w:before="240" w:after="260"/>
              <w:jc w:val="left"/>
              <w:rPr>
                <w:rFonts w:eastAsia="Times New Roman" w:cs="Arial"/>
                <w:bCs/>
                <w:sz w:val="16"/>
                <w:szCs w:val="18"/>
              </w:rPr>
            </w:pPr>
            <w:r w:rsidRPr="00E02972">
              <w:rPr>
                <w:rFonts w:eastAsia="Times New Roman" w:cs="Arial"/>
                <w:sz w:val="16"/>
                <w:szCs w:val="18"/>
              </w:rPr>
              <w:t xml:space="preserve">Terms/disclosures published on </w:t>
            </w:r>
            <w:r w:rsidR="00F44B85" w:rsidRPr="00E02972">
              <w:rPr>
                <w:rFonts w:eastAsia="Times New Roman" w:cs="Arial"/>
                <w:sz w:val="16"/>
                <w:szCs w:val="18"/>
              </w:rPr>
              <w:t>firm’s</w:t>
            </w:r>
            <w:r w:rsidRPr="00E02972">
              <w:rPr>
                <w:rFonts w:eastAsia="Times New Roman" w:cs="Arial"/>
                <w:sz w:val="16"/>
                <w:szCs w:val="18"/>
              </w:rPr>
              <w:t xml:space="preserve"> website. </w:t>
            </w:r>
          </w:p>
          <w:p w:rsidR="004958FC" w:rsidRPr="00E02972" w:rsidRDefault="004958FC" w:rsidP="00D925E0">
            <w:pPr>
              <w:numPr>
                <w:ilvl w:val="0"/>
                <w:numId w:val="25"/>
              </w:numPr>
              <w:spacing w:before="240" w:after="260"/>
              <w:jc w:val="left"/>
              <w:rPr>
                <w:rFonts w:eastAsia="Times New Roman" w:cs="Arial"/>
                <w:bCs/>
                <w:sz w:val="16"/>
                <w:szCs w:val="18"/>
              </w:rPr>
            </w:pPr>
            <w:r w:rsidRPr="00E02972">
              <w:rPr>
                <w:rFonts w:eastAsia="Times New Roman" w:cs="Arial"/>
                <w:sz w:val="16"/>
                <w:szCs w:val="18"/>
              </w:rPr>
              <w:t>Investment Man</w:t>
            </w:r>
            <w:r w:rsidR="00EA65F1" w:rsidRPr="00E02972">
              <w:rPr>
                <w:rFonts w:eastAsia="Times New Roman" w:cs="Arial"/>
                <w:sz w:val="16"/>
                <w:szCs w:val="18"/>
              </w:rPr>
              <w:t xml:space="preserve">agement </w:t>
            </w:r>
            <w:r w:rsidR="00EA65F1" w:rsidRPr="00E02972">
              <w:rPr>
                <w:rFonts w:eastAsia="Times New Roman" w:cs="Arial"/>
                <w:sz w:val="16"/>
                <w:szCs w:val="18"/>
              </w:rPr>
              <w:lastRenderedPageBreak/>
              <w:t>Agreement.</w:t>
            </w:r>
          </w:p>
          <w:p w:rsidR="00C51B7B" w:rsidRPr="00E02972" w:rsidRDefault="00C51B7B" w:rsidP="00D925E0">
            <w:pPr>
              <w:numPr>
                <w:ilvl w:val="0"/>
                <w:numId w:val="25"/>
              </w:numPr>
              <w:spacing w:before="240" w:after="260"/>
              <w:jc w:val="left"/>
              <w:rPr>
                <w:rFonts w:eastAsia="Times New Roman" w:cs="Arial"/>
                <w:bCs/>
                <w:sz w:val="16"/>
                <w:szCs w:val="18"/>
              </w:rPr>
            </w:pPr>
            <w:r w:rsidRPr="00E02972">
              <w:rPr>
                <w:rFonts w:eastAsia="Times New Roman" w:cs="Arial"/>
                <w:bCs/>
                <w:sz w:val="16"/>
                <w:szCs w:val="18"/>
              </w:rPr>
              <w:t xml:space="preserve">Investment advisory agreements. </w:t>
            </w:r>
          </w:p>
          <w:p w:rsidR="00D6124B" w:rsidRPr="00E02972" w:rsidRDefault="00D6124B" w:rsidP="00D925E0">
            <w:pPr>
              <w:numPr>
                <w:ilvl w:val="0"/>
                <w:numId w:val="25"/>
              </w:numPr>
              <w:spacing w:before="240" w:after="260"/>
              <w:jc w:val="left"/>
              <w:rPr>
                <w:rFonts w:eastAsia="Times New Roman" w:cs="Arial"/>
                <w:bCs/>
                <w:sz w:val="16"/>
                <w:szCs w:val="18"/>
              </w:rPr>
            </w:pPr>
            <w:r w:rsidRPr="00E02972">
              <w:rPr>
                <w:rFonts w:eastAsia="Times New Roman" w:cs="Arial"/>
                <w:bCs/>
                <w:sz w:val="16"/>
                <w:szCs w:val="18"/>
              </w:rPr>
              <w:t>Portfolio Management Agreements.</w:t>
            </w:r>
          </w:p>
          <w:p w:rsidR="00D6124B" w:rsidRPr="00E02972" w:rsidRDefault="00D6124B" w:rsidP="00D925E0">
            <w:pPr>
              <w:numPr>
                <w:ilvl w:val="0"/>
                <w:numId w:val="25"/>
              </w:numPr>
              <w:spacing w:before="240" w:after="260"/>
              <w:jc w:val="left"/>
              <w:rPr>
                <w:rFonts w:eastAsia="Times New Roman" w:cs="Arial"/>
                <w:bCs/>
                <w:sz w:val="16"/>
                <w:szCs w:val="18"/>
              </w:rPr>
            </w:pPr>
            <w:r w:rsidRPr="00E02972">
              <w:rPr>
                <w:rFonts w:eastAsia="Times New Roman" w:cs="Arial"/>
                <w:bCs/>
                <w:sz w:val="16"/>
                <w:szCs w:val="18"/>
              </w:rPr>
              <w:t>Side Letters.</w:t>
            </w:r>
          </w:p>
          <w:p w:rsidR="00EA65F1" w:rsidRPr="00E02972" w:rsidRDefault="00EA65F1" w:rsidP="00D925E0">
            <w:pPr>
              <w:numPr>
                <w:ilvl w:val="0"/>
                <w:numId w:val="25"/>
              </w:numPr>
              <w:spacing w:before="240" w:after="260"/>
              <w:jc w:val="left"/>
              <w:rPr>
                <w:rFonts w:eastAsia="Times New Roman" w:cs="Arial"/>
                <w:bCs/>
                <w:sz w:val="16"/>
                <w:szCs w:val="18"/>
              </w:rPr>
            </w:pPr>
            <w:r w:rsidRPr="00E02972">
              <w:rPr>
                <w:rFonts w:eastAsia="Times New Roman" w:cs="Arial"/>
                <w:sz w:val="16"/>
                <w:szCs w:val="18"/>
              </w:rPr>
              <w:t>Marketing Communications.</w:t>
            </w:r>
          </w:p>
          <w:p w:rsidR="00EA65F1" w:rsidRPr="00E02972" w:rsidRDefault="00EA65F1" w:rsidP="00D925E0">
            <w:pPr>
              <w:numPr>
                <w:ilvl w:val="0"/>
                <w:numId w:val="25"/>
              </w:numPr>
              <w:spacing w:before="240" w:after="260"/>
              <w:jc w:val="left"/>
              <w:rPr>
                <w:rFonts w:eastAsia="Times New Roman" w:cs="Arial"/>
                <w:bCs/>
                <w:sz w:val="16"/>
                <w:szCs w:val="18"/>
              </w:rPr>
            </w:pPr>
            <w:r w:rsidRPr="00E02972">
              <w:rPr>
                <w:rFonts w:eastAsia="Times New Roman" w:cs="Arial"/>
                <w:sz w:val="16"/>
                <w:szCs w:val="18"/>
              </w:rPr>
              <w:t xml:space="preserve">Prospectus. </w:t>
            </w:r>
          </w:p>
        </w:tc>
        <w:tc>
          <w:tcPr>
            <w:tcW w:w="416" w:type="pct"/>
            <w:tcBorders>
              <w:top w:val="single" w:sz="4" w:space="0" w:color="auto"/>
              <w:left w:val="single" w:sz="4" w:space="0" w:color="auto"/>
              <w:bottom w:val="single" w:sz="4" w:space="0" w:color="auto"/>
              <w:right w:val="single" w:sz="4" w:space="0" w:color="auto"/>
            </w:tcBorders>
          </w:tcPr>
          <w:p w:rsidR="00032535" w:rsidRPr="00E02972" w:rsidRDefault="00032535" w:rsidP="00F44B85">
            <w:pPr>
              <w:pStyle w:val="ssPara1"/>
              <w:spacing w:before="240"/>
              <w:rPr>
                <w:rFonts w:eastAsia="Times New Roman" w:cs="Arial"/>
                <w:sz w:val="16"/>
                <w:szCs w:val="18"/>
              </w:rPr>
            </w:pPr>
            <w:r w:rsidRPr="00E02972">
              <w:rPr>
                <w:rFonts w:eastAsia="Times New Roman" w:cs="Arial"/>
                <w:sz w:val="16"/>
                <w:szCs w:val="18"/>
              </w:rPr>
              <w:lastRenderedPageBreak/>
              <w:t>No consent but information to be provided in good time</w:t>
            </w:r>
            <w:r w:rsidR="000F3711" w:rsidRPr="00E02972">
              <w:rPr>
                <w:rStyle w:val="FootnoteReference"/>
                <w:rFonts w:eastAsia="Times New Roman" w:cs="Arial"/>
                <w:sz w:val="16"/>
                <w:szCs w:val="18"/>
              </w:rPr>
              <w:footnoteReference w:id="3"/>
            </w:r>
            <w:r w:rsidRPr="00E02972">
              <w:rPr>
                <w:rFonts w:eastAsia="Times New Roman" w:cs="Arial"/>
                <w:sz w:val="16"/>
                <w:szCs w:val="18"/>
              </w:rPr>
              <w:t xml:space="preserve"> before the provision of investment services. </w:t>
            </w:r>
          </w:p>
        </w:tc>
      </w:tr>
      <w:tr w:rsidR="00032535" w:rsidRPr="00E02972" w:rsidTr="00F44B85">
        <w:tc>
          <w:tcPr>
            <w:tcW w:w="455" w:type="pct"/>
            <w:tcBorders>
              <w:top w:val="single" w:sz="4" w:space="0" w:color="auto"/>
              <w:left w:val="single" w:sz="4" w:space="0" w:color="auto"/>
              <w:bottom w:val="single" w:sz="4" w:space="0" w:color="auto"/>
              <w:right w:val="single" w:sz="4" w:space="0" w:color="auto"/>
            </w:tcBorders>
            <w:shd w:val="clear" w:color="auto" w:fill="69889A"/>
          </w:tcPr>
          <w:p w:rsidR="00032535" w:rsidRPr="00E02972" w:rsidRDefault="00032535" w:rsidP="00320116">
            <w:pPr>
              <w:spacing w:before="120" w:after="120"/>
              <w:jc w:val="left"/>
              <w:rPr>
                <w:rFonts w:eastAsia="Times New Roman" w:cs="Arial"/>
                <w:b/>
                <w:bCs/>
                <w:color w:val="FFFFFF" w:themeColor="background1"/>
                <w:sz w:val="16"/>
                <w:szCs w:val="18"/>
                <w:lang w:eastAsia="en-GB"/>
              </w:rPr>
            </w:pPr>
            <w:bookmarkStart w:id="1" w:name="_Toc412206183"/>
            <w:r w:rsidRPr="00E02972">
              <w:rPr>
                <w:rFonts w:eastAsia="Times New Roman" w:cs="Arial"/>
                <w:b/>
                <w:bCs/>
                <w:color w:val="FFFFFF" w:themeColor="background1"/>
                <w:sz w:val="16"/>
                <w:szCs w:val="18"/>
                <w:lang w:eastAsia="en-GB"/>
              </w:rPr>
              <w:t>COMMUNICATIONS CLEAR, FAIR AND NOT MISLEADING</w:t>
            </w:r>
            <w:bookmarkEnd w:id="1"/>
          </w:p>
        </w:tc>
        <w:tc>
          <w:tcPr>
            <w:tcW w:w="374" w:type="pct"/>
            <w:tcBorders>
              <w:top w:val="single" w:sz="4" w:space="0" w:color="auto"/>
              <w:left w:val="single" w:sz="4" w:space="0" w:color="auto"/>
              <w:bottom w:val="single" w:sz="4" w:space="0" w:color="auto"/>
              <w:right w:val="single" w:sz="4" w:space="0" w:color="auto"/>
            </w:tcBorders>
          </w:tcPr>
          <w:p w:rsidR="00032535" w:rsidRPr="00E02972" w:rsidRDefault="006C2CF1" w:rsidP="00214C99">
            <w:pPr>
              <w:spacing w:before="120" w:after="120"/>
              <w:jc w:val="left"/>
              <w:rPr>
                <w:rFonts w:eastAsia="Times New Roman" w:cs="Arial"/>
                <w:sz w:val="16"/>
                <w:szCs w:val="18"/>
              </w:rPr>
            </w:pPr>
            <w:hyperlink r:id="rId30" w:history="1">
              <w:r w:rsidR="00032535" w:rsidRPr="00E02972">
                <w:rPr>
                  <w:rStyle w:val="Hyperlink"/>
                  <w:rFonts w:cs="Arial"/>
                  <w:sz w:val="16"/>
                  <w:szCs w:val="18"/>
                </w:rPr>
                <w:t>D</w:t>
              </w:r>
            </w:hyperlink>
            <w:r w:rsidR="00032535" w:rsidRPr="00E02972">
              <w:rPr>
                <w:rFonts w:cs="Arial"/>
                <w:sz w:val="16"/>
                <w:szCs w:val="18"/>
              </w:rPr>
              <w:t xml:space="preserve"> </w:t>
            </w:r>
            <w:r w:rsidR="00032535" w:rsidRPr="00E02972">
              <w:rPr>
                <w:rFonts w:eastAsia="Times New Roman" w:cs="Arial"/>
                <w:sz w:val="16"/>
                <w:szCs w:val="18"/>
              </w:rPr>
              <w:t xml:space="preserve"> Art 24(3), Art 30(1)</w:t>
            </w:r>
          </w:p>
          <w:p w:rsidR="00D37DEF" w:rsidRPr="00E02972" w:rsidRDefault="00032535" w:rsidP="00214C99">
            <w:pPr>
              <w:pStyle w:val="ssPara1"/>
              <w:spacing w:before="240"/>
              <w:rPr>
                <w:rFonts w:cs="Arial"/>
                <w:sz w:val="16"/>
                <w:szCs w:val="18"/>
              </w:rPr>
            </w:pPr>
            <w:r w:rsidRPr="00E02972">
              <w:rPr>
                <w:rFonts w:cs="Arial"/>
                <w:sz w:val="16"/>
                <w:szCs w:val="18"/>
              </w:rPr>
              <w:t>L2: (</w:t>
            </w:r>
            <w:hyperlink r:id="rId31" w:history="1">
              <w:hyperlink r:id="rId32" w:history="1">
                <w:r w:rsidRPr="00E02972">
                  <w:rPr>
                    <w:rStyle w:val="Hyperlink"/>
                    <w:rFonts w:cs="Arial"/>
                    <w:b/>
                    <w:sz w:val="16"/>
                    <w:szCs w:val="18"/>
                  </w:rPr>
                  <w:t>CP1</w:t>
                </w:r>
              </w:hyperlink>
            </w:hyperlink>
            <w:r w:rsidRPr="00E02972">
              <w:rPr>
                <w:rFonts w:cs="Arial"/>
                <w:b/>
                <w:sz w:val="16"/>
                <w:szCs w:val="18"/>
              </w:rPr>
              <w:t xml:space="preserve">, </w:t>
            </w:r>
            <w:hyperlink r:id="rId33" w:history="1">
              <w:r w:rsidRPr="00E02972">
                <w:rPr>
                  <w:rStyle w:val="Hyperlink"/>
                  <w:rFonts w:cs="Arial"/>
                  <w:b/>
                  <w:sz w:val="16"/>
                  <w:szCs w:val="18"/>
                </w:rPr>
                <w:t>FR</w:t>
              </w:r>
            </w:hyperlink>
            <w:r w:rsidRPr="00E02972">
              <w:rPr>
                <w:rStyle w:val="Hyperlink"/>
                <w:rFonts w:cs="Arial"/>
                <w:sz w:val="16"/>
                <w:szCs w:val="18"/>
              </w:rPr>
              <w:t>)</w:t>
            </w:r>
            <w:r w:rsidRPr="00E02972">
              <w:rPr>
                <w:rFonts w:cs="Arial"/>
                <w:sz w:val="16"/>
                <w:szCs w:val="18"/>
              </w:rPr>
              <w:t xml:space="preserve"> </w:t>
            </w:r>
          </w:p>
          <w:p w:rsidR="00032535" w:rsidRPr="00E02972" w:rsidRDefault="006C2CF1" w:rsidP="00D925E0">
            <w:pPr>
              <w:pStyle w:val="ssPara1"/>
              <w:numPr>
                <w:ilvl w:val="0"/>
                <w:numId w:val="30"/>
              </w:numPr>
              <w:spacing w:before="240"/>
              <w:rPr>
                <w:rFonts w:cs="Arial"/>
                <w:b/>
                <w:sz w:val="16"/>
                <w:szCs w:val="18"/>
              </w:rPr>
            </w:pPr>
            <w:hyperlink r:id="rId34" w:history="1">
              <w:r w:rsidR="00032535" w:rsidRPr="00E02972">
                <w:rPr>
                  <w:rStyle w:val="Hyperlink"/>
                  <w:rFonts w:cs="Arial"/>
                  <w:b/>
                  <w:sz w:val="16"/>
                  <w:szCs w:val="18"/>
                </w:rPr>
                <w:t>DR1</w:t>
              </w:r>
            </w:hyperlink>
            <w:hyperlink r:id="rId35" w:history="1">
              <w:r w:rsidR="00032535" w:rsidRPr="00E02972">
                <w:rPr>
                  <w:rStyle w:val="Hyperlink"/>
                  <w:rFonts w:cs="Arial"/>
                  <w:b/>
                  <w:sz w:val="16"/>
                  <w:szCs w:val="18"/>
                </w:rPr>
                <w:t xml:space="preserve"> (Art 44</w:t>
              </w:r>
            </w:hyperlink>
            <w:r w:rsidR="00032535" w:rsidRPr="00E02972">
              <w:rPr>
                <w:rStyle w:val="Hyperlink"/>
                <w:rFonts w:cs="Arial"/>
                <w:b/>
                <w:sz w:val="16"/>
                <w:szCs w:val="18"/>
              </w:rPr>
              <w:t>)</w:t>
            </w:r>
          </w:p>
        </w:tc>
        <w:tc>
          <w:tcPr>
            <w:tcW w:w="1213" w:type="pct"/>
            <w:tcBorders>
              <w:top w:val="single" w:sz="4" w:space="0" w:color="auto"/>
              <w:left w:val="single" w:sz="4" w:space="0" w:color="auto"/>
              <w:bottom w:val="single" w:sz="4" w:space="0" w:color="auto"/>
              <w:right w:val="single" w:sz="4" w:space="0" w:color="auto"/>
            </w:tcBorders>
          </w:tcPr>
          <w:p w:rsidR="00D37DEF" w:rsidRPr="00E02972" w:rsidRDefault="00032535" w:rsidP="00F44B85">
            <w:pPr>
              <w:rPr>
                <w:rStyle w:val="Emphasis"/>
                <w:i w:val="0"/>
                <w:sz w:val="16"/>
                <w:szCs w:val="18"/>
              </w:rPr>
            </w:pPr>
            <w:r w:rsidRPr="00E02972">
              <w:rPr>
                <w:rStyle w:val="Emphasis"/>
                <w:i w:val="0"/>
                <w:sz w:val="16"/>
                <w:szCs w:val="18"/>
              </w:rPr>
              <w:t>General requirement not new but now applie</w:t>
            </w:r>
            <w:r w:rsidR="005973D1" w:rsidRPr="00E02972">
              <w:rPr>
                <w:rStyle w:val="Emphasis"/>
                <w:i w:val="0"/>
                <w:sz w:val="16"/>
                <w:szCs w:val="18"/>
              </w:rPr>
              <w:t>s to all clients, including ECP</w:t>
            </w:r>
            <w:r w:rsidRPr="00E02972">
              <w:rPr>
                <w:rStyle w:val="Emphasis"/>
                <w:i w:val="0"/>
                <w:sz w:val="16"/>
                <w:szCs w:val="18"/>
              </w:rPr>
              <w:t xml:space="preserve">s. </w:t>
            </w:r>
          </w:p>
          <w:p w:rsidR="00032535" w:rsidRPr="00E02972" w:rsidRDefault="00032535" w:rsidP="00F44B85">
            <w:pPr>
              <w:rPr>
                <w:rStyle w:val="Emphasis"/>
                <w:i w:val="0"/>
                <w:sz w:val="16"/>
                <w:szCs w:val="18"/>
              </w:rPr>
            </w:pPr>
            <w:r w:rsidRPr="00E02972">
              <w:rPr>
                <w:rStyle w:val="Emphasis"/>
                <w:i w:val="0"/>
                <w:sz w:val="16"/>
                <w:szCs w:val="18"/>
              </w:rPr>
              <w:t>In addition application of specific conditions that currently only apply to retail clients under MiFID extended to apply to professional clients (note specific L2 r</w:t>
            </w:r>
            <w:r w:rsidR="005973D1" w:rsidRPr="00E02972">
              <w:rPr>
                <w:rStyle w:val="Emphasis"/>
                <w:i w:val="0"/>
                <w:sz w:val="16"/>
                <w:szCs w:val="18"/>
              </w:rPr>
              <w:t>equirements do not apply to ECP</w:t>
            </w:r>
            <w:r w:rsidRPr="00E02972">
              <w:rPr>
                <w:rStyle w:val="Emphasis"/>
                <w:i w:val="0"/>
                <w:sz w:val="16"/>
                <w:szCs w:val="18"/>
              </w:rPr>
              <w:t>s).</w:t>
            </w:r>
          </w:p>
          <w:p w:rsidR="00D37DEF" w:rsidRPr="00E02972" w:rsidRDefault="00D37DEF" w:rsidP="00F44B85">
            <w:pPr>
              <w:pStyle w:val="BodyParagraphText"/>
              <w:jc w:val="both"/>
              <w:rPr>
                <w:rFonts w:cs="Arial"/>
                <w:sz w:val="16"/>
                <w:szCs w:val="18"/>
              </w:rPr>
            </w:pPr>
            <w:r w:rsidRPr="00E02972">
              <w:rPr>
                <w:rFonts w:cs="Arial"/>
                <w:sz w:val="16"/>
                <w:szCs w:val="18"/>
              </w:rPr>
              <w:t>Information addressed to retail/ professional or potential retail/professional clients</w:t>
            </w:r>
          </w:p>
          <w:p w:rsidR="00D37DEF" w:rsidRPr="00E02972" w:rsidRDefault="00D37DEF" w:rsidP="00D925E0">
            <w:pPr>
              <w:pStyle w:val="BulletPoint1"/>
              <w:numPr>
                <w:ilvl w:val="0"/>
                <w:numId w:val="31"/>
              </w:numPr>
              <w:tabs>
                <w:tab w:val="clear" w:pos="684"/>
                <w:tab w:val="left" w:pos="402"/>
              </w:tabs>
              <w:jc w:val="both"/>
              <w:rPr>
                <w:rFonts w:cs="Arial"/>
                <w:sz w:val="16"/>
                <w:szCs w:val="18"/>
              </w:rPr>
            </w:pPr>
            <w:r w:rsidRPr="00E02972">
              <w:rPr>
                <w:rFonts w:cs="Arial"/>
                <w:sz w:val="16"/>
                <w:szCs w:val="18"/>
              </w:rPr>
              <w:t>must be accurate and give a fair and prominent indication of any relevant risks when referencing any potential benefits of an investment service or financial instrument;</w:t>
            </w:r>
          </w:p>
          <w:p w:rsidR="00D37DEF" w:rsidRPr="00E02972" w:rsidRDefault="00D37DEF" w:rsidP="00D925E0">
            <w:pPr>
              <w:pStyle w:val="BulletPoint1"/>
              <w:numPr>
                <w:ilvl w:val="0"/>
                <w:numId w:val="31"/>
              </w:numPr>
              <w:tabs>
                <w:tab w:val="clear" w:pos="684"/>
                <w:tab w:val="left" w:pos="402"/>
              </w:tabs>
              <w:jc w:val="both"/>
              <w:rPr>
                <w:rFonts w:cs="Arial"/>
                <w:sz w:val="16"/>
                <w:szCs w:val="18"/>
              </w:rPr>
            </w:pPr>
            <w:r w:rsidRPr="00E02972">
              <w:rPr>
                <w:rFonts w:cs="Arial"/>
                <w:sz w:val="16"/>
                <w:szCs w:val="18"/>
              </w:rPr>
              <w:t>must use a font size in the indication of relevant risks that is at least equal to the predominant font size used throughout the information provided, as well as a layout that ensures prominence of the indication;</w:t>
            </w:r>
          </w:p>
          <w:p w:rsidR="00D37DEF" w:rsidRPr="00E02972" w:rsidRDefault="00D37DEF" w:rsidP="00D925E0">
            <w:pPr>
              <w:pStyle w:val="BulletPoint1"/>
              <w:numPr>
                <w:ilvl w:val="0"/>
                <w:numId w:val="31"/>
              </w:numPr>
              <w:tabs>
                <w:tab w:val="clear" w:pos="684"/>
                <w:tab w:val="left" w:pos="402"/>
              </w:tabs>
              <w:jc w:val="both"/>
              <w:rPr>
                <w:rFonts w:cs="Arial"/>
                <w:sz w:val="16"/>
                <w:szCs w:val="18"/>
              </w:rPr>
            </w:pPr>
            <w:r w:rsidRPr="00E02972">
              <w:rPr>
                <w:rFonts w:cs="Arial"/>
                <w:sz w:val="16"/>
                <w:szCs w:val="18"/>
              </w:rPr>
              <w:t>sufficient for and presented in a way that is likely to be understood by, the average member of the group to whom it is directed;</w:t>
            </w:r>
          </w:p>
          <w:p w:rsidR="00D37DEF" w:rsidRPr="00E02972" w:rsidRDefault="00D37DEF" w:rsidP="00D925E0">
            <w:pPr>
              <w:pStyle w:val="BulletPoint1"/>
              <w:numPr>
                <w:ilvl w:val="0"/>
                <w:numId w:val="31"/>
              </w:numPr>
              <w:tabs>
                <w:tab w:val="clear" w:pos="684"/>
                <w:tab w:val="left" w:pos="402"/>
              </w:tabs>
              <w:jc w:val="both"/>
              <w:rPr>
                <w:rFonts w:cs="Arial"/>
                <w:sz w:val="16"/>
                <w:szCs w:val="18"/>
              </w:rPr>
            </w:pPr>
            <w:r w:rsidRPr="00E02972">
              <w:rPr>
                <w:rFonts w:cs="Arial"/>
                <w:sz w:val="16"/>
                <w:szCs w:val="18"/>
              </w:rPr>
              <w:t xml:space="preserve">does not disguise, diminish or obscure important items, statements or warnings. </w:t>
            </w:r>
          </w:p>
          <w:p w:rsidR="00D37DEF" w:rsidRPr="00E02972" w:rsidRDefault="00D37DEF" w:rsidP="00D925E0">
            <w:pPr>
              <w:pStyle w:val="BulletPoint1"/>
              <w:numPr>
                <w:ilvl w:val="0"/>
                <w:numId w:val="31"/>
              </w:numPr>
              <w:tabs>
                <w:tab w:val="clear" w:pos="684"/>
                <w:tab w:val="left" w:pos="402"/>
              </w:tabs>
              <w:jc w:val="both"/>
              <w:rPr>
                <w:rFonts w:cs="Arial"/>
                <w:sz w:val="16"/>
                <w:szCs w:val="18"/>
              </w:rPr>
            </w:pPr>
            <w:r w:rsidRPr="00E02972">
              <w:rPr>
                <w:rFonts w:cs="Arial"/>
                <w:sz w:val="16"/>
                <w:szCs w:val="18"/>
              </w:rPr>
              <w:t>must be consistently presented throughout all documents the client receives in one language, unless the client has agreed to receive information in different languages; and</w:t>
            </w:r>
          </w:p>
          <w:p w:rsidR="00D37DEF" w:rsidRPr="00E02972" w:rsidRDefault="00D37DEF" w:rsidP="00D925E0">
            <w:pPr>
              <w:pStyle w:val="BulletPoint1"/>
              <w:numPr>
                <w:ilvl w:val="0"/>
                <w:numId w:val="31"/>
              </w:numPr>
              <w:tabs>
                <w:tab w:val="clear" w:pos="684"/>
                <w:tab w:val="left" w:pos="402"/>
              </w:tabs>
              <w:jc w:val="both"/>
              <w:rPr>
                <w:rFonts w:cs="Arial"/>
                <w:sz w:val="16"/>
                <w:szCs w:val="18"/>
              </w:rPr>
            </w:pPr>
            <w:r w:rsidRPr="00E02972">
              <w:rPr>
                <w:rFonts w:cs="Arial"/>
                <w:sz w:val="16"/>
                <w:szCs w:val="18"/>
              </w:rPr>
              <w:t>must be up to date and relevant to the method of communication used.</w:t>
            </w:r>
          </w:p>
          <w:p w:rsidR="00D37DEF" w:rsidRPr="00E02972" w:rsidRDefault="00D37DEF" w:rsidP="00F44B85">
            <w:pPr>
              <w:pStyle w:val="BodyParagraphText"/>
              <w:jc w:val="both"/>
              <w:rPr>
                <w:rFonts w:cs="Arial"/>
                <w:sz w:val="16"/>
                <w:szCs w:val="18"/>
              </w:rPr>
            </w:pPr>
            <w:r w:rsidRPr="00E02972">
              <w:rPr>
                <w:rFonts w:cs="Arial"/>
                <w:sz w:val="16"/>
                <w:szCs w:val="18"/>
              </w:rPr>
              <w:t xml:space="preserve">Where information contains information on past performance firms must </w:t>
            </w:r>
            <w:r w:rsidRPr="00E02972">
              <w:rPr>
                <w:rFonts w:cs="Arial"/>
                <w:sz w:val="16"/>
                <w:szCs w:val="18"/>
              </w:rPr>
              <w:lastRenderedPageBreak/>
              <w:t>ensure:</w:t>
            </w:r>
          </w:p>
          <w:p w:rsidR="00D37DEF" w:rsidRPr="00E02972" w:rsidRDefault="00D37DEF" w:rsidP="00D925E0">
            <w:pPr>
              <w:pStyle w:val="BulletPoint1"/>
              <w:numPr>
                <w:ilvl w:val="0"/>
                <w:numId w:val="32"/>
              </w:numPr>
              <w:tabs>
                <w:tab w:val="clear" w:pos="684"/>
                <w:tab w:val="left" w:pos="402"/>
              </w:tabs>
              <w:jc w:val="both"/>
              <w:rPr>
                <w:rFonts w:cs="Arial"/>
                <w:sz w:val="16"/>
                <w:szCs w:val="18"/>
              </w:rPr>
            </w:pPr>
            <w:r w:rsidRPr="00E02972">
              <w:rPr>
                <w:rFonts w:cs="Arial"/>
                <w:sz w:val="16"/>
                <w:szCs w:val="18"/>
              </w:rPr>
              <w:t>that indication is not the most prominent feature;</w:t>
            </w:r>
          </w:p>
          <w:p w:rsidR="00D37DEF" w:rsidRPr="00E02972" w:rsidRDefault="00D37DEF" w:rsidP="00D925E0">
            <w:pPr>
              <w:pStyle w:val="BulletPoint1"/>
              <w:numPr>
                <w:ilvl w:val="0"/>
                <w:numId w:val="32"/>
              </w:numPr>
              <w:tabs>
                <w:tab w:val="clear" w:pos="684"/>
                <w:tab w:val="left" w:pos="402"/>
              </w:tabs>
              <w:jc w:val="both"/>
              <w:rPr>
                <w:rFonts w:cs="Arial"/>
                <w:sz w:val="16"/>
                <w:szCs w:val="18"/>
              </w:rPr>
            </w:pPr>
            <w:r w:rsidRPr="00E02972">
              <w:rPr>
                <w:rFonts w:cs="Arial"/>
                <w:sz w:val="16"/>
                <w:szCs w:val="18"/>
              </w:rPr>
              <w:t>must cover appropriate information over preceding 5 years or whole period instrument been offered;</w:t>
            </w:r>
          </w:p>
          <w:p w:rsidR="00D37DEF" w:rsidRPr="00E02972" w:rsidRDefault="00D37DEF" w:rsidP="00D925E0">
            <w:pPr>
              <w:pStyle w:val="BulletPoint1"/>
              <w:numPr>
                <w:ilvl w:val="0"/>
                <w:numId w:val="32"/>
              </w:numPr>
              <w:tabs>
                <w:tab w:val="clear" w:pos="684"/>
                <w:tab w:val="left" w:pos="402"/>
              </w:tabs>
              <w:jc w:val="both"/>
              <w:rPr>
                <w:rFonts w:cs="Arial"/>
                <w:sz w:val="16"/>
                <w:szCs w:val="18"/>
              </w:rPr>
            </w:pPr>
            <w:r w:rsidRPr="00E02972">
              <w:rPr>
                <w:rFonts w:cs="Arial"/>
                <w:sz w:val="16"/>
                <w:szCs w:val="18"/>
              </w:rPr>
              <w:t>reference period and source of information is clearly stated;</w:t>
            </w:r>
          </w:p>
          <w:p w:rsidR="00D37DEF" w:rsidRPr="00E02972" w:rsidRDefault="00D37DEF" w:rsidP="00D925E0">
            <w:pPr>
              <w:pStyle w:val="BulletPoint1"/>
              <w:numPr>
                <w:ilvl w:val="0"/>
                <w:numId w:val="32"/>
              </w:numPr>
              <w:tabs>
                <w:tab w:val="clear" w:pos="684"/>
                <w:tab w:val="left" w:pos="402"/>
              </w:tabs>
              <w:jc w:val="both"/>
              <w:rPr>
                <w:rFonts w:cs="Arial"/>
                <w:sz w:val="16"/>
                <w:szCs w:val="18"/>
              </w:rPr>
            </w:pPr>
            <w:r w:rsidRPr="00E02972">
              <w:rPr>
                <w:rFonts w:cs="Arial"/>
                <w:sz w:val="16"/>
                <w:szCs w:val="18"/>
              </w:rPr>
              <w:t>contains prominent warning.</w:t>
            </w:r>
          </w:p>
          <w:p w:rsidR="00D37DEF" w:rsidRPr="00E02972" w:rsidRDefault="00D37DEF" w:rsidP="00F44B85">
            <w:pPr>
              <w:pStyle w:val="BodyParagraphText"/>
              <w:jc w:val="both"/>
              <w:rPr>
                <w:rFonts w:cs="Arial"/>
                <w:sz w:val="16"/>
                <w:szCs w:val="18"/>
              </w:rPr>
            </w:pPr>
            <w:r w:rsidRPr="00E02972">
              <w:rPr>
                <w:rFonts w:cs="Arial"/>
                <w:sz w:val="16"/>
                <w:szCs w:val="18"/>
              </w:rPr>
              <w:t>Where information contains information on future performance, information should be provided based on:</w:t>
            </w:r>
          </w:p>
          <w:p w:rsidR="00D37DEF" w:rsidRPr="00E02972" w:rsidRDefault="00D37DEF" w:rsidP="00F44B85">
            <w:pPr>
              <w:pStyle w:val="BulletPoint1"/>
              <w:numPr>
                <w:ilvl w:val="0"/>
                <w:numId w:val="20"/>
              </w:numPr>
              <w:tabs>
                <w:tab w:val="clear" w:pos="684"/>
                <w:tab w:val="left" w:pos="402"/>
              </w:tabs>
              <w:ind w:left="402" w:hanging="284"/>
              <w:jc w:val="both"/>
              <w:rPr>
                <w:rFonts w:cs="Arial"/>
                <w:sz w:val="16"/>
                <w:szCs w:val="18"/>
              </w:rPr>
            </w:pPr>
            <w:r w:rsidRPr="00E02972">
              <w:rPr>
                <w:rFonts w:cs="Arial"/>
                <w:sz w:val="16"/>
                <w:szCs w:val="18"/>
              </w:rPr>
              <w:t>performance scenarios in different market conditions;</w:t>
            </w:r>
          </w:p>
          <w:p w:rsidR="00D37DEF" w:rsidRPr="00E02972" w:rsidRDefault="00D37DEF" w:rsidP="00F44B85">
            <w:pPr>
              <w:pStyle w:val="BulletPoint1"/>
              <w:numPr>
                <w:ilvl w:val="0"/>
                <w:numId w:val="20"/>
              </w:numPr>
              <w:tabs>
                <w:tab w:val="clear" w:pos="684"/>
                <w:tab w:val="left" w:pos="402"/>
              </w:tabs>
              <w:ind w:left="402" w:hanging="284"/>
              <w:jc w:val="both"/>
              <w:rPr>
                <w:rFonts w:cs="Arial"/>
                <w:sz w:val="16"/>
                <w:szCs w:val="18"/>
              </w:rPr>
            </w:pPr>
            <w:r w:rsidRPr="00E02972">
              <w:rPr>
                <w:rFonts w:cs="Arial"/>
                <w:sz w:val="16"/>
                <w:szCs w:val="18"/>
              </w:rPr>
              <w:t>reasonable assumptions supported by objective data;</w:t>
            </w:r>
          </w:p>
          <w:p w:rsidR="00032535" w:rsidRPr="00E02972" w:rsidRDefault="00D37DEF" w:rsidP="00F44B85">
            <w:pPr>
              <w:pStyle w:val="BulletPoint1"/>
              <w:numPr>
                <w:ilvl w:val="0"/>
                <w:numId w:val="20"/>
              </w:numPr>
              <w:tabs>
                <w:tab w:val="clear" w:pos="684"/>
                <w:tab w:val="left" w:pos="402"/>
              </w:tabs>
              <w:ind w:left="402" w:hanging="284"/>
              <w:jc w:val="both"/>
              <w:rPr>
                <w:rFonts w:cs="Arial"/>
                <w:sz w:val="16"/>
                <w:szCs w:val="18"/>
              </w:rPr>
            </w:pPr>
            <w:r w:rsidRPr="00E02972">
              <w:rPr>
                <w:rFonts w:cs="Arial"/>
                <w:sz w:val="16"/>
                <w:szCs w:val="18"/>
              </w:rPr>
              <w:t>contains a prominent warning that such forecasts are not a reliable indicator of future performance.</w:t>
            </w:r>
          </w:p>
        </w:tc>
        <w:tc>
          <w:tcPr>
            <w:tcW w:w="306" w:type="pct"/>
            <w:tcBorders>
              <w:top w:val="single" w:sz="4" w:space="0" w:color="auto"/>
              <w:left w:val="single" w:sz="4" w:space="0" w:color="auto"/>
              <w:bottom w:val="single" w:sz="4" w:space="0" w:color="auto"/>
              <w:right w:val="single" w:sz="4" w:space="0" w:color="auto"/>
            </w:tcBorders>
          </w:tcPr>
          <w:p w:rsidR="00032535" w:rsidRPr="00E02972" w:rsidRDefault="00032535" w:rsidP="00F44B85">
            <w:pPr>
              <w:pStyle w:val="BodyParagraphText"/>
              <w:spacing w:line="240" w:lineRule="auto"/>
              <w:jc w:val="both"/>
              <w:rPr>
                <w:rFonts w:cs="Arial"/>
                <w:sz w:val="16"/>
                <w:szCs w:val="18"/>
              </w:rPr>
            </w:pPr>
            <w:r w:rsidRPr="00E02972">
              <w:rPr>
                <w:rFonts w:cs="Arial"/>
                <w:sz w:val="16"/>
                <w:szCs w:val="18"/>
              </w:rPr>
              <w:lastRenderedPageBreak/>
              <w:t>R</w:t>
            </w:r>
            <w:r w:rsidRPr="00E02972">
              <w:rPr>
                <w:rFonts w:cs="Arial"/>
                <w:sz w:val="16"/>
                <w:szCs w:val="18"/>
              </w:rPr>
              <w:br/>
              <w:t>EP</w:t>
            </w:r>
            <w:r w:rsidRPr="00E02972">
              <w:rPr>
                <w:rFonts w:cs="Arial"/>
                <w:sz w:val="16"/>
                <w:szCs w:val="18"/>
              </w:rPr>
              <w:br/>
              <w:t>PSP</w:t>
            </w:r>
            <w:r w:rsidRPr="00E02972">
              <w:rPr>
                <w:rFonts w:cs="Arial"/>
                <w:sz w:val="16"/>
                <w:szCs w:val="18"/>
              </w:rPr>
              <w:br/>
              <w:t>ECP (at L1 only)</w:t>
            </w:r>
          </w:p>
        </w:tc>
        <w:tc>
          <w:tcPr>
            <w:tcW w:w="1611" w:type="pct"/>
            <w:tcBorders>
              <w:top w:val="single" w:sz="4" w:space="0" w:color="auto"/>
              <w:left w:val="single" w:sz="4" w:space="0" w:color="auto"/>
              <w:bottom w:val="single" w:sz="4" w:space="0" w:color="auto"/>
              <w:right w:val="single" w:sz="4" w:space="0" w:color="auto"/>
            </w:tcBorders>
          </w:tcPr>
          <w:p w:rsidR="00032535" w:rsidRPr="00E02972" w:rsidRDefault="00032535" w:rsidP="00F44B85">
            <w:pPr>
              <w:pStyle w:val="BodyParagraphText"/>
              <w:spacing w:before="240" w:after="260" w:line="240" w:lineRule="auto"/>
              <w:jc w:val="both"/>
              <w:rPr>
                <w:rFonts w:cs="Arial"/>
                <w:b/>
                <w:sz w:val="16"/>
                <w:szCs w:val="18"/>
              </w:rPr>
            </w:pPr>
            <w:r w:rsidRPr="00E02972">
              <w:rPr>
                <w:rFonts w:cs="Arial"/>
                <w:b/>
                <w:sz w:val="16"/>
                <w:szCs w:val="18"/>
              </w:rPr>
              <w:t>Retail and Professional Clients:</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conduct a review and analysis of materials</w:t>
            </w:r>
            <w:r w:rsidR="00D37DEF" w:rsidRPr="00E02972">
              <w:rPr>
                <w:rFonts w:cs="Arial"/>
                <w:sz w:val="16"/>
                <w:szCs w:val="18"/>
              </w:rPr>
              <w:t xml:space="preserve"> or communications including electronic communications </w:t>
            </w:r>
            <w:r w:rsidRPr="00E02972">
              <w:rPr>
                <w:rFonts w:cs="Arial"/>
                <w:sz w:val="16"/>
                <w:szCs w:val="18"/>
              </w:rPr>
              <w:t xml:space="preserve"> provided to such clients (or which could potentially be received) to identify where new amendments/insertions/risk warnings may be necessary and to ensure the information:</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is clearly identifiable as a marketing communication (if relevant);</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gives a fair and prominent indication of any relevant risks when referencing any potential benefits of an investment service or financial instrument;</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uses a font size in the indication of relevant risks that is at least equal to the predominant font size used throughout the information provided, as well as a layout that ensures prominence of the indication;</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 xml:space="preserve">is consistently presented throughout all documents the client receives in one language, unless the client has agreed to receive information in different languages; </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is up to date and relevant to t</w:t>
            </w:r>
            <w:r w:rsidR="007307B0" w:rsidRPr="00E02972">
              <w:rPr>
                <w:rFonts w:cs="Arial"/>
                <w:sz w:val="16"/>
                <w:szCs w:val="18"/>
              </w:rPr>
              <w:t xml:space="preserve">he method of communication used; and </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does not disguise, diminish or obscure important items, statements or warnings. used.</w:t>
            </w:r>
          </w:p>
          <w:p w:rsidR="00616280" w:rsidRPr="00E02972" w:rsidRDefault="00616280" w:rsidP="00F44B85">
            <w:pPr>
              <w:pStyle w:val="BulletPoint1"/>
              <w:numPr>
                <w:ilvl w:val="0"/>
                <w:numId w:val="9"/>
              </w:numPr>
              <w:tabs>
                <w:tab w:val="clear" w:pos="684"/>
              </w:tabs>
              <w:jc w:val="both"/>
              <w:rPr>
                <w:rFonts w:cs="Arial"/>
                <w:sz w:val="16"/>
                <w:szCs w:val="18"/>
              </w:rPr>
            </w:pPr>
            <w:r w:rsidRPr="00E02972">
              <w:rPr>
                <w:rFonts w:cs="Arial"/>
                <w:sz w:val="16"/>
                <w:szCs w:val="18"/>
              </w:rPr>
              <w:t xml:space="preserve">Consider training requirements for client facing staff. </w:t>
            </w:r>
          </w:p>
          <w:p w:rsidR="00D37DEF" w:rsidRPr="00E02972" w:rsidRDefault="00D37DEF" w:rsidP="00F44B85">
            <w:pPr>
              <w:pStyle w:val="BulletPoint1"/>
              <w:tabs>
                <w:tab w:val="clear" w:pos="684"/>
              </w:tabs>
              <w:jc w:val="both"/>
              <w:rPr>
                <w:rFonts w:cs="Arial"/>
                <w:sz w:val="16"/>
                <w:szCs w:val="18"/>
              </w:rPr>
            </w:pPr>
          </w:p>
          <w:p w:rsidR="00D37DEF" w:rsidRPr="00E02972" w:rsidRDefault="00D37DEF" w:rsidP="00F44B85">
            <w:pPr>
              <w:pStyle w:val="BulletPoint1"/>
              <w:tabs>
                <w:tab w:val="clear" w:pos="684"/>
              </w:tabs>
              <w:jc w:val="both"/>
              <w:rPr>
                <w:rFonts w:cs="Arial"/>
                <w:sz w:val="16"/>
                <w:szCs w:val="18"/>
              </w:rPr>
            </w:pPr>
            <w:r w:rsidRPr="00E02972">
              <w:rPr>
                <w:rFonts w:cs="Arial"/>
                <w:sz w:val="16"/>
                <w:szCs w:val="18"/>
              </w:rPr>
              <w:t xml:space="preserve">Ensure information which contains information on past performance or future performance contains relevant requirements. </w:t>
            </w:r>
          </w:p>
          <w:p w:rsidR="00032535" w:rsidRPr="00E02972" w:rsidRDefault="00032535" w:rsidP="00F44B85">
            <w:pPr>
              <w:pStyle w:val="ssPara1"/>
              <w:spacing w:before="240"/>
              <w:rPr>
                <w:rFonts w:eastAsia="Times New Roman" w:cs="Arial"/>
                <w:sz w:val="16"/>
                <w:szCs w:val="18"/>
              </w:rPr>
            </w:pPr>
            <w:r w:rsidRPr="00E02972">
              <w:rPr>
                <w:rFonts w:eastAsia="Times New Roman" w:cs="Arial"/>
                <w:b/>
                <w:sz w:val="16"/>
                <w:szCs w:val="18"/>
              </w:rPr>
              <w:t>Eligible Counterparties</w:t>
            </w:r>
            <w:r w:rsidRPr="00E02972">
              <w:rPr>
                <w:rFonts w:eastAsia="Times New Roman" w:cs="Arial"/>
                <w:sz w:val="16"/>
                <w:szCs w:val="18"/>
              </w:rPr>
              <w:t>:  Firms should consider their obligation at L1 for co</w:t>
            </w:r>
            <w:r w:rsidR="005973D1" w:rsidRPr="00E02972">
              <w:rPr>
                <w:rFonts w:eastAsia="Times New Roman" w:cs="Arial"/>
                <w:sz w:val="16"/>
                <w:szCs w:val="18"/>
              </w:rPr>
              <w:t>mmunications to ECP</w:t>
            </w:r>
            <w:r w:rsidRPr="00E02972">
              <w:rPr>
                <w:rFonts w:eastAsia="Times New Roman" w:cs="Arial"/>
                <w:sz w:val="16"/>
                <w:szCs w:val="18"/>
              </w:rPr>
              <w:t xml:space="preserve">s to be clear, fair and not misleading when drafting any communications or agreements with </w:t>
            </w:r>
            <w:r w:rsidRPr="00E02972">
              <w:rPr>
                <w:rFonts w:eastAsia="Times New Roman" w:cs="Arial"/>
                <w:sz w:val="16"/>
                <w:szCs w:val="18"/>
              </w:rPr>
              <w:lastRenderedPageBreak/>
              <w:t>such clients.</w:t>
            </w:r>
          </w:p>
          <w:p w:rsidR="00D37DEF" w:rsidRPr="00E02972" w:rsidRDefault="00D37DEF" w:rsidP="00D925E0">
            <w:pPr>
              <w:pStyle w:val="ssPara1"/>
              <w:numPr>
                <w:ilvl w:val="0"/>
                <w:numId w:val="30"/>
              </w:numPr>
              <w:spacing w:before="240"/>
              <w:rPr>
                <w:rFonts w:eastAsia="Times New Roman" w:cs="Arial"/>
                <w:sz w:val="16"/>
                <w:szCs w:val="18"/>
              </w:rPr>
            </w:pPr>
            <w:r w:rsidRPr="00E02972">
              <w:rPr>
                <w:rFonts w:eastAsia="Times New Roman" w:cs="Arial"/>
                <w:sz w:val="16"/>
                <w:szCs w:val="18"/>
              </w:rPr>
              <w:t>Monitor</w:t>
            </w:r>
            <w:r w:rsidR="005973D1" w:rsidRPr="00E02972">
              <w:rPr>
                <w:rFonts w:eastAsia="Times New Roman" w:cs="Arial"/>
                <w:sz w:val="16"/>
                <w:szCs w:val="18"/>
              </w:rPr>
              <w:t>/ implement</w:t>
            </w:r>
            <w:r w:rsidRPr="00E02972">
              <w:rPr>
                <w:rFonts w:eastAsia="Times New Roman" w:cs="Arial"/>
                <w:sz w:val="16"/>
                <w:szCs w:val="18"/>
              </w:rPr>
              <w:t xml:space="preserve"> for Member State implementation of requirement to ECPs. </w:t>
            </w:r>
          </w:p>
        </w:tc>
        <w:tc>
          <w:tcPr>
            <w:tcW w:w="625" w:type="pct"/>
            <w:tcBorders>
              <w:top w:val="single" w:sz="4" w:space="0" w:color="auto"/>
              <w:left w:val="single" w:sz="4" w:space="0" w:color="auto"/>
              <w:bottom w:val="single" w:sz="4" w:space="0" w:color="auto"/>
              <w:right w:val="single" w:sz="4" w:space="0" w:color="auto"/>
            </w:tcBorders>
          </w:tcPr>
          <w:p w:rsidR="00D37DEF" w:rsidRPr="00E02972" w:rsidRDefault="00D37DEF" w:rsidP="006E3A87">
            <w:pPr>
              <w:pStyle w:val="ssPara1"/>
              <w:numPr>
                <w:ilvl w:val="0"/>
                <w:numId w:val="7"/>
              </w:numPr>
              <w:spacing w:before="240"/>
              <w:jc w:val="left"/>
              <w:rPr>
                <w:rFonts w:eastAsia="Times New Roman" w:cs="Arial"/>
                <w:sz w:val="16"/>
                <w:szCs w:val="18"/>
              </w:rPr>
            </w:pPr>
            <w:r w:rsidRPr="00E02972">
              <w:rPr>
                <w:rFonts w:eastAsia="Times New Roman" w:cs="Arial"/>
                <w:sz w:val="16"/>
                <w:szCs w:val="18"/>
              </w:rPr>
              <w:lastRenderedPageBreak/>
              <w:t>Note obligation applies to all client communications generally.</w:t>
            </w:r>
          </w:p>
          <w:p w:rsidR="00D37DEF" w:rsidRPr="00E02972" w:rsidRDefault="00D37DEF" w:rsidP="006E3A87">
            <w:pPr>
              <w:pStyle w:val="ssPara1"/>
              <w:numPr>
                <w:ilvl w:val="0"/>
                <w:numId w:val="7"/>
              </w:numPr>
              <w:spacing w:before="240"/>
              <w:jc w:val="left"/>
              <w:rPr>
                <w:rFonts w:eastAsia="Times New Roman" w:cs="Arial"/>
                <w:sz w:val="16"/>
                <w:szCs w:val="18"/>
              </w:rPr>
            </w:pPr>
            <w:r w:rsidRPr="00E02972">
              <w:rPr>
                <w:rFonts w:eastAsia="Times New Roman" w:cs="Arial"/>
                <w:sz w:val="16"/>
                <w:szCs w:val="18"/>
              </w:rPr>
              <w:t>Marketing material.</w:t>
            </w:r>
          </w:p>
          <w:p w:rsidR="00D37DEF" w:rsidRPr="00E02972" w:rsidRDefault="00D37DEF" w:rsidP="00D37DEF">
            <w:pPr>
              <w:pStyle w:val="ssPara1"/>
              <w:numPr>
                <w:ilvl w:val="0"/>
                <w:numId w:val="7"/>
              </w:numPr>
              <w:spacing w:before="240"/>
              <w:jc w:val="left"/>
              <w:rPr>
                <w:rFonts w:eastAsia="Times New Roman" w:cs="Arial"/>
                <w:sz w:val="16"/>
                <w:szCs w:val="18"/>
              </w:rPr>
            </w:pPr>
            <w:r w:rsidRPr="00E02972">
              <w:rPr>
                <w:rFonts w:eastAsia="Times New Roman" w:cs="Arial"/>
                <w:sz w:val="16"/>
                <w:szCs w:val="18"/>
              </w:rPr>
              <w:t xml:space="preserve">Prospectus. </w:t>
            </w:r>
          </w:p>
          <w:p w:rsidR="00D37DEF" w:rsidRPr="00E02972" w:rsidRDefault="00D37DEF" w:rsidP="00D37DEF">
            <w:pPr>
              <w:pStyle w:val="ssPara1"/>
              <w:numPr>
                <w:ilvl w:val="0"/>
                <w:numId w:val="7"/>
              </w:numPr>
              <w:spacing w:before="240"/>
              <w:jc w:val="left"/>
              <w:rPr>
                <w:rFonts w:eastAsia="Times New Roman" w:cs="Arial"/>
                <w:sz w:val="16"/>
                <w:szCs w:val="18"/>
              </w:rPr>
            </w:pPr>
            <w:r w:rsidRPr="00E02972">
              <w:rPr>
                <w:rFonts w:eastAsia="Times New Roman" w:cs="Arial"/>
                <w:sz w:val="16"/>
                <w:szCs w:val="18"/>
              </w:rPr>
              <w:t>Communications made by sales/marketing/front office teams via email or other electronic means.</w:t>
            </w:r>
          </w:p>
          <w:p w:rsidR="00D37DEF" w:rsidRPr="00E02972" w:rsidRDefault="00D37DEF" w:rsidP="00D37DEF">
            <w:pPr>
              <w:pStyle w:val="ssPara1"/>
              <w:numPr>
                <w:ilvl w:val="0"/>
                <w:numId w:val="7"/>
              </w:numPr>
              <w:spacing w:before="240"/>
              <w:jc w:val="left"/>
              <w:rPr>
                <w:rFonts w:eastAsia="Times New Roman" w:cs="Arial"/>
                <w:sz w:val="16"/>
                <w:szCs w:val="18"/>
              </w:rPr>
            </w:pPr>
            <w:r w:rsidRPr="00E02972">
              <w:rPr>
                <w:rFonts w:eastAsia="Times New Roman" w:cs="Arial"/>
                <w:sz w:val="16"/>
                <w:szCs w:val="18"/>
              </w:rPr>
              <w:t>Costs and char</w:t>
            </w:r>
            <w:r w:rsidR="00C51B7B" w:rsidRPr="00E02972">
              <w:rPr>
                <w:rFonts w:eastAsia="Times New Roman" w:cs="Arial"/>
                <w:sz w:val="16"/>
                <w:szCs w:val="18"/>
              </w:rPr>
              <w:t>ges disclosures, client reports, client agreements.</w:t>
            </w:r>
            <w:r w:rsidRPr="00E02972">
              <w:rPr>
                <w:rFonts w:eastAsia="Times New Roman" w:cs="Arial"/>
                <w:sz w:val="16"/>
                <w:szCs w:val="18"/>
              </w:rPr>
              <w:t xml:space="preserve"> </w:t>
            </w:r>
          </w:p>
          <w:p w:rsidR="00D37DEF" w:rsidRPr="00E02972" w:rsidRDefault="00D37DEF" w:rsidP="00D37DEF">
            <w:pPr>
              <w:pStyle w:val="ssPara1"/>
              <w:numPr>
                <w:ilvl w:val="0"/>
                <w:numId w:val="7"/>
              </w:numPr>
              <w:spacing w:before="240"/>
              <w:jc w:val="left"/>
              <w:rPr>
                <w:rFonts w:eastAsia="Times New Roman" w:cs="Arial"/>
                <w:sz w:val="16"/>
                <w:szCs w:val="18"/>
              </w:rPr>
            </w:pPr>
            <w:r w:rsidRPr="00E02972">
              <w:rPr>
                <w:rFonts w:eastAsia="Times New Roman" w:cs="Arial"/>
                <w:sz w:val="16"/>
                <w:szCs w:val="18"/>
              </w:rPr>
              <w:t xml:space="preserve">Key information or key facts documents. </w:t>
            </w:r>
          </w:p>
          <w:p w:rsidR="00D37DEF" w:rsidRPr="00E02972" w:rsidRDefault="00C51B7B" w:rsidP="00D37DEF">
            <w:pPr>
              <w:pStyle w:val="ssPara1"/>
              <w:numPr>
                <w:ilvl w:val="0"/>
                <w:numId w:val="7"/>
              </w:numPr>
              <w:spacing w:before="240"/>
              <w:jc w:val="left"/>
              <w:rPr>
                <w:rFonts w:eastAsia="Times New Roman" w:cs="Arial"/>
                <w:sz w:val="16"/>
                <w:szCs w:val="18"/>
              </w:rPr>
            </w:pPr>
            <w:r w:rsidRPr="00E02972">
              <w:rPr>
                <w:rFonts w:eastAsia="Times New Roman" w:cs="Arial"/>
                <w:sz w:val="16"/>
                <w:szCs w:val="18"/>
              </w:rPr>
              <w:t>Pitch books, brochures, fact sheets.</w:t>
            </w:r>
          </w:p>
          <w:p w:rsidR="00032535" w:rsidRPr="00E02972" w:rsidRDefault="00C51B7B" w:rsidP="00D37DEF">
            <w:pPr>
              <w:pStyle w:val="ssPara1"/>
              <w:numPr>
                <w:ilvl w:val="0"/>
                <w:numId w:val="7"/>
              </w:numPr>
              <w:spacing w:before="240"/>
              <w:jc w:val="left"/>
              <w:rPr>
                <w:rFonts w:eastAsia="Times New Roman" w:cs="Arial"/>
                <w:sz w:val="16"/>
                <w:szCs w:val="18"/>
              </w:rPr>
            </w:pPr>
            <w:r w:rsidRPr="00E02972">
              <w:rPr>
                <w:rFonts w:eastAsia="Times New Roman" w:cs="Arial"/>
                <w:sz w:val="16"/>
                <w:szCs w:val="18"/>
              </w:rPr>
              <w:t>Firm</w:t>
            </w:r>
            <w:r w:rsidR="00616280" w:rsidRPr="00E02972">
              <w:rPr>
                <w:rFonts w:eastAsia="Times New Roman" w:cs="Arial"/>
                <w:sz w:val="16"/>
                <w:szCs w:val="18"/>
              </w:rPr>
              <w:t>’</w:t>
            </w:r>
            <w:r w:rsidRPr="00E02972">
              <w:rPr>
                <w:rFonts w:eastAsia="Times New Roman" w:cs="Arial"/>
                <w:sz w:val="16"/>
                <w:szCs w:val="18"/>
              </w:rPr>
              <w:t>s website and public facing material.</w:t>
            </w:r>
          </w:p>
        </w:tc>
        <w:tc>
          <w:tcPr>
            <w:tcW w:w="416" w:type="pct"/>
            <w:tcBorders>
              <w:top w:val="single" w:sz="4" w:space="0" w:color="auto"/>
              <w:left w:val="single" w:sz="4" w:space="0" w:color="auto"/>
              <w:bottom w:val="single" w:sz="4" w:space="0" w:color="auto"/>
              <w:right w:val="single" w:sz="4" w:space="0" w:color="auto"/>
            </w:tcBorders>
          </w:tcPr>
          <w:p w:rsidR="00032535" w:rsidRPr="00E02972" w:rsidRDefault="00032535" w:rsidP="00F44B85">
            <w:pPr>
              <w:pStyle w:val="ssPara1"/>
              <w:numPr>
                <w:ilvl w:val="0"/>
                <w:numId w:val="7"/>
              </w:numPr>
              <w:spacing w:before="240"/>
              <w:rPr>
                <w:rFonts w:eastAsia="Times New Roman" w:cs="Arial"/>
                <w:sz w:val="16"/>
                <w:szCs w:val="18"/>
              </w:rPr>
            </w:pPr>
          </w:p>
        </w:tc>
      </w:tr>
      <w:tr w:rsidR="00032535" w:rsidRPr="00E02972" w:rsidTr="00F44B85">
        <w:tc>
          <w:tcPr>
            <w:tcW w:w="455" w:type="pct"/>
            <w:tcBorders>
              <w:top w:val="single" w:sz="4" w:space="0" w:color="auto"/>
              <w:left w:val="single" w:sz="4" w:space="0" w:color="auto"/>
              <w:bottom w:val="single" w:sz="4" w:space="0" w:color="auto"/>
              <w:right w:val="single" w:sz="4" w:space="0" w:color="auto"/>
            </w:tcBorders>
            <w:shd w:val="clear" w:color="auto" w:fill="69889A"/>
          </w:tcPr>
          <w:p w:rsidR="00032535" w:rsidRPr="00E02972" w:rsidRDefault="00032535" w:rsidP="00B02277">
            <w:pPr>
              <w:spacing w:before="120" w:after="120"/>
              <w:jc w:val="left"/>
              <w:rPr>
                <w:rFonts w:eastAsia="Times New Roman" w:cs="Arial"/>
                <w:b/>
                <w:bCs/>
                <w:color w:val="FFFFFF" w:themeColor="background1"/>
                <w:sz w:val="16"/>
                <w:szCs w:val="18"/>
                <w:lang w:eastAsia="en-GB"/>
              </w:rPr>
            </w:pPr>
            <w:r w:rsidRPr="00E02972">
              <w:rPr>
                <w:rFonts w:eastAsia="Times New Roman" w:cs="Arial"/>
                <w:b/>
                <w:bCs/>
                <w:color w:val="FFFFFF" w:themeColor="background1"/>
                <w:sz w:val="16"/>
                <w:szCs w:val="18"/>
                <w:lang w:eastAsia="en-GB"/>
              </w:rPr>
              <w:t>DEALINGS WITH ELIGIBLE COUNTERPARTIES</w:t>
            </w:r>
          </w:p>
        </w:tc>
        <w:tc>
          <w:tcPr>
            <w:tcW w:w="374" w:type="pct"/>
            <w:tcBorders>
              <w:top w:val="single" w:sz="4" w:space="0" w:color="auto"/>
              <w:left w:val="single" w:sz="4" w:space="0" w:color="auto"/>
              <w:bottom w:val="single" w:sz="4" w:space="0" w:color="auto"/>
              <w:right w:val="single" w:sz="4" w:space="0" w:color="auto"/>
            </w:tcBorders>
          </w:tcPr>
          <w:p w:rsidR="00032535" w:rsidRPr="00E02972" w:rsidRDefault="006C2CF1" w:rsidP="00B02277">
            <w:pPr>
              <w:spacing w:before="120" w:after="120"/>
              <w:jc w:val="left"/>
              <w:rPr>
                <w:rFonts w:eastAsia="Times New Roman" w:cs="Arial"/>
                <w:sz w:val="16"/>
                <w:szCs w:val="18"/>
              </w:rPr>
            </w:pPr>
            <w:hyperlink r:id="rId36" w:history="1">
              <w:r w:rsidR="00032535" w:rsidRPr="00E02972">
                <w:rPr>
                  <w:rStyle w:val="Hyperlink"/>
                  <w:rFonts w:eastAsia="Times New Roman" w:cs="Arial"/>
                  <w:sz w:val="16"/>
                  <w:szCs w:val="18"/>
                </w:rPr>
                <w:t>D</w:t>
              </w:r>
            </w:hyperlink>
            <w:r w:rsidR="00032535" w:rsidRPr="00E02972">
              <w:rPr>
                <w:rFonts w:eastAsia="Times New Roman" w:cs="Arial"/>
                <w:sz w:val="16"/>
                <w:szCs w:val="18"/>
              </w:rPr>
              <w:t xml:space="preserve"> Art 30</w:t>
            </w:r>
          </w:p>
          <w:p w:rsidR="00616280" w:rsidRPr="00E02972" w:rsidRDefault="00032535" w:rsidP="006E3A87">
            <w:pPr>
              <w:spacing w:before="240" w:after="260"/>
              <w:jc w:val="left"/>
              <w:rPr>
                <w:rFonts w:cs="Arial"/>
                <w:sz w:val="16"/>
                <w:szCs w:val="18"/>
              </w:rPr>
            </w:pPr>
            <w:r w:rsidRPr="00E02972">
              <w:rPr>
                <w:rFonts w:cs="Arial"/>
                <w:sz w:val="16"/>
                <w:szCs w:val="18"/>
              </w:rPr>
              <w:t xml:space="preserve">L2: </w:t>
            </w:r>
            <w:r w:rsidR="00616280" w:rsidRPr="00E02972">
              <w:rPr>
                <w:rFonts w:cs="Arial"/>
                <w:sz w:val="16"/>
                <w:szCs w:val="18"/>
              </w:rPr>
              <w:t>(</w:t>
            </w:r>
            <w:hyperlink r:id="rId37" w:history="1">
              <w:hyperlink r:id="rId38" w:history="1">
                <w:r w:rsidRPr="00E02972">
                  <w:rPr>
                    <w:rStyle w:val="Hyperlink"/>
                    <w:rFonts w:cs="Arial"/>
                    <w:sz w:val="16"/>
                    <w:szCs w:val="18"/>
                  </w:rPr>
                  <w:t>CP1</w:t>
                </w:r>
              </w:hyperlink>
            </w:hyperlink>
            <w:r w:rsidRPr="00E02972">
              <w:rPr>
                <w:rFonts w:cs="Arial"/>
                <w:sz w:val="16"/>
                <w:szCs w:val="18"/>
              </w:rPr>
              <w:t xml:space="preserve">, </w:t>
            </w:r>
            <w:hyperlink r:id="rId39" w:history="1">
              <w:r w:rsidRPr="00E02972">
                <w:rPr>
                  <w:rStyle w:val="Hyperlink"/>
                  <w:rFonts w:cs="Arial"/>
                  <w:sz w:val="16"/>
                  <w:szCs w:val="18"/>
                </w:rPr>
                <w:t>FR</w:t>
              </w:r>
            </w:hyperlink>
            <w:r w:rsidR="00616280" w:rsidRPr="00E02972">
              <w:rPr>
                <w:rFonts w:cs="Arial"/>
                <w:sz w:val="16"/>
                <w:szCs w:val="18"/>
              </w:rPr>
              <w:t>)</w:t>
            </w:r>
          </w:p>
          <w:p w:rsidR="00032535" w:rsidRPr="00E02972" w:rsidRDefault="006C2CF1" w:rsidP="00616280">
            <w:pPr>
              <w:numPr>
                <w:ilvl w:val="0"/>
                <w:numId w:val="7"/>
              </w:numPr>
              <w:spacing w:before="240" w:after="260"/>
              <w:jc w:val="left"/>
              <w:rPr>
                <w:rFonts w:eastAsia="Times New Roman" w:cs="Arial"/>
                <w:sz w:val="16"/>
                <w:szCs w:val="18"/>
              </w:rPr>
            </w:pPr>
            <w:hyperlink r:id="rId40" w:history="1">
              <w:r w:rsidR="00032535" w:rsidRPr="00E02972">
                <w:rPr>
                  <w:rStyle w:val="Hyperlink"/>
                  <w:rFonts w:cs="Arial"/>
                  <w:sz w:val="16"/>
                  <w:szCs w:val="18"/>
                </w:rPr>
                <w:t xml:space="preserve"> DR1</w:t>
              </w:r>
            </w:hyperlink>
            <w:r w:rsidR="00C526AC" w:rsidRPr="00E02972">
              <w:rPr>
                <w:rStyle w:val="Hyperlink"/>
                <w:rFonts w:cs="Arial"/>
                <w:b/>
                <w:sz w:val="16"/>
                <w:szCs w:val="18"/>
              </w:rPr>
              <w:t>(</w:t>
            </w:r>
            <w:hyperlink r:id="rId41" w:history="1">
              <w:r w:rsidR="00032535" w:rsidRPr="00E02972">
                <w:rPr>
                  <w:rStyle w:val="Hyperlink"/>
                  <w:rFonts w:cs="Arial"/>
                  <w:b/>
                  <w:sz w:val="16"/>
                  <w:szCs w:val="18"/>
                </w:rPr>
                <w:t xml:space="preserve"> Art 61</w:t>
              </w:r>
            </w:hyperlink>
            <w:r w:rsidR="00032535" w:rsidRPr="00E02972">
              <w:rPr>
                <w:rStyle w:val="Hyperlink"/>
                <w:rFonts w:cs="Arial"/>
                <w:b/>
                <w:sz w:val="16"/>
                <w:szCs w:val="18"/>
              </w:rPr>
              <w:t xml:space="preserve">, </w:t>
            </w:r>
            <w:hyperlink r:id="rId42" w:history="1">
              <w:r w:rsidR="00032535" w:rsidRPr="00E02972">
                <w:rPr>
                  <w:rStyle w:val="Hyperlink"/>
                  <w:rFonts w:cs="Arial"/>
                  <w:b/>
                  <w:sz w:val="16"/>
                  <w:szCs w:val="18"/>
                </w:rPr>
                <w:t>71</w:t>
              </w:r>
            </w:hyperlink>
            <w:r w:rsidR="00C526AC" w:rsidRPr="00E02972">
              <w:rPr>
                <w:rStyle w:val="Hyperlink"/>
                <w:rFonts w:cs="Arial"/>
                <w:b/>
                <w:sz w:val="16"/>
                <w:szCs w:val="18"/>
              </w:rPr>
              <w:t>)</w:t>
            </w:r>
          </w:p>
        </w:tc>
        <w:tc>
          <w:tcPr>
            <w:tcW w:w="1213" w:type="pct"/>
            <w:tcBorders>
              <w:top w:val="single" w:sz="4" w:space="0" w:color="auto"/>
              <w:left w:val="single" w:sz="4" w:space="0" w:color="auto"/>
              <w:bottom w:val="single" w:sz="4" w:space="0" w:color="auto"/>
              <w:right w:val="single" w:sz="4" w:space="0" w:color="auto"/>
            </w:tcBorders>
          </w:tcPr>
          <w:p w:rsidR="00AC0660" w:rsidRPr="00E02972" w:rsidRDefault="00AC0660" w:rsidP="00F44B85">
            <w:pPr>
              <w:spacing w:before="120" w:after="120"/>
              <w:rPr>
                <w:rFonts w:cs="Arial"/>
                <w:sz w:val="16"/>
                <w:szCs w:val="18"/>
              </w:rPr>
            </w:pPr>
            <w:r w:rsidRPr="00E02972">
              <w:rPr>
                <w:rFonts w:cs="Arial"/>
                <w:sz w:val="16"/>
                <w:szCs w:val="18"/>
              </w:rPr>
              <w:t>Eligible counterparties (ECP) to be granted greater protection. Firms required to:</w:t>
            </w:r>
          </w:p>
          <w:p w:rsidR="00AC0660" w:rsidRPr="00E02972" w:rsidRDefault="00AC0660" w:rsidP="00F44B85">
            <w:pPr>
              <w:pStyle w:val="BulletPoint1"/>
              <w:numPr>
                <w:ilvl w:val="0"/>
                <w:numId w:val="20"/>
              </w:numPr>
              <w:ind w:left="357" w:hanging="357"/>
              <w:jc w:val="both"/>
              <w:rPr>
                <w:rFonts w:cs="Arial"/>
                <w:sz w:val="16"/>
                <w:szCs w:val="18"/>
              </w:rPr>
            </w:pPr>
            <w:r w:rsidRPr="00E02972">
              <w:rPr>
                <w:rFonts w:cs="Arial"/>
                <w:sz w:val="16"/>
                <w:szCs w:val="18"/>
              </w:rPr>
              <w:t>act in the in the best interest of clients;</w:t>
            </w:r>
          </w:p>
          <w:p w:rsidR="00AC0660" w:rsidRPr="00E02972" w:rsidRDefault="00AC0660" w:rsidP="00F44B85">
            <w:pPr>
              <w:pStyle w:val="BulletPoint1"/>
              <w:numPr>
                <w:ilvl w:val="0"/>
                <w:numId w:val="20"/>
              </w:numPr>
              <w:ind w:left="357" w:hanging="357"/>
              <w:jc w:val="both"/>
              <w:rPr>
                <w:rFonts w:cs="Arial"/>
                <w:sz w:val="16"/>
                <w:szCs w:val="18"/>
              </w:rPr>
            </w:pPr>
            <w:r w:rsidRPr="00E02972">
              <w:rPr>
                <w:rFonts w:cs="Arial"/>
                <w:sz w:val="16"/>
                <w:szCs w:val="18"/>
              </w:rPr>
              <w:t>communicate in a clear, fair and not misleading way;</w:t>
            </w:r>
          </w:p>
          <w:p w:rsidR="00AC0660" w:rsidRPr="00E02972" w:rsidRDefault="00AC0660" w:rsidP="00F44B85">
            <w:pPr>
              <w:pStyle w:val="BulletPoint1"/>
              <w:numPr>
                <w:ilvl w:val="0"/>
                <w:numId w:val="20"/>
              </w:numPr>
              <w:ind w:left="357" w:hanging="357"/>
              <w:jc w:val="both"/>
              <w:rPr>
                <w:rFonts w:cs="Arial"/>
                <w:sz w:val="16"/>
                <w:szCs w:val="18"/>
              </w:rPr>
            </w:pPr>
            <w:r w:rsidRPr="00E02972">
              <w:rPr>
                <w:rFonts w:cs="Arial"/>
                <w:sz w:val="16"/>
                <w:szCs w:val="18"/>
              </w:rPr>
              <w:t>provide appropriate information to the clients (including information as to whether an advice i</w:t>
            </w:r>
            <w:r w:rsidR="00616280" w:rsidRPr="00E02972">
              <w:rPr>
                <w:rFonts w:cs="Arial"/>
                <w:sz w:val="16"/>
                <w:szCs w:val="18"/>
              </w:rPr>
              <w:t>s given on an independent basis;</w:t>
            </w:r>
          </w:p>
          <w:p w:rsidR="00AC0660" w:rsidRPr="00E02972" w:rsidRDefault="00AC0660" w:rsidP="00F44B85">
            <w:pPr>
              <w:pStyle w:val="BulletPoint1"/>
              <w:numPr>
                <w:ilvl w:val="0"/>
                <w:numId w:val="20"/>
              </w:numPr>
              <w:ind w:left="357" w:hanging="357"/>
              <w:jc w:val="both"/>
              <w:rPr>
                <w:rFonts w:cs="Arial"/>
                <w:sz w:val="16"/>
                <w:szCs w:val="18"/>
              </w:rPr>
            </w:pPr>
            <w:r w:rsidRPr="00E02972">
              <w:rPr>
                <w:rFonts w:cs="Arial"/>
                <w:sz w:val="16"/>
                <w:szCs w:val="18"/>
              </w:rPr>
              <w:t>provide detailed information on costs and assoc</w:t>
            </w:r>
            <w:r w:rsidR="00616280" w:rsidRPr="00E02972">
              <w:rPr>
                <w:rFonts w:cs="Arial"/>
                <w:sz w:val="16"/>
                <w:szCs w:val="18"/>
              </w:rPr>
              <w:t>iated charges;</w:t>
            </w:r>
          </w:p>
          <w:p w:rsidR="00AC0660" w:rsidRPr="00E02972" w:rsidRDefault="00AC0660" w:rsidP="00F44B85">
            <w:pPr>
              <w:pStyle w:val="BulletPoint1"/>
              <w:numPr>
                <w:ilvl w:val="0"/>
                <w:numId w:val="20"/>
              </w:numPr>
              <w:ind w:left="357" w:hanging="357"/>
              <w:jc w:val="both"/>
              <w:rPr>
                <w:rFonts w:cs="Arial"/>
                <w:sz w:val="16"/>
                <w:szCs w:val="18"/>
              </w:rPr>
            </w:pPr>
            <w:r w:rsidRPr="00E02972">
              <w:rPr>
                <w:rFonts w:cs="Arial"/>
                <w:sz w:val="16"/>
                <w:szCs w:val="18"/>
              </w:rPr>
              <w:t>comply with client reporting obligations (including disclosing all costs associated to a transaction).</w:t>
            </w:r>
          </w:p>
          <w:p w:rsidR="00032535" w:rsidRPr="00E02972" w:rsidRDefault="00032535" w:rsidP="00F44B85">
            <w:pPr>
              <w:spacing w:before="240" w:after="260"/>
              <w:rPr>
                <w:rFonts w:eastAsia="Times New Roman" w:cs="Arial"/>
                <w:sz w:val="16"/>
                <w:szCs w:val="18"/>
              </w:rPr>
            </w:pPr>
          </w:p>
        </w:tc>
        <w:tc>
          <w:tcPr>
            <w:tcW w:w="306" w:type="pct"/>
            <w:tcBorders>
              <w:top w:val="single" w:sz="4" w:space="0" w:color="auto"/>
              <w:left w:val="single" w:sz="4" w:space="0" w:color="auto"/>
              <w:bottom w:val="single" w:sz="4" w:space="0" w:color="auto"/>
              <w:right w:val="single" w:sz="4" w:space="0" w:color="auto"/>
            </w:tcBorders>
          </w:tcPr>
          <w:p w:rsidR="00032535" w:rsidRPr="00E02972" w:rsidRDefault="00032535" w:rsidP="00F44B85">
            <w:pPr>
              <w:pStyle w:val="ssPara1"/>
              <w:spacing w:before="240"/>
              <w:rPr>
                <w:rFonts w:cs="Arial"/>
                <w:sz w:val="16"/>
                <w:szCs w:val="18"/>
              </w:rPr>
            </w:pPr>
            <w:r w:rsidRPr="00E02972">
              <w:rPr>
                <w:rFonts w:cs="Arial"/>
                <w:sz w:val="16"/>
                <w:szCs w:val="18"/>
              </w:rPr>
              <w:t>ECP</w:t>
            </w:r>
          </w:p>
        </w:tc>
        <w:tc>
          <w:tcPr>
            <w:tcW w:w="1611" w:type="pct"/>
            <w:tcBorders>
              <w:top w:val="single" w:sz="4" w:space="0" w:color="auto"/>
              <w:left w:val="single" w:sz="4" w:space="0" w:color="auto"/>
              <w:bottom w:val="single" w:sz="4" w:space="0" w:color="auto"/>
              <w:right w:val="single" w:sz="4" w:space="0" w:color="auto"/>
            </w:tcBorders>
          </w:tcPr>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Draft client documentation for ECP clients to provide detailed information on costs and charges and to meet reporting requirements as agreed with ECP’s.</w:t>
            </w:r>
          </w:p>
          <w:p w:rsidR="00032535" w:rsidRPr="00E02972" w:rsidRDefault="00032535" w:rsidP="00F44B85">
            <w:pPr>
              <w:pStyle w:val="BulletPoint1"/>
              <w:numPr>
                <w:ilvl w:val="0"/>
                <w:numId w:val="9"/>
              </w:numPr>
              <w:tabs>
                <w:tab w:val="clear" w:pos="684"/>
              </w:tabs>
              <w:jc w:val="both"/>
              <w:rPr>
                <w:rFonts w:cs="Arial"/>
                <w:sz w:val="16"/>
                <w:szCs w:val="18"/>
                <w:lang w:val="en-US" w:eastAsia="en-US"/>
              </w:rPr>
            </w:pPr>
            <w:r w:rsidRPr="00E02972">
              <w:rPr>
                <w:rFonts w:cs="Arial"/>
                <w:sz w:val="16"/>
                <w:szCs w:val="18"/>
              </w:rPr>
              <w:t xml:space="preserve">Consider a review/amend any existing agreements communications  with ECPS’s to </w:t>
            </w:r>
            <w:r w:rsidRPr="00E02972">
              <w:rPr>
                <w:rFonts w:cs="Arial"/>
                <w:bCs/>
                <w:sz w:val="16"/>
                <w:szCs w:val="18"/>
              </w:rPr>
              <w:t>ensure</w:t>
            </w:r>
            <w:r w:rsidRPr="00E02972">
              <w:rPr>
                <w:rFonts w:cs="Arial"/>
                <w:sz w:val="16"/>
                <w:szCs w:val="18"/>
              </w:rPr>
              <w:t xml:space="preserve"> they meet requirement to ensure communications are clear, fair and not misleading.</w:t>
            </w:r>
          </w:p>
          <w:p w:rsidR="00616280" w:rsidRPr="00E02972" w:rsidRDefault="00616280" w:rsidP="00F44B85">
            <w:pPr>
              <w:pStyle w:val="BulletPoint1"/>
              <w:numPr>
                <w:ilvl w:val="0"/>
                <w:numId w:val="9"/>
              </w:numPr>
              <w:tabs>
                <w:tab w:val="clear" w:pos="684"/>
              </w:tabs>
              <w:jc w:val="both"/>
              <w:rPr>
                <w:rFonts w:cs="Arial"/>
                <w:sz w:val="16"/>
                <w:szCs w:val="18"/>
                <w:lang w:val="en-US" w:eastAsia="en-US"/>
              </w:rPr>
            </w:pPr>
            <w:r w:rsidRPr="00E02972">
              <w:rPr>
                <w:rFonts w:cs="Arial"/>
                <w:sz w:val="16"/>
                <w:szCs w:val="18"/>
              </w:rPr>
              <w:t xml:space="preserve">Implement processes and documentation to ensure comply with ECP reporting requirements. </w:t>
            </w:r>
          </w:p>
        </w:tc>
        <w:tc>
          <w:tcPr>
            <w:tcW w:w="625" w:type="pct"/>
            <w:tcBorders>
              <w:top w:val="single" w:sz="4" w:space="0" w:color="auto"/>
              <w:left w:val="single" w:sz="4" w:space="0" w:color="auto"/>
              <w:bottom w:val="single" w:sz="4" w:space="0" w:color="auto"/>
              <w:right w:val="single" w:sz="4" w:space="0" w:color="auto"/>
            </w:tcBorders>
          </w:tcPr>
          <w:p w:rsidR="00032535" w:rsidRPr="00E02972" w:rsidRDefault="00C51B7B" w:rsidP="00C51B7B">
            <w:pPr>
              <w:pStyle w:val="ssPara1"/>
              <w:numPr>
                <w:ilvl w:val="0"/>
                <w:numId w:val="7"/>
              </w:numPr>
              <w:spacing w:before="240"/>
              <w:jc w:val="left"/>
              <w:rPr>
                <w:rFonts w:cs="Arial"/>
                <w:sz w:val="16"/>
                <w:szCs w:val="18"/>
              </w:rPr>
            </w:pPr>
            <w:r w:rsidRPr="00E02972">
              <w:rPr>
                <w:rFonts w:cs="Arial"/>
                <w:sz w:val="16"/>
                <w:szCs w:val="18"/>
              </w:rPr>
              <w:t xml:space="preserve">Terms of business with eligible counterparties. </w:t>
            </w:r>
          </w:p>
          <w:p w:rsidR="00616280" w:rsidRPr="00E02972" w:rsidRDefault="00AC0660" w:rsidP="00C51B7B">
            <w:pPr>
              <w:pStyle w:val="ssPara1"/>
              <w:numPr>
                <w:ilvl w:val="0"/>
                <w:numId w:val="7"/>
              </w:numPr>
              <w:spacing w:before="240"/>
              <w:jc w:val="left"/>
              <w:rPr>
                <w:rFonts w:cs="Arial"/>
                <w:sz w:val="16"/>
                <w:szCs w:val="18"/>
              </w:rPr>
            </w:pPr>
            <w:r w:rsidRPr="00E02972">
              <w:rPr>
                <w:rFonts w:cs="Arial"/>
                <w:sz w:val="16"/>
                <w:szCs w:val="18"/>
              </w:rPr>
              <w:t>Communications addressed to eligible counterparties.</w:t>
            </w:r>
          </w:p>
          <w:p w:rsidR="00AC0660" w:rsidRPr="00E02972" w:rsidRDefault="00616280" w:rsidP="00C51B7B">
            <w:pPr>
              <w:pStyle w:val="ssPara1"/>
              <w:numPr>
                <w:ilvl w:val="0"/>
                <w:numId w:val="7"/>
              </w:numPr>
              <w:spacing w:before="240"/>
              <w:jc w:val="left"/>
              <w:rPr>
                <w:rFonts w:cs="Arial"/>
                <w:sz w:val="16"/>
                <w:szCs w:val="18"/>
              </w:rPr>
            </w:pPr>
            <w:r w:rsidRPr="00E02972">
              <w:rPr>
                <w:rFonts w:cs="Arial"/>
                <w:sz w:val="16"/>
                <w:szCs w:val="18"/>
              </w:rPr>
              <w:t xml:space="preserve">ECP reporting documentation. </w:t>
            </w:r>
            <w:r w:rsidR="00AC0660" w:rsidRPr="00E02972">
              <w:rPr>
                <w:rFonts w:cs="Arial"/>
                <w:sz w:val="16"/>
                <w:szCs w:val="18"/>
              </w:rPr>
              <w:t xml:space="preserve"> </w:t>
            </w:r>
          </w:p>
        </w:tc>
        <w:tc>
          <w:tcPr>
            <w:tcW w:w="416" w:type="pct"/>
            <w:tcBorders>
              <w:top w:val="single" w:sz="4" w:space="0" w:color="auto"/>
              <w:left w:val="single" w:sz="4" w:space="0" w:color="auto"/>
              <w:bottom w:val="single" w:sz="4" w:space="0" w:color="auto"/>
              <w:right w:val="single" w:sz="4" w:space="0" w:color="auto"/>
            </w:tcBorders>
          </w:tcPr>
          <w:p w:rsidR="00032535" w:rsidRPr="00E02972" w:rsidRDefault="00032535" w:rsidP="00F44B85">
            <w:pPr>
              <w:pStyle w:val="ssPara1"/>
              <w:spacing w:before="240"/>
              <w:ind w:left="360"/>
              <w:rPr>
                <w:rFonts w:cs="Arial"/>
                <w:sz w:val="16"/>
                <w:szCs w:val="18"/>
              </w:rPr>
            </w:pPr>
          </w:p>
        </w:tc>
      </w:tr>
      <w:tr w:rsidR="00032535" w:rsidRPr="00E02972" w:rsidTr="00F44B85">
        <w:tc>
          <w:tcPr>
            <w:tcW w:w="455" w:type="pct"/>
            <w:tcBorders>
              <w:top w:val="single" w:sz="4" w:space="0" w:color="auto"/>
              <w:left w:val="single" w:sz="4" w:space="0" w:color="auto"/>
              <w:bottom w:val="single" w:sz="4" w:space="0" w:color="auto"/>
              <w:right w:val="single" w:sz="4" w:space="0" w:color="auto"/>
            </w:tcBorders>
            <w:shd w:val="clear" w:color="auto" w:fill="69889A"/>
          </w:tcPr>
          <w:p w:rsidR="00032535" w:rsidRPr="00E02972" w:rsidRDefault="00032535" w:rsidP="00B02277">
            <w:pPr>
              <w:spacing w:before="120" w:after="120"/>
              <w:jc w:val="left"/>
              <w:rPr>
                <w:rFonts w:eastAsia="Times New Roman" w:cs="Arial"/>
                <w:b/>
                <w:bCs/>
                <w:color w:val="FFFFFF" w:themeColor="background1"/>
                <w:sz w:val="16"/>
                <w:szCs w:val="18"/>
                <w:lang w:eastAsia="en-GB"/>
              </w:rPr>
            </w:pPr>
            <w:r w:rsidRPr="00E02972">
              <w:rPr>
                <w:rFonts w:eastAsia="Times New Roman" w:cs="Arial"/>
                <w:b/>
                <w:bCs/>
                <w:color w:val="FFFFFF" w:themeColor="background1"/>
                <w:sz w:val="16"/>
                <w:szCs w:val="18"/>
                <w:lang w:eastAsia="en-GB"/>
              </w:rPr>
              <w:t xml:space="preserve">INFORMATION TO CLIENTS ABOUT INVESTMENT ADVICE </w:t>
            </w:r>
          </w:p>
        </w:tc>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tcPr>
          <w:p w:rsidR="00032535" w:rsidRPr="00E02972" w:rsidRDefault="006C2CF1" w:rsidP="00B02277">
            <w:pPr>
              <w:spacing w:before="120" w:after="120"/>
              <w:jc w:val="left"/>
              <w:rPr>
                <w:rFonts w:eastAsia="Times New Roman" w:cs="Arial"/>
                <w:sz w:val="16"/>
                <w:szCs w:val="18"/>
              </w:rPr>
            </w:pPr>
            <w:hyperlink r:id="rId43" w:history="1">
              <w:r w:rsidR="00032535" w:rsidRPr="00E02972">
                <w:rPr>
                  <w:rStyle w:val="Hyperlink"/>
                  <w:rFonts w:cs="Arial"/>
                  <w:sz w:val="16"/>
                  <w:szCs w:val="18"/>
                </w:rPr>
                <w:t>D</w:t>
              </w:r>
            </w:hyperlink>
            <w:r w:rsidR="00032535" w:rsidRPr="00E02972">
              <w:rPr>
                <w:rFonts w:cs="Arial"/>
                <w:sz w:val="16"/>
                <w:szCs w:val="18"/>
              </w:rPr>
              <w:t xml:space="preserve"> </w:t>
            </w:r>
            <w:r w:rsidR="00032535" w:rsidRPr="00E02972">
              <w:rPr>
                <w:rFonts w:eastAsia="Times New Roman" w:cs="Arial"/>
                <w:sz w:val="16"/>
                <w:szCs w:val="18"/>
              </w:rPr>
              <w:t xml:space="preserve"> Art 24(4) &amp; (7)</w:t>
            </w:r>
          </w:p>
          <w:p w:rsidR="00616280" w:rsidRPr="00E02972" w:rsidRDefault="00032535" w:rsidP="006E3A87">
            <w:pPr>
              <w:spacing w:before="240" w:after="260"/>
              <w:jc w:val="left"/>
              <w:rPr>
                <w:rFonts w:cs="Arial"/>
                <w:sz w:val="16"/>
                <w:szCs w:val="18"/>
              </w:rPr>
            </w:pPr>
            <w:r w:rsidRPr="00E02972">
              <w:rPr>
                <w:rFonts w:cs="Arial"/>
                <w:sz w:val="16"/>
                <w:szCs w:val="18"/>
              </w:rPr>
              <w:t xml:space="preserve">L2: </w:t>
            </w:r>
            <w:r w:rsidR="00616280" w:rsidRPr="00E02972">
              <w:rPr>
                <w:rFonts w:cs="Arial"/>
                <w:sz w:val="16"/>
                <w:szCs w:val="18"/>
              </w:rPr>
              <w:t>(</w:t>
            </w:r>
            <w:hyperlink r:id="rId44" w:history="1">
              <w:hyperlink r:id="rId45" w:history="1">
                <w:r w:rsidRPr="00E02972">
                  <w:rPr>
                    <w:rStyle w:val="Hyperlink"/>
                    <w:rFonts w:cs="Arial"/>
                    <w:sz w:val="16"/>
                    <w:szCs w:val="18"/>
                  </w:rPr>
                  <w:t>CP1</w:t>
                </w:r>
              </w:hyperlink>
            </w:hyperlink>
            <w:r w:rsidRPr="00E02972">
              <w:rPr>
                <w:rFonts w:cs="Arial"/>
                <w:sz w:val="16"/>
                <w:szCs w:val="18"/>
              </w:rPr>
              <w:t xml:space="preserve">, </w:t>
            </w:r>
            <w:hyperlink r:id="rId46" w:history="1">
              <w:r w:rsidRPr="00E02972">
                <w:rPr>
                  <w:rStyle w:val="Hyperlink"/>
                  <w:rFonts w:cs="Arial"/>
                  <w:sz w:val="16"/>
                  <w:szCs w:val="18"/>
                </w:rPr>
                <w:t>FR</w:t>
              </w:r>
            </w:hyperlink>
            <w:r w:rsidR="00616280" w:rsidRPr="00E02972">
              <w:rPr>
                <w:rFonts w:cs="Arial"/>
                <w:sz w:val="16"/>
                <w:szCs w:val="18"/>
              </w:rPr>
              <w:t>)</w:t>
            </w:r>
            <w:r w:rsidRPr="00E02972">
              <w:rPr>
                <w:rFonts w:cs="Arial"/>
                <w:sz w:val="16"/>
                <w:szCs w:val="18"/>
              </w:rPr>
              <w:t xml:space="preserve"> </w:t>
            </w:r>
          </w:p>
          <w:p w:rsidR="00032535" w:rsidRPr="00E02972" w:rsidRDefault="006C2CF1" w:rsidP="00616280">
            <w:pPr>
              <w:numPr>
                <w:ilvl w:val="0"/>
                <w:numId w:val="7"/>
              </w:numPr>
              <w:spacing w:before="240" w:after="260"/>
              <w:jc w:val="left"/>
              <w:rPr>
                <w:rFonts w:eastAsia="Times New Roman" w:cs="Arial"/>
                <w:sz w:val="16"/>
                <w:szCs w:val="18"/>
              </w:rPr>
            </w:pPr>
            <w:hyperlink r:id="rId47" w:history="1">
              <w:r w:rsidR="00032535" w:rsidRPr="00E02972">
                <w:rPr>
                  <w:rStyle w:val="Hyperlink"/>
                  <w:rFonts w:cs="Arial"/>
                  <w:sz w:val="16"/>
                  <w:szCs w:val="18"/>
                </w:rPr>
                <w:t>DR1</w:t>
              </w:r>
            </w:hyperlink>
            <w:r w:rsidR="00C526AC" w:rsidRPr="00E02972">
              <w:rPr>
                <w:rStyle w:val="Hyperlink"/>
                <w:rFonts w:cs="Arial"/>
                <w:b/>
                <w:sz w:val="16"/>
                <w:szCs w:val="18"/>
              </w:rPr>
              <w:t>(</w:t>
            </w:r>
            <w:hyperlink r:id="rId48" w:history="1">
              <w:r w:rsidR="00032535" w:rsidRPr="00E02972">
                <w:rPr>
                  <w:rStyle w:val="Hyperlink"/>
                  <w:rFonts w:cs="Arial"/>
                  <w:b/>
                  <w:sz w:val="16"/>
                  <w:szCs w:val="18"/>
                </w:rPr>
                <w:t>Art 9</w:t>
              </w:r>
            </w:hyperlink>
            <w:r w:rsidR="00032535" w:rsidRPr="00E02972">
              <w:rPr>
                <w:rStyle w:val="Hyperlink"/>
                <w:rFonts w:cs="Arial"/>
                <w:b/>
                <w:sz w:val="16"/>
                <w:szCs w:val="18"/>
              </w:rPr>
              <w:t xml:space="preserve">,  </w:t>
            </w:r>
            <w:hyperlink r:id="rId49" w:history="1">
              <w:r w:rsidR="00032535" w:rsidRPr="00E02972">
                <w:rPr>
                  <w:rStyle w:val="Hyperlink"/>
                  <w:rFonts w:cs="Arial"/>
                  <w:b/>
                  <w:sz w:val="16"/>
                  <w:szCs w:val="18"/>
                </w:rPr>
                <w:t>47,48, 49</w:t>
              </w:r>
            </w:hyperlink>
            <w:r w:rsidR="00032535" w:rsidRPr="00E02972">
              <w:rPr>
                <w:rStyle w:val="Hyperlink"/>
                <w:rFonts w:cs="Arial"/>
                <w:b/>
                <w:sz w:val="16"/>
                <w:szCs w:val="18"/>
              </w:rPr>
              <w:t>,</w:t>
            </w:r>
            <w:hyperlink r:id="rId50" w:history="1">
              <w:r w:rsidR="00032535" w:rsidRPr="00E02972">
                <w:rPr>
                  <w:rStyle w:val="Hyperlink"/>
                  <w:rFonts w:cs="Arial"/>
                  <w:b/>
                  <w:sz w:val="16"/>
                  <w:szCs w:val="18"/>
                </w:rPr>
                <w:t>52, 53</w:t>
              </w:r>
            </w:hyperlink>
            <w:r w:rsidR="00C526AC" w:rsidRPr="00E02972">
              <w:rPr>
                <w:rStyle w:val="Hyperlink"/>
                <w:rFonts w:cs="Arial"/>
                <w:b/>
                <w:sz w:val="16"/>
                <w:szCs w:val="18"/>
              </w:rPr>
              <w:t>)</w:t>
            </w:r>
          </w:p>
        </w:tc>
        <w:tc>
          <w:tcPr>
            <w:tcW w:w="1213" w:type="pct"/>
            <w:tcBorders>
              <w:top w:val="single" w:sz="4" w:space="0" w:color="auto"/>
              <w:left w:val="single" w:sz="4" w:space="0" w:color="auto"/>
              <w:bottom w:val="single" w:sz="4" w:space="0" w:color="auto"/>
              <w:right w:val="single" w:sz="4" w:space="0" w:color="auto"/>
            </w:tcBorders>
            <w:shd w:val="clear" w:color="auto" w:fill="FFFFFF" w:themeFill="background1"/>
          </w:tcPr>
          <w:p w:rsidR="00032535" w:rsidRPr="00E02972" w:rsidRDefault="00032535" w:rsidP="00F44B85">
            <w:pPr>
              <w:spacing w:before="120" w:after="120"/>
              <w:rPr>
                <w:rFonts w:eastAsia="Times New Roman" w:cs="Arial"/>
                <w:sz w:val="16"/>
                <w:szCs w:val="18"/>
              </w:rPr>
            </w:pPr>
            <w:r w:rsidRPr="00E02972">
              <w:rPr>
                <w:rFonts w:eastAsia="Times New Roman" w:cs="Arial"/>
                <w:sz w:val="16"/>
                <w:szCs w:val="18"/>
              </w:rPr>
              <w:t>Detailed information requirements with regards to information on financial instruments to be provided to client in good time before the provision of investment service, including:</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the risks associated including an explanation of leverage and effects and risks of losing investments;</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volatility of price and any limitations on the available market for such instruments;</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information on impediments or restrictions for disinvestment;</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details of any margin requirements or similar obligations (See DR1 for full details</w:t>
            </w:r>
            <w:r w:rsidR="00F44B85" w:rsidRPr="00E02972">
              <w:rPr>
                <w:rFonts w:cs="Arial"/>
                <w:sz w:val="16"/>
                <w:szCs w:val="18"/>
              </w:rPr>
              <w:t xml:space="preserve">). </w:t>
            </w:r>
          </w:p>
          <w:p w:rsidR="00032535" w:rsidRPr="00E02972" w:rsidRDefault="00032535" w:rsidP="00F44B85">
            <w:pPr>
              <w:spacing w:before="120" w:after="120"/>
              <w:rPr>
                <w:rFonts w:eastAsia="Times New Roman" w:cs="Arial"/>
                <w:sz w:val="16"/>
                <w:szCs w:val="18"/>
              </w:rPr>
            </w:pPr>
            <w:r w:rsidRPr="00E02972">
              <w:rPr>
                <w:rFonts w:eastAsia="Times New Roman" w:cs="Arial"/>
                <w:sz w:val="16"/>
                <w:szCs w:val="18"/>
              </w:rPr>
              <w:t>More detailed information to be provided to client regarding services, proposed investment strategies, execution venues and costs and in particular to include:</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whether or not advice provided on independent basis;</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basis on which advice is being provided (broad or restricted analysis of financial instruments);</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whether a periodic assessment of suitability will be provided and if so details of the (i) frequency and extent of periodic suitability; (ii) extent to which previous information will be subject to re-assessment; and (iii) way in which an updated recommendation will be communicated.;</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guidance on and warnings of risks associated with investments;</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information on all costs and charges.</w:t>
            </w:r>
          </w:p>
          <w:p w:rsidR="00032535" w:rsidRPr="00E02972" w:rsidRDefault="00032535" w:rsidP="00F44B85">
            <w:pPr>
              <w:pStyle w:val="BodyParagraphText"/>
              <w:jc w:val="both"/>
              <w:rPr>
                <w:rFonts w:cs="Arial"/>
                <w:sz w:val="16"/>
                <w:szCs w:val="18"/>
              </w:rPr>
            </w:pPr>
            <w:r w:rsidRPr="00E02972">
              <w:rPr>
                <w:rFonts w:cs="Arial"/>
                <w:sz w:val="16"/>
                <w:szCs w:val="18"/>
              </w:rPr>
              <w:lastRenderedPageBreak/>
              <w:t>Detail to include:</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a description of the types of financial instruments considered;</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range of financial instruments and providers;</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when providing independent advice, how the service satisfies the criteria of independent advice;</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factors taken into consideration with selection process such as risks, costs and complexity.</w:t>
            </w:r>
          </w:p>
          <w:p w:rsidR="00032535" w:rsidRPr="00E02972" w:rsidRDefault="00032535" w:rsidP="00F44B85">
            <w:pPr>
              <w:pStyle w:val="BodyParagraphText"/>
              <w:jc w:val="both"/>
              <w:rPr>
                <w:rFonts w:cs="Arial"/>
                <w:sz w:val="16"/>
                <w:szCs w:val="18"/>
              </w:rPr>
            </w:pPr>
            <w:r w:rsidRPr="00E02972">
              <w:rPr>
                <w:rFonts w:cs="Arial"/>
                <w:sz w:val="16"/>
                <w:szCs w:val="18"/>
              </w:rPr>
              <w:t>New concept of “independent</w:t>
            </w:r>
            <w:r w:rsidRPr="00E02972">
              <w:rPr>
                <w:rFonts w:cs="Arial"/>
                <w:b/>
                <w:sz w:val="16"/>
                <w:szCs w:val="18"/>
              </w:rPr>
              <w:t xml:space="preserve"> </w:t>
            </w:r>
            <w:r w:rsidRPr="00E02972">
              <w:rPr>
                <w:rFonts w:cs="Arial"/>
                <w:sz w:val="16"/>
                <w:szCs w:val="18"/>
              </w:rPr>
              <w:t>investment</w:t>
            </w:r>
            <w:r w:rsidRPr="00E02972">
              <w:rPr>
                <w:rFonts w:cs="Arial"/>
                <w:b/>
                <w:sz w:val="16"/>
                <w:szCs w:val="18"/>
              </w:rPr>
              <w:t xml:space="preserve"> </w:t>
            </w:r>
            <w:r w:rsidRPr="00E02972">
              <w:rPr>
                <w:rFonts w:cs="Arial"/>
                <w:sz w:val="16"/>
                <w:szCs w:val="18"/>
              </w:rPr>
              <w:t>advice” introduced which requires:</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the number and variety of financial instruments considered is proportionate to the scope of investment advice services offered by the independent investment adviser;</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the number and variety of financial instruments considered is adequately representative of financial instruments available on the market;</w:t>
            </w:r>
          </w:p>
          <w:p w:rsidR="00AC0660"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the quantity of financial instruments issued by the investment firm itself or by entities closely linked to the investment firm itself is proportionate to the total amount of financial instruments considered; and</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 xml:space="preserve">the criteria for selecting the various financial instruments shall include all relevant aspects such as risks, costs and complexity as well as the characteristics of the investment firm’s </w:t>
            </w:r>
            <w:proofErr w:type="gramStart"/>
            <w:r w:rsidRPr="00E02972">
              <w:rPr>
                <w:rFonts w:cs="Arial"/>
                <w:sz w:val="16"/>
                <w:szCs w:val="18"/>
              </w:rPr>
              <w:t>clients, and</w:t>
            </w:r>
            <w:proofErr w:type="gramEnd"/>
            <w:r w:rsidRPr="00E02972">
              <w:rPr>
                <w:rFonts w:cs="Arial"/>
                <w:sz w:val="16"/>
                <w:szCs w:val="18"/>
              </w:rPr>
              <w:t xml:space="preserve"> shall ensure that the selection of the instruments that may be recommended is not biased.</w:t>
            </w:r>
          </w:p>
          <w:p w:rsidR="00032535" w:rsidRPr="00E02972" w:rsidRDefault="00032535" w:rsidP="00F44B85">
            <w:pPr>
              <w:pStyle w:val="BodyParagraphText"/>
              <w:jc w:val="both"/>
              <w:rPr>
                <w:rFonts w:cs="Arial"/>
                <w:sz w:val="16"/>
                <w:szCs w:val="18"/>
              </w:rPr>
            </w:pPr>
            <w:r w:rsidRPr="00E02972">
              <w:rPr>
                <w:rFonts w:cs="Arial"/>
                <w:sz w:val="16"/>
                <w:szCs w:val="18"/>
              </w:rPr>
              <w:t>Firms which provide advice on both an independent and non- independent basis, to:</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in good time before the provision of services informed clients in durable medium, whether advice will be independent or non-independent;</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have in place adequate organisational requirements to ensure that the two services and advisors are separate from each other to avoid any conflict of interest.</w: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tcPr>
          <w:p w:rsidR="00032535" w:rsidRPr="00E02972" w:rsidRDefault="00032535" w:rsidP="00F44B85">
            <w:pPr>
              <w:pStyle w:val="BodyParagraphText"/>
              <w:spacing w:line="240" w:lineRule="auto"/>
              <w:jc w:val="both"/>
              <w:rPr>
                <w:rFonts w:cs="Arial"/>
                <w:sz w:val="16"/>
                <w:szCs w:val="18"/>
              </w:rPr>
            </w:pPr>
            <w:r w:rsidRPr="00E02972">
              <w:rPr>
                <w:rFonts w:cs="Arial"/>
                <w:sz w:val="16"/>
                <w:szCs w:val="18"/>
              </w:rPr>
              <w:lastRenderedPageBreak/>
              <w:t>R</w:t>
            </w:r>
            <w:r w:rsidRPr="00E02972">
              <w:rPr>
                <w:rFonts w:cs="Arial"/>
                <w:sz w:val="16"/>
                <w:szCs w:val="18"/>
              </w:rPr>
              <w:br/>
              <w:t>EP</w:t>
            </w:r>
            <w:r w:rsidRPr="00E02972">
              <w:rPr>
                <w:rFonts w:cs="Arial"/>
                <w:sz w:val="16"/>
                <w:szCs w:val="18"/>
              </w:rPr>
              <w:br/>
              <w:t>PSP</w:t>
            </w:r>
            <w:r w:rsidRPr="00E02972">
              <w:rPr>
                <w:rFonts w:cs="Arial"/>
                <w:sz w:val="16"/>
                <w:szCs w:val="18"/>
              </w:rPr>
              <w:br/>
              <w:t>ECP (upon request)</w:t>
            </w:r>
          </w:p>
        </w:tc>
        <w:tc>
          <w:tcPr>
            <w:tcW w:w="1611" w:type="pct"/>
            <w:tcBorders>
              <w:top w:val="single" w:sz="4" w:space="0" w:color="auto"/>
              <w:left w:val="single" w:sz="4" w:space="0" w:color="auto"/>
              <w:bottom w:val="single" w:sz="4" w:space="0" w:color="auto"/>
              <w:right w:val="single" w:sz="4" w:space="0" w:color="auto"/>
            </w:tcBorders>
            <w:shd w:val="clear" w:color="auto" w:fill="FFFFFF" w:themeFill="background1"/>
          </w:tcPr>
          <w:p w:rsidR="00032535" w:rsidRPr="00E02972" w:rsidRDefault="00032535" w:rsidP="00F44B85">
            <w:pPr>
              <w:pStyle w:val="ssPara1"/>
              <w:spacing w:before="240"/>
              <w:rPr>
                <w:rFonts w:cs="Arial"/>
                <w:sz w:val="16"/>
                <w:szCs w:val="18"/>
              </w:rPr>
            </w:pPr>
            <w:r w:rsidRPr="00E02972">
              <w:rPr>
                <w:rFonts w:eastAsia="Times New Roman" w:cs="Arial"/>
                <w:sz w:val="16"/>
                <w:szCs w:val="18"/>
              </w:rPr>
              <w:t xml:space="preserve">For clients where investment advice is provided review and/or amend client agreements  to </w:t>
            </w:r>
            <w:r w:rsidRPr="00E02972">
              <w:rPr>
                <w:rFonts w:cs="Arial"/>
                <w:sz w:val="16"/>
                <w:szCs w:val="18"/>
              </w:rPr>
              <w:t>ensure:</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drafted in the correct format;</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contains required disclosures a</w:t>
            </w:r>
            <w:r w:rsidR="00AC0660" w:rsidRPr="00E02972">
              <w:rPr>
                <w:rFonts w:cs="Arial"/>
                <w:sz w:val="16"/>
                <w:szCs w:val="18"/>
              </w:rPr>
              <w:t>nd information specified at DR1</w:t>
            </w:r>
            <w:r w:rsidRPr="00E02972">
              <w:rPr>
                <w:rFonts w:cs="Arial"/>
                <w:sz w:val="16"/>
                <w:szCs w:val="18"/>
              </w:rPr>
              <w:t>;</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contains the required information on risk warnings;</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contains information on all costs and charges.</w:t>
            </w:r>
          </w:p>
        </w:tc>
        <w:tc>
          <w:tcPr>
            <w:tcW w:w="625" w:type="pct"/>
            <w:tcBorders>
              <w:top w:val="single" w:sz="4" w:space="0" w:color="auto"/>
              <w:left w:val="single" w:sz="4" w:space="0" w:color="auto"/>
              <w:bottom w:val="single" w:sz="4" w:space="0" w:color="auto"/>
              <w:right w:val="single" w:sz="4" w:space="0" w:color="auto"/>
            </w:tcBorders>
            <w:shd w:val="clear" w:color="auto" w:fill="FFFFFF" w:themeFill="background1"/>
          </w:tcPr>
          <w:p w:rsidR="00AC0660" w:rsidRPr="00E02972" w:rsidRDefault="00AC0660" w:rsidP="00AC0660">
            <w:pPr>
              <w:numPr>
                <w:ilvl w:val="0"/>
                <w:numId w:val="9"/>
              </w:numPr>
              <w:spacing w:before="240" w:after="260"/>
              <w:jc w:val="left"/>
              <w:rPr>
                <w:rFonts w:eastAsia="Times New Roman" w:cs="Arial"/>
                <w:bCs/>
                <w:sz w:val="16"/>
                <w:szCs w:val="18"/>
              </w:rPr>
            </w:pPr>
            <w:r w:rsidRPr="00E02972">
              <w:rPr>
                <w:rFonts w:eastAsia="Times New Roman" w:cs="Arial"/>
                <w:bCs/>
                <w:sz w:val="16"/>
                <w:szCs w:val="18"/>
              </w:rPr>
              <w:t>Client on-boarding documentation.</w:t>
            </w:r>
          </w:p>
          <w:p w:rsidR="00AC0660" w:rsidRPr="00E02972" w:rsidRDefault="00AC0660" w:rsidP="00AC0660">
            <w:pPr>
              <w:numPr>
                <w:ilvl w:val="0"/>
                <w:numId w:val="9"/>
              </w:numPr>
              <w:spacing w:before="240" w:after="260"/>
              <w:jc w:val="left"/>
              <w:rPr>
                <w:rFonts w:eastAsia="Times New Roman" w:cs="Arial"/>
                <w:bCs/>
                <w:sz w:val="16"/>
                <w:szCs w:val="18"/>
              </w:rPr>
            </w:pPr>
            <w:r w:rsidRPr="00E02972">
              <w:rPr>
                <w:rFonts w:eastAsia="Times New Roman" w:cs="Arial"/>
                <w:bCs/>
                <w:sz w:val="16"/>
                <w:szCs w:val="18"/>
              </w:rPr>
              <w:t>Client Terms of Business.</w:t>
            </w:r>
          </w:p>
          <w:p w:rsidR="00AC0660" w:rsidRPr="00E02972" w:rsidRDefault="00AC0660" w:rsidP="00AC0660">
            <w:pPr>
              <w:numPr>
                <w:ilvl w:val="0"/>
                <w:numId w:val="9"/>
              </w:numPr>
              <w:spacing w:before="240" w:after="260"/>
              <w:jc w:val="left"/>
              <w:rPr>
                <w:rFonts w:eastAsia="Times New Roman" w:cs="Arial"/>
                <w:bCs/>
                <w:sz w:val="16"/>
                <w:szCs w:val="18"/>
              </w:rPr>
            </w:pPr>
            <w:r w:rsidRPr="00E02972">
              <w:rPr>
                <w:rFonts w:eastAsia="Times New Roman" w:cs="Arial"/>
                <w:bCs/>
                <w:sz w:val="16"/>
                <w:szCs w:val="18"/>
              </w:rPr>
              <w:t>Client covering letters (to send with general terms of business)</w:t>
            </w:r>
          </w:p>
          <w:p w:rsidR="00AC0660" w:rsidRPr="00E02972" w:rsidRDefault="00AC0660" w:rsidP="00AC0660">
            <w:pPr>
              <w:pStyle w:val="ssPara1"/>
              <w:numPr>
                <w:ilvl w:val="0"/>
                <w:numId w:val="9"/>
              </w:numPr>
              <w:spacing w:before="240"/>
              <w:jc w:val="left"/>
              <w:rPr>
                <w:rFonts w:cs="Arial"/>
                <w:sz w:val="16"/>
                <w:szCs w:val="18"/>
              </w:rPr>
            </w:pPr>
            <w:r w:rsidRPr="00E02972">
              <w:rPr>
                <w:rFonts w:cs="Arial"/>
                <w:sz w:val="16"/>
                <w:szCs w:val="18"/>
              </w:rPr>
              <w:t xml:space="preserve">Investment Advisory Agreements. </w:t>
            </w:r>
          </w:p>
          <w:p w:rsidR="00AC0660" w:rsidRPr="00E02972" w:rsidRDefault="00AC0660" w:rsidP="00AC0660">
            <w:pPr>
              <w:pStyle w:val="ssPara1"/>
              <w:numPr>
                <w:ilvl w:val="0"/>
                <w:numId w:val="9"/>
              </w:numPr>
              <w:spacing w:before="240"/>
              <w:jc w:val="left"/>
              <w:rPr>
                <w:rFonts w:cs="Arial"/>
                <w:sz w:val="16"/>
                <w:szCs w:val="18"/>
              </w:rPr>
            </w:pPr>
            <w:r w:rsidRPr="00E02972">
              <w:rPr>
                <w:rFonts w:cs="Arial"/>
                <w:sz w:val="16"/>
                <w:szCs w:val="18"/>
              </w:rPr>
              <w:t>Side Letters.</w:t>
            </w:r>
          </w:p>
        </w:tc>
        <w:tc>
          <w:tcPr>
            <w:tcW w:w="416" w:type="pct"/>
            <w:tcBorders>
              <w:top w:val="single" w:sz="4" w:space="0" w:color="auto"/>
              <w:left w:val="single" w:sz="4" w:space="0" w:color="auto"/>
              <w:bottom w:val="single" w:sz="4" w:space="0" w:color="auto"/>
              <w:right w:val="single" w:sz="4" w:space="0" w:color="auto"/>
            </w:tcBorders>
            <w:shd w:val="clear" w:color="auto" w:fill="FFFFFF" w:themeFill="background1"/>
          </w:tcPr>
          <w:p w:rsidR="00032535" w:rsidRPr="00E02972" w:rsidRDefault="00032535" w:rsidP="00F44B85">
            <w:pPr>
              <w:pStyle w:val="ssPara1"/>
              <w:spacing w:before="240"/>
              <w:rPr>
                <w:rFonts w:cs="Arial"/>
                <w:sz w:val="16"/>
                <w:szCs w:val="18"/>
              </w:rPr>
            </w:pPr>
            <w:r w:rsidRPr="00E02972">
              <w:rPr>
                <w:rFonts w:cs="Arial"/>
                <w:sz w:val="16"/>
                <w:szCs w:val="18"/>
              </w:rPr>
              <w:t>No</w:t>
            </w:r>
            <w:r w:rsidR="00616280" w:rsidRPr="00E02972">
              <w:rPr>
                <w:rFonts w:cs="Arial"/>
                <w:sz w:val="16"/>
                <w:szCs w:val="18"/>
              </w:rPr>
              <w:t xml:space="preserve"> specific consent but required</w:t>
            </w:r>
            <w:r w:rsidRPr="00E02972">
              <w:rPr>
                <w:rFonts w:cs="Arial"/>
                <w:sz w:val="16"/>
                <w:szCs w:val="18"/>
              </w:rPr>
              <w:t xml:space="preserve"> to provide certain disclosures in durable medium before services are carried out. </w:t>
            </w:r>
          </w:p>
        </w:tc>
      </w:tr>
      <w:tr w:rsidR="00032535" w:rsidRPr="00E02972" w:rsidTr="00F44B85">
        <w:tc>
          <w:tcPr>
            <w:tcW w:w="455" w:type="pct"/>
            <w:tcBorders>
              <w:top w:val="single" w:sz="4" w:space="0" w:color="auto"/>
              <w:left w:val="single" w:sz="4" w:space="0" w:color="auto"/>
              <w:bottom w:val="single" w:sz="4" w:space="0" w:color="auto"/>
              <w:right w:val="single" w:sz="4" w:space="0" w:color="auto"/>
            </w:tcBorders>
            <w:shd w:val="clear" w:color="auto" w:fill="69889A"/>
          </w:tcPr>
          <w:p w:rsidR="00032535" w:rsidRPr="00E02972" w:rsidRDefault="00032535" w:rsidP="00B02277">
            <w:pPr>
              <w:spacing w:before="120" w:after="120"/>
              <w:jc w:val="left"/>
              <w:rPr>
                <w:rFonts w:eastAsia="Times New Roman" w:cs="Arial"/>
                <w:b/>
                <w:bCs/>
                <w:color w:val="FFFFFF" w:themeColor="background1"/>
                <w:sz w:val="16"/>
                <w:szCs w:val="18"/>
                <w:lang w:eastAsia="en-GB"/>
              </w:rPr>
            </w:pPr>
            <w:r w:rsidRPr="00E02972">
              <w:rPr>
                <w:rFonts w:eastAsia="Times New Roman" w:cs="Arial"/>
                <w:b/>
                <w:bCs/>
                <w:color w:val="FFFFFF" w:themeColor="background1"/>
                <w:sz w:val="16"/>
                <w:szCs w:val="18"/>
                <w:lang w:eastAsia="en-GB"/>
              </w:rPr>
              <w:t>INFORMATION TO CLIENTS ABOUT COSTS AND CHARGES</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032535" w:rsidRPr="00E02972" w:rsidRDefault="006C2CF1" w:rsidP="0000375B">
            <w:pPr>
              <w:spacing w:before="120" w:after="120"/>
              <w:jc w:val="left"/>
              <w:rPr>
                <w:rFonts w:eastAsia="Times New Roman" w:cs="Arial"/>
                <w:sz w:val="16"/>
                <w:szCs w:val="18"/>
              </w:rPr>
            </w:pPr>
            <w:hyperlink r:id="rId51" w:history="1">
              <w:r w:rsidR="00032535" w:rsidRPr="00E02972">
                <w:rPr>
                  <w:rStyle w:val="Hyperlink"/>
                  <w:rFonts w:cs="Arial"/>
                  <w:sz w:val="16"/>
                  <w:szCs w:val="18"/>
                </w:rPr>
                <w:t>D</w:t>
              </w:r>
            </w:hyperlink>
            <w:r w:rsidR="00032535" w:rsidRPr="00E02972">
              <w:rPr>
                <w:rFonts w:cs="Arial"/>
                <w:sz w:val="16"/>
                <w:szCs w:val="18"/>
              </w:rPr>
              <w:t xml:space="preserve"> </w:t>
            </w:r>
            <w:r w:rsidR="00032535" w:rsidRPr="00E02972">
              <w:rPr>
                <w:rFonts w:eastAsia="Times New Roman" w:cs="Arial"/>
                <w:sz w:val="16"/>
                <w:szCs w:val="18"/>
              </w:rPr>
              <w:t xml:space="preserve"> Art 24(4)(c), Art 25</w:t>
            </w:r>
          </w:p>
          <w:p w:rsidR="00616280" w:rsidRPr="00E02972" w:rsidRDefault="00032535" w:rsidP="0000375B">
            <w:pPr>
              <w:spacing w:before="120" w:after="120"/>
              <w:jc w:val="left"/>
              <w:rPr>
                <w:rFonts w:cs="Arial"/>
                <w:sz w:val="16"/>
                <w:szCs w:val="18"/>
              </w:rPr>
            </w:pPr>
            <w:r w:rsidRPr="00E02972">
              <w:rPr>
                <w:rFonts w:cs="Arial"/>
                <w:sz w:val="16"/>
                <w:szCs w:val="18"/>
              </w:rPr>
              <w:t>L2: (</w:t>
            </w:r>
            <w:hyperlink r:id="rId52" w:history="1">
              <w:hyperlink r:id="rId53" w:history="1">
                <w:r w:rsidRPr="00E02972">
                  <w:rPr>
                    <w:rStyle w:val="Hyperlink"/>
                    <w:rFonts w:cs="Arial"/>
                    <w:b/>
                    <w:sz w:val="16"/>
                    <w:szCs w:val="18"/>
                  </w:rPr>
                  <w:t>CP1</w:t>
                </w:r>
              </w:hyperlink>
            </w:hyperlink>
            <w:r w:rsidRPr="00E02972">
              <w:rPr>
                <w:rFonts w:cs="Arial"/>
                <w:b/>
                <w:sz w:val="16"/>
                <w:szCs w:val="18"/>
              </w:rPr>
              <w:t xml:space="preserve">, </w:t>
            </w:r>
            <w:hyperlink r:id="rId54" w:history="1">
              <w:r w:rsidRPr="00E02972">
                <w:rPr>
                  <w:rStyle w:val="Hyperlink"/>
                  <w:rFonts w:cs="Arial"/>
                  <w:b/>
                  <w:sz w:val="16"/>
                  <w:szCs w:val="18"/>
                </w:rPr>
                <w:t>FR</w:t>
              </w:r>
            </w:hyperlink>
            <w:r w:rsidRPr="00E02972">
              <w:rPr>
                <w:rFonts w:cs="Arial"/>
                <w:sz w:val="16"/>
                <w:szCs w:val="18"/>
              </w:rPr>
              <w:t xml:space="preserve">), </w:t>
            </w:r>
          </w:p>
          <w:p w:rsidR="00032535" w:rsidRPr="00E02972" w:rsidRDefault="006C2CF1" w:rsidP="00616280">
            <w:pPr>
              <w:numPr>
                <w:ilvl w:val="0"/>
                <w:numId w:val="7"/>
              </w:numPr>
              <w:spacing w:before="120" w:after="120"/>
              <w:jc w:val="left"/>
              <w:rPr>
                <w:rStyle w:val="Hyperlink"/>
                <w:rFonts w:cs="Arial"/>
                <w:b/>
                <w:sz w:val="16"/>
                <w:szCs w:val="18"/>
              </w:rPr>
            </w:pPr>
            <w:hyperlink r:id="rId55" w:history="1">
              <w:r w:rsidR="00032535" w:rsidRPr="00E02972">
                <w:rPr>
                  <w:rStyle w:val="Hyperlink"/>
                  <w:rFonts w:cs="Arial"/>
                  <w:sz w:val="16"/>
                  <w:szCs w:val="18"/>
                </w:rPr>
                <w:t>DR1</w:t>
              </w:r>
            </w:hyperlink>
            <w:r w:rsidR="00C526AC" w:rsidRPr="00E02972">
              <w:rPr>
                <w:rStyle w:val="Hyperlink"/>
                <w:rFonts w:cs="Arial"/>
                <w:sz w:val="16"/>
                <w:szCs w:val="18"/>
              </w:rPr>
              <w:t>(</w:t>
            </w:r>
            <w:hyperlink r:id="rId56" w:history="1">
              <w:r w:rsidR="00032535" w:rsidRPr="00E02972">
                <w:rPr>
                  <w:rStyle w:val="Hyperlink"/>
                  <w:rFonts w:cs="Arial"/>
                  <w:sz w:val="16"/>
                  <w:szCs w:val="18"/>
                </w:rPr>
                <w:t>Art 50</w:t>
              </w:r>
            </w:hyperlink>
            <w:r w:rsidR="00032535" w:rsidRPr="00E02972">
              <w:rPr>
                <w:rStyle w:val="Hyperlink"/>
                <w:rFonts w:cs="Arial"/>
                <w:b/>
                <w:sz w:val="16"/>
                <w:szCs w:val="18"/>
              </w:rPr>
              <w:t>)</w:t>
            </w:r>
          </w:p>
          <w:p w:rsidR="00032535" w:rsidRPr="00E02972" w:rsidRDefault="00032535" w:rsidP="00494E74">
            <w:pPr>
              <w:spacing w:before="240" w:after="260"/>
              <w:jc w:val="left"/>
              <w:rPr>
                <w:rFonts w:eastAsia="Times New Roman" w:cs="Arial"/>
                <w:sz w:val="16"/>
                <w:szCs w:val="18"/>
              </w:rPr>
            </w:pPr>
            <w:r w:rsidRPr="00E02972">
              <w:rPr>
                <w:rFonts w:cs="Arial"/>
                <w:sz w:val="16"/>
                <w:szCs w:val="18"/>
                <w:lang w:val="de-DE"/>
              </w:rPr>
              <w:t>L3:</w:t>
            </w:r>
            <w:r w:rsidR="00494E74" w:rsidRPr="00E02972">
              <w:t xml:space="preserve"> </w:t>
            </w:r>
            <w:hyperlink r:id="rId57" w:history="1">
              <w:r w:rsidR="00494E74" w:rsidRPr="00E02972">
                <w:rPr>
                  <w:rFonts w:eastAsia="Arial" w:cs="Arial"/>
                  <w:b/>
                  <w:color w:val="0000FF"/>
                  <w:sz w:val="16"/>
                  <w:szCs w:val="18"/>
                  <w:u w:val="single"/>
                  <w:lang w:eastAsia="en-GB"/>
                </w:rPr>
                <w:t>Investor Protection Q&amp;A</w:t>
              </w:r>
            </w:hyperlink>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032535" w:rsidRPr="00E02972" w:rsidRDefault="00032535" w:rsidP="00F44B85">
            <w:pPr>
              <w:spacing w:before="240" w:after="260"/>
              <w:rPr>
                <w:rFonts w:eastAsia="Times New Roman" w:cs="Arial"/>
                <w:sz w:val="16"/>
                <w:szCs w:val="18"/>
              </w:rPr>
            </w:pPr>
            <w:r w:rsidRPr="00E02972">
              <w:rPr>
                <w:rFonts w:eastAsia="Times New Roman" w:cs="Arial"/>
                <w:sz w:val="16"/>
                <w:szCs w:val="18"/>
              </w:rPr>
              <w:t>Information to be provided to all categories of client, including ECP. (NB: Firms (with some exceptions) can agree to a limited application of the requirements when dealing with professional and ECP clients BUT where products likely to be sold on to retail clients (financial products embedding a derivative) requirements will apply).</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For ex ante and ex post disclosure firms shall aggregate the following:</w:t>
            </w:r>
          </w:p>
          <w:p w:rsidR="00032535" w:rsidRPr="00E02972" w:rsidRDefault="00032535" w:rsidP="00F44B85">
            <w:pPr>
              <w:pStyle w:val="BulletPoint1"/>
              <w:numPr>
                <w:ilvl w:val="0"/>
                <w:numId w:val="9"/>
              </w:numPr>
              <w:tabs>
                <w:tab w:val="clear" w:pos="684"/>
              </w:tabs>
              <w:ind w:left="720"/>
              <w:jc w:val="both"/>
              <w:rPr>
                <w:rFonts w:cs="Arial"/>
                <w:sz w:val="16"/>
                <w:szCs w:val="18"/>
              </w:rPr>
            </w:pPr>
            <w:r w:rsidRPr="00E02972">
              <w:rPr>
                <w:rFonts w:cs="Arial"/>
                <w:sz w:val="16"/>
                <w:szCs w:val="18"/>
              </w:rPr>
              <w:t>All costs and charges charged by firm or other parties where client has been directed to the other party;</w:t>
            </w:r>
          </w:p>
          <w:p w:rsidR="00032535" w:rsidRPr="00E02972" w:rsidRDefault="00032535" w:rsidP="00F44B85">
            <w:pPr>
              <w:pStyle w:val="BulletPoint1"/>
              <w:numPr>
                <w:ilvl w:val="0"/>
                <w:numId w:val="9"/>
              </w:numPr>
              <w:tabs>
                <w:tab w:val="clear" w:pos="684"/>
              </w:tabs>
              <w:ind w:left="720"/>
              <w:jc w:val="both"/>
              <w:rPr>
                <w:rFonts w:cs="Arial"/>
                <w:sz w:val="16"/>
                <w:szCs w:val="18"/>
              </w:rPr>
            </w:pPr>
            <w:r w:rsidRPr="00E02972">
              <w:rPr>
                <w:rFonts w:cs="Arial"/>
                <w:sz w:val="16"/>
                <w:szCs w:val="18"/>
              </w:rPr>
              <w:t>All costs and associated charges associated with the manufacturing and managing instruments.</w:t>
            </w:r>
          </w:p>
          <w:p w:rsidR="00032535" w:rsidRPr="00E02972" w:rsidRDefault="00443BC2" w:rsidP="00F44B85">
            <w:pPr>
              <w:pStyle w:val="BulletPoint1"/>
              <w:tabs>
                <w:tab w:val="clear" w:pos="684"/>
              </w:tabs>
              <w:jc w:val="both"/>
              <w:rPr>
                <w:rFonts w:cs="Arial"/>
                <w:sz w:val="16"/>
                <w:szCs w:val="18"/>
              </w:rPr>
            </w:pPr>
            <w:r w:rsidRPr="00E02972">
              <w:rPr>
                <w:rFonts w:cs="Arial"/>
                <w:sz w:val="16"/>
                <w:szCs w:val="18"/>
              </w:rPr>
              <w:t xml:space="preserve">(See Annex </w:t>
            </w:r>
            <w:r w:rsidR="00032535" w:rsidRPr="00E02972">
              <w:rPr>
                <w:rFonts w:cs="Arial"/>
                <w:sz w:val="16"/>
                <w:szCs w:val="18"/>
              </w:rPr>
              <w:t xml:space="preserve"> to DR1 for full details of aggregated costs)</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Firms to provide clients with an illustration showing the cumulative effect of costs on return. Such illustration to be provided on both an ex-ante and ex-post basis. Illustration must:</w:t>
            </w:r>
          </w:p>
          <w:p w:rsidR="00032535" w:rsidRPr="00E02972" w:rsidRDefault="00032535" w:rsidP="00F44B85">
            <w:pPr>
              <w:pStyle w:val="BulletPoint1"/>
              <w:numPr>
                <w:ilvl w:val="0"/>
                <w:numId w:val="9"/>
              </w:numPr>
              <w:tabs>
                <w:tab w:val="clear" w:pos="684"/>
              </w:tabs>
              <w:ind w:left="720"/>
              <w:jc w:val="both"/>
              <w:rPr>
                <w:rFonts w:cs="Arial"/>
                <w:sz w:val="16"/>
                <w:szCs w:val="18"/>
              </w:rPr>
            </w:pPr>
            <w:r w:rsidRPr="00E02972">
              <w:rPr>
                <w:rFonts w:cs="Arial"/>
                <w:sz w:val="16"/>
                <w:szCs w:val="18"/>
              </w:rPr>
              <w:t>show the effect of the overall costs and charges on return of the investment;</w:t>
            </w:r>
          </w:p>
          <w:p w:rsidR="00032535" w:rsidRPr="00E02972" w:rsidRDefault="00032535" w:rsidP="00F44B85">
            <w:pPr>
              <w:pStyle w:val="BulletPoint1"/>
              <w:numPr>
                <w:ilvl w:val="0"/>
                <w:numId w:val="9"/>
              </w:numPr>
              <w:tabs>
                <w:tab w:val="clear" w:pos="684"/>
              </w:tabs>
              <w:ind w:left="720"/>
              <w:jc w:val="both"/>
              <w:rPr>
                <w:rFonts w:cs="Arial"/>
                <w:sz w:val="16"/>
                <w:szCs w:val="18"/>
              </w:rPr>
            </w:pPr>
            <w:r w:rsidRPr="00E02972">
              <w:rPr>
                <w:rFonts w:cs="Arial"/>
                <w:sz w:val="16"/>
                <w:szCs w:val="18"/>
              </w:rPr>
              <w:t xml:space="preserve">show any anticipated spikes or fluctuations; </w:t>
            </w:r>
          </w:p>
          <w:p w:rsidR="00032535" w:rsidRPr="00E02972" w:rsidRDefault="00032535" w:rsidP="00F44B85">
            <w:pPr>
              <w:pStyle w:val="BulletPoint1"/>
              <w:numPr>
                <w:ilvl w:val="0"/>
                <w:numId w:val="9"/>
              </w:numPr>
              <w:tabs>
                <w:tab w:val="clear" w:pos="684"/>
              </w:tabs>
              <w:ind w:left="720"/>
              <w:jc w:val="both"/>
              <w:rPr>
                <w:rFonts w:cs="Arial"/>
                <w:sz w:val="16"/>
                <w:szCs w:val="18"/>
              </w:rPr>
            </w:pPr>
            <w:r w:rsidRPr="00E02972">
              <w:rPr>
                <w:rFonts w:cs="Arial"/>
                <w:sz w:val="16"/>
                <w:szCs w:val="18"/>
              </w:rPr>
              <w:t xml:space="preserve">be accompanied by a description. Information to be provided </w:t>
            </w:r>
            <w:r w:rsidRPr="00E02972">
              <w:rPr>
                <w:rFonts w:cs="Arial"/>
                <w:sz w:val="16"/>
                <w:szCs w:val="18"/>
              </w:rPr>
              <w:lastRenderedPageBreak/>
              <w:t>in a comprehensible format and Member States may prescribe a standardised format.</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Costs should be provided in good time to allow the client enough time to consider material information.</w:t>
            </w:r>
          </w:p>
          <w:p w:rsidR="00032535" w:rsidRPr="00E02972" w:rsidRDefault="00032535" w:rsidP="00F44B85">
            <w:pPr>
              <w:pStyle w:val="BulletPoint1"/>
              <w:jc w:val="both"/>
              <w:rPr>
                <w:rStyle w:val="Hyperlink"/>
                <w:rFonts w:cs="Arial"/>
                <w:b/>
                <w:sz w:val="16"/>
                <w:szCs w:val="18"/>
              </w:rPr>
            </w:pPr>
            <w:r w:rsidRPr="00E02972">
              <w:rPr>
                <w:rFonts w:cs="Arial"/>
                <w:sz w:val="16"/>
                <w:szCs w:val="18"/>
              </w:rPr>
              <w:t xml:space="preserve">ESMA has provided some guidance in </w:t>
            </w:r>
            <w:proofErr w:type="spellStart"/>
            <w:r w:rsidRPr="00E02972">
              <w:rPr>
                <w:rFonts w:cs="Arial"/>
                <w:sz w:val="16"/>
                <w:szCs w:val="18"/>
                <w:lang w:val="de-DE"/>
              </w:rPr>
              <w:t>its</w:t>
            </w:r>
            <w:proofErr w:type="spellEnd"/>
            <w:r w:rsidRPr="00E02972">
              <w:rPr>
                <w:rFonts w:cs="Arial"/>
                <w:sz w:val="16"/>
                <w:szCs w:val="18"/>
                <w:lang w:val="de-DE"/>
              </w:rPr>
              <w:t xml:space="preserve"> </w:t>
            </w:r>
            <w:r w:rsidRPr="00E02972">
              <w:rPr>
                <w:rFonts w:cs="Arial"/>
                <w:sz w:val="16"/>
                <w:szCs w:val="18"/>
              </w:rPr>
              <w:t>Investor Protection Q&amp;A</w:t>
            </w:r>
            <w:r w:rsidR="00494E74" w:rsidRPr="00E02972">
              <w:rPr>
                <w:rStyle w:val="Hyperlink"/>
                <w:u w:val="none"/>
              </w:rPr>
              <w:t>:</w:t>
            </w:r>
          </w:p>
          <w:p w:rsidR="00032535" w:rsidRPr="00E02972" w:rsidRDefault="00032535" w:rsidP="00F44B85">
            <w:pPr>
              <w:pStyle w:val="BulletPoint1"/>
              <w:numPr>
                <w:ilvl w:val="0"/>
                <w:numId w:val="9"/>
              </w:numPr>
              <w:jc w:val="both"/>
              <w:rPr>
                <w:rFonts w:cs="Arial"/>
                <w:sz w:val="16"/>
                <w:szCs w:val="18"/>
              </w:rPr>
            </w:pPr>
            <w:r w:rsidRPr="00E02972">
              <w:rPr>
                <w:rFonts w:cs="Arial"/>
                <w:sz w:val="16"/>
                <w:szCs w:val="18"/>
              </w:rPr>
              <w:t>How personalised ex post disclosure can be made if a client buys and sells a fund during the business year;</w:t>
            </w:r>
          </w:p>
          <w:p w:rsidR="00032535" w:rsidRPr="00E02972" w:rsidRDefault="00032535" w:rsidP="00F44B85">
            <w:pPr>
              <w:pStyle w:val="BulletPoint1"/>
              <w:numPr>
                <w:ilvl w:val="0"/>
                <w:numId w:val="9"/>
              </w:numPr>
              <w:jc w:val="both"/>
              <w:rPr>
                <w:rFonts w:cs="Arial"/>
                <w:sz w:val="16"/>
                <w:szCs w:val="18"/>
              </w:rPr>
            </w:pPr>
            <w:r w:rsidRPr="00E02972">
              <w:rPr>
                <w:rFonts w:cs="Arial"/>
                <w:sz w:val="16"/>
                <w:szCs w:val="18"/>
              </w:rPr>
              <w:t>To what extent does the cumulative effect of the costs on the return need to be graphically displayed;</w:t>
            </w:r>
          </w:p>
          <w:p w:rsidR="00032535" w:rsidRPr="00E02972" w:rsidRDefault="00032535" w:rsidP="00F44B85">
            <w:pPr>
              <w:pStyle w:val="BulletPoint1"/>
              <w:numPr>
                <w:ilvl w:val="0"/>
                <w:numId w:val="9"/>
              </w:numPr>
              <w:jc w:val="both"/>
              <w:rPr>
                <w:rFonts w:cs="Arial"/>
                <w:sz w:val="16"/>
                <w:szCs w:val="18"/>
              </w:rPr>
            </w:pPr>
            <w:r w:rsidRPr="00E02972">
              <w:rPr>
                <w:rFonts w:cs="Arial"/>
                <w:sz w:val="16"/>
                <w:szCs w:val="18"/>
              </w:rPr>
              <w:t>How should a firm provide ex post information on total costs and charges;</w:t>
            </w:r>
          </w:p>
          <w:p w:rsidR="00032535" w:rsidRPr="00E02972" w:rsidRDefault="00032535" w:rsidP="00F44B85">
            <w:pPr>
              <w:pStyle w:val="BulletPoint1"/>
              <w:numPr>
                <w:ilvl w:val="0"/>
                <w:numId w:val="9"/>
              </w:numPr>
              <w:jc w:val="both"/>
              <w:rPr>
                <w:rFonts w:cs="Arial"/>
                <w:sz w:val="16"/>
                <w:szCs w:val="18"/>
              </w:rPr>
            </w:pPr>
            <w:r w:rsidRPr="00E02972">
              <w:rPr>
                <w:rFonts w:cs="Arial"/>
                <w:sz w:val="16"/>
                <w:szCs w:val="18"/>
              </w:rPr>
              <w:t xml:space="preserve">How can a firm provide ex post information on total costs and charges more regularly. </w:t>
            </w:r>
          </w:p>
          <w:p w:rsidR="00032535" w:rsidRPr="00E02972" w:rsidRDefault="00032535" w:rsidP="00F44B85">
            <w:pPr>
              <w:pStyle w:val="BulletPoint1"/>
              <w:tabs>
                <w:tab w:val="clear" w:pos="684"/>
              </w:tabs>
              <w:jc w:val="both"/>
              <w:rPr>
                <w:rFonts w:cs="Arial"/>
                <w:sz w:val="16"/>
                <w:szCs w:val="18"/>
              </w:rPr>
            </w:pP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032535" w:rsidRPr="00E02972" w:rsidRDefault="00032535" w:rsidP="00F44B85">
            <w:pPr>
              <w:pStyle w:val="ssPara1"/>
              <w:spacing w:before="240" w:after="0"/>
              <w:rPr>
                <w:rFonts w:cs="Arial"/>
                <w:sz w:val="16"/>
                <w:szCs w:val="18"/>
              </w:rPr>
            </w:pPr>
            <w:r w:rsidRPr="00E02972">
              <w:rPr>
                <w:rFonts w:cs="Arial"/>
                <w:sz w:val="16"/>
                <w:szCs w:val="18"/>
              </w:rPr>
              <w:lastRenderedPageBreak/>
              <w:t>R</w:t>
            </w:r>
          </w:p>
          <w:p w:rsidR="00032535" w:rsidRPr="00E02972" w:rsidRDefault="00032535" w:rsidP="00F44B85">
            <w:pPr>
              <w:pStyle w:val="ssPara1"/>
              <w:spacing w:after="0"/>
              <w:rPr>
                <w:rFonts w:cs="Arial"/>
                <w:sz w:val="16"/>
                <w:szCs w:val="18"/>
              </w:rPr>
            </w:pPr>
            <w:r w:rsidRPr="00E02972">
              <w:rPr>
                <w:rFonts w:cs="Arial"/>
                <w:sz w:val="16"/>
                <w:szCs w:val="18"/>
              </w:rPr>
              <w:t xml:space="preserve">EP </w:t>
            </w:r>
            <w:r w:rsidRPr="00E02972">
              <w:rPr>
                <w:rFonts w:cs="Arial"/>
                <w:i/>
                <w:sz w:val="16"/>
                <w:szCs w:val="18"/>
              </w:rPr>
              <w:t>(can agree limited application)</w:t>
            </w:r>
          </w:p>
          <w:p w:rsidR="00032535" w:rsidRPr="00E02972" w:rsidRDefault="00032535" w:rsidP="00F44B85">
            <w:pPr>
              <w:pStyle w:val="ssPara1"/>
              <w:spacing w:after="0"/>
              <w:rPr>
                <w:rFonts w:cs="Arial"/>
                <w:sz w:val="16"/>
                <w:szCs w:val="18"/>
              </w:rPr>
            </w:pPr>
            <w:r w:rsidRPr="00E02972">
              <w:rPr>
                <w:rFonts w:cs="Arial"/>
                <w:sz w:val="16"/>
                <w:szCs w:val="18"/>
              </w:rPr>
              <w:t xml:space="preserve">PSP </w:t>
            </w:r>
            <w:r w:rsidRPr="00E02972">
              <w:rPr>
                <w:rFonts w:cs="Arial"/>
                <w:i/>
                <w:sz w:val="16"/>
                <w:szCs w:val="18"/>
              </w:rPr>
              <w:t>(can agree limited application)</w:t>
            </w:r>
          </w:p>
          <w:p w:rsidR="00032535" w:rsidRPr="00E02972" w:rsidRDefault="00032535" w:rsidP="00F44B85">
            <w:pPr>
              <w:pStyle w:val="ssPara1"/>
              <w:spacing w:after="0"/>
              <w:rPr>
                <w:rFonts w:cs="Arial"/>
                <w:sz w:val="16"/>
                <w:szCs w:val="18"/>
              </w:rPr>
            </w:pPr>
            <w:r w:rsidRPr="00E02972">
              <w:rPr>
                <w:rFonts w:cs="Arial"/>
                <w:sz w:val="16"/>
                <w:szCs w:val="18"/>
              </w:rPr>
              <w:t xml:space="preserve">ECP’s </w:t>
            </w:r>
            <w:r w:rsidRPr="00E02972">
              <w:rPr>
                <w:rFonts w:cs="Arial"/>
                <w:i/>
                <w:sz w:val="16"/>
                <w:szCs w:val="18"/>
              </w:rPr>
              <w:t>(can agree limited application)</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AC0660" w:rsidRPr="00E02972" w:rsidRDefault="00032535" w:rsidP="00F44B85">
            <w:pPr>
              <w:pStyle w:val="ssPara1"/>
              <w:numPr>
                <w:ilvl w:val="0"/>
                <w:numId w:val="9"/>
              </w:numPr>
              <w:spacing w:before="240"/>
              <w:rPr>
                <w:rFonts w:cs="Arial"/>
                <w:sz w:val="16"/>
                <w:szCs w:val="18"/>
              </w:rPr>
            </w:pPr>
            <w:r w:rsidRPr="00E02972">
              <w:rPr>
                <w:rFonts w:cs="Arial"/>
                <w:sz w:val="16"/>
                <w:szCs w:val="18"/>
              </w:rPr>
              <w:t xml:space="preserve">Review or draft client agreements </w:t>
            </w:r>
            <w:r w:rsidR="00AC0660" w:rsidRPr="00E02972">
              <w:rPr>
                <w:rFonts w:cs="Arial"/>
                <w:sz w:val="16"/>
                <w:szCs w:val="18"/>
              </w:rPr>
              <w:t xml:space="preserve">setting out how costs and charges shall be calculated and disclosed to client. </w:t>
            </w:r>
          </w:p>
          <w:p w:rsidR="00032535" w:rsidRPr="00E02972" w:rsidRDefault="00032535" w:rsidP="00F44B85">
            <w:pPr>
              <w:pStyle w:val="ssPara1"/>
              <w:numPr>
                <w:ilvl w:val="0"/>
                <w:numId w:val="9"/>
              </w:numPr>
              <w:spacing w:before="240"/>
              <w:rPr>
                <w:rFonts w:cs="Arial"/>
                <w:sz w:val="16"/>
                <w:szCs w:val="18"/>
              </w:rPr>
            </w:pPr>
            <w:r w:rsidRPr="00E02972">
              <w:rPr>
                <w:rFonts w:cs="Arial"/>
                <w:sz w:val="16"/>
                <w:szCs w:val="18"/>
              </w:rPr>
              <w:t xml:space="preserve">Draft templates for ex post and ex ante disclosures of costs to clients. </w:t>
            </w:r>
            <w:r w:rsidR="00AC0660" w:rsidRPr="00E02972">
              <w:rPr>
                <w:rFonts w:cs="Arial"/>
                <w:sz w:val="16"/>
                <w:szCs w:val="18"/>
              </w:rPr>
              <w:t xml:space="preserve">Note Member States can prescribe a format. The FCA has indicated to date that it does not propose to set a standard template despite industry calling for one. </w:t>
            </w:r>
          </w:p>
          <w:p w:rsidR="00AC0660" w:rsidRPr="00E02972" w:rsidRDefault="00AC0660" w:rsidP="00F44B85">
            <w:pPr>
              <w:pStyle w:val="ssPara1"/>
              <w:numPr>
                <w:ilvl w:val="0"/>
                <w:numId w:val="9"/>
              </w:numPr>
              <w:spacing w:before="240"/>
              <w:rPr>
                <w:rFonts w:cs="Arial"/>
                <w:sz w:val="16"/>
                <w:szCs w:val="18"/>
              </w:rPr>
            </w:pPr>
            <w:r w:rsidRPr="00E02972">
              <w:rPr>
                <w:rFonts w:cs="Arial"/>
                <w:sz w:val="16"/>
                <w:szCs w:val="18"/>
              </w:rPr>
              <w:t>Monitor</w:t>
            </w:r>
            <w:r w:rsidR="005973D1" w:rsidRPr="00E02972">
              <w:rPr>
                <w:rFonts w:cs="Arial"/>
                <w:sz w:val="16"/>
                <w:szCs w:val="18"/>
              </w:rPr>
              <w:t xml:space="preserve"> for/ consider use of</w:t>
            </w:r>
            <w:r w:rsidRPr="00E02972">
              <w:rPr>
                <w:rFonts w:cs="Arial"/>
                <w:sz w:val="16"/>
                <w:szCs w:val="18"/>
              </w:rPr>
              <w:t xml:space="preserve"> </w:t>
            </w:r>
            <w:r w:rsidR="00F44B85" w:rsidRPr="00E02972">
              <w:rPr>
                <w:rFonts w:cs="Arial"/>
                <w:sz w:val="16"/>
                <w:szCs w:val="18"/>
              </w:rPr>
              <w:t>straw man</w:t>
            </w:r>
            <w:r w:rsidRPr="00E02972">
              <w:rPr>
                <w:rFonts w:cs="Arial"/>
                <w:sz w:val="16"/>
                <w:szCs w:val="18"/>
              </w:rPr>
              <w:t xml:space="preserve"> scenarios/ standards being prepared by industry.  </w:t>
            </w:r>
          </w:p>
          <w:p w:rsidR="00032535" w:rsidRPr="00E02972" w:rsidRDefault="00032535" w:rsidP="00F44B85">
            <w:pPr>
              <w:pStyle w:val="ssPara1"/>
              <w:numPr>
                <w:ilvl w:val="0"/>
                <w:numId w:val="9"/>
              </w:numPr>
              <w:spacing w:before="240"/>
              <w:rPr>
                <w:rFonts w:cs="Arial"/>
                <w:sz w:val="16"/>
                <w:szCs w:val="18"/>
              </w:rPr>
            </w:pPr>
            <w:r w:rsidRPr="00E02972">
              <w:rPr>
                <w:rFonts w:cs="Arial"/>
                <w:sz w:val="16"/>
                <w:szCs w:val="18"/>
              </w:rPr>
              <w:t xml:space="preserve">Note </w:t>
            </w:r>
            <w:r w:rsidRPr="00E02972">
              <w:rPr>
                <w:rFonts w:cs="Arial"/>
                <w:bCs/>
                <w:sz w:val="16"/>
                <w:szCs w:val="18"/>
              </w:rPr>
              <w:t>obligation</w:t>
            </w:r>
            <w:r w:rsidRPr="00E02972">
              <w:rPr>
                <w:rFonts w:cs="Arial"/>
                <w:sz w:val="16"/>
                <w:szCs w:val="18"/>
              </w:rPr>
              <w:t xml:space="preserve"> also applies </w:t>
            </w:r>
            <w:r w:rsidR="005973D1" w:rsidRPr="00E02972">
              <w:rPr>
                <w:rFonts w:cs="Arial"/>
                <w:sz w:val="16"/>
                <w:szCs w:val="18"/>
              </w:rPr>
              <w:t>to professional clients and ECP</w:t>
            </w:r>
            <w:r w:rsidRPr="00E02972">
              <w:rPr>
                <w:rFonts w:cs="Arial"/>
                <w:sz w:val="16"/>
                <w:szCs w:val="18"/>
              </w:rPr>
              <w:t xml:space="preserve">s (previously only applied to retail clients), though they can agree to limited application in certain circumstances. </w:t>
            </w:r>
          </w:p>
        </w:tc>
        <w:tc>
          <w:tcPr>
            <w:tcW w:w="625" w:type="pct"/>
            <w:tcBorders>
              <w:top w:val="single" w:sz="4" w:space="0" w:color="auto"/>
              <w:left w:val="single" w:sz="4" w:space="0" w:color="auto"/>
              <w:bottom w:val="single" w:sz="4" w:space="0" w:color="auto"/>
              <w:right w:val="single" w:sz="4" w:space="0" w:color="auto"/>
            </w:tcBorders>
          </w:tcPr>
          <w:p w:rsidR="00AC0660" w:rsidRPr="00E02972" w:rsidRDefault="00AC0660" w:rsidP="00AC0660">
            <w:pPr>
              <w:numPr>
                <w:ilvl w:val="0"/>
                <w:numId w:val="9"/>
              </w:numPr>
              <w:spacing w:before="240" w:after="260"/>
              <w:jc w:val="left"/>
              <w:rPr>
                <w:rFonts w:eastAsia="Times New Roman" w:cs="Arial"/>
                <w:bCs/>
                <w:sz w:val="16"/>
                <w:szCs w:val="18"/>
              </w:rPr>
            </w:pPr>
            <w:r w:rsidRPr="00E02972">
              <w:rPr>
                <w:rFonts w:eastAsia="Times New Roman" w:cs="Arial"/>
                <w:bCs/>
                <w:sz w:val="16"/>
                <w:szCs w:val="18"/>
              </w:rPr>
              <w:t>Client on-boarding documentation.</w:t>
            </w:r>
          </w:p>
          <w:p w:rsidR="00AC0660" w:rsidRPr="00E02972" w:rsidRDefault="00AC0660" w:rsidP="00AC0660">
            <w:pPr>
              <w:numPr>
                <w:ilvl w:val="0"/>
                <w:numId w:val="9"/>
              </w:numPr>
              <w:spacing w:before="240" w:after="260"/>
              <w:jc w:val="left"/>
              <w:rPr>
                <w:rFonts w:eastAsia="Times New Roman" w:cs="Arial"/>
                <w:bCs/>
                <w:sz w:val="16"/>
                <w:szCs w:val="18"/>
              </w:rPr>
            </w:pPr>
            <w:r w:rsidRPr="00E02972">
              <w:rPr>
                <w:rFonts w:eastAsia="Times New Roman" w:cs="Arial"/>
                <w:bCs/>
                <w:sz w:val="16"/>
                <w:szCs w:val="18"/>
              </w:rPr>
              <w:t>Client Terms of Business.</w:t>
            </w:r>
          </w:p>
          <w:p w:rsidR="00AC0660" w:rsidRPr="00E02972" w:rsidRDefault="00AC0660" w:rsidP="00AC0660">
            <w:pPr>
              <w:numPr>
                <w:ilvl w:val="0"/>
                <w:numId w:val="9"/>
              </w:numPr>
              <w:spacing w:before="240" w:after="260"/>
              <w:jc w:val="left"/>
              <w:rPr>
                <w:rFonts w:eastAsia="Times New Roman" w:cs="Arial"/>
                <w:bCs/>
                <w:sz w:val="16"/>
                <w:szCs w:val="18"/>
              </w:rPr>
            </w:pPr>
            <w:r w:rsidRPr="00E02972">
              <w:rPr>
                <w:rFonts w:eastAsia="Times New Roman" w:cs="Arial"/>
                <w:bCs/>
                <w:sz w:val="16"/>
                <w:szCs w:val="18"/>
              </w:rPr>
              <w:t>Client covering letters (to send with general terms of business)</w:t>
            </w:r>
          </w:p>
          <w:p w:rsidR="00443BC2" w:rsidRPr="00E02972" w:rsidRDefault="00AC0660" w:rsidP="00443BC2">
            <w:pPr>
              <w:pStyle w:val="ssPara1"/>
              <w:numPr>
                <w:ilvl w:val="0"/>
                <w:numId w:val="9"/>
              </w:numPr>
              <w:spacing w:before="240"/>
              <w:jc w:val="left"/>
              <w:rPr>
                <w:rFonts w:cs="Arial"/>
                <w:sz w:val="16"/>
                <w:szCs w:val="18"/>
              </w:rPr>
            </w:pPr>
            <w:r w:rsidRPr="00E02972">
              <w:rPr>
                <w:rFonts w:cs="Arial"/>
                <w:sz w:val="16"/>
                <w:szCs w:val="18"/>
              </w:rPr>
              <w:t>Template</w:t>
            </w:r>
            <w:r w:rsidR="00443BC2" w:rsidRPr="00E02972">
              <w:rPr>
                <w:rFonts w:cs="Arial"/>
                <w:sz w:val="16"/>
                <w:szCs w:val="18"/>
              </w:rPr>
              <w:t xml:space="preserve">/ pro </w:t>
            </w:r>
            <w:r w:rsidR="00F44B85" w:rsidRPr="00E02972">
              <w:rPr>
                <w:rFonts w:cs="Arial"/>
                <w:sz w:val="16"/>
                <w:szCs w:val="18"/>
              </w:rPr>
              <w:t>forma costs</w:t>
            </w:r>
            <w:r w:rsidRPr="00E02972">
              <w:rPr>
                <w:rFonts w:cs="Arial"/>
                <w:sz w:val="16"/>
                <w:szCs w:val="18"/>
              </w:rPr>
              <w:t xml:space="preserve"> a</w:t>
            </w:r>
            <w:r w:rsidR="00443BC2" w:rsidRPr="00E02972">
              <w:rPr>
                <w:rFonts w:cs="Arial"/>
                <w:sz w:val="16"/>
                <w:szCs w:val="18"/>
              </w:rPr>
              <w:t>nd charges disclosure document.</w:t>
            </w:r>
          </w:p>
          <w:p w:rsidR="00443BC2" w:rsidRPr="00E02972" w:rsidRDefault="00A74E88" w:rsidP="00443BC2">
            <w:pPr>
              <w:pStyle w:val="ssPara1"/>
              <w:numPr>
                <w:ilvl w:val="0"/>
                <w:numId w:val="9"/>
              </w:numPr>
              <w:spacing w:before="240"/>
              <w:jc w:val="left"/>
              <w:rPr>
                <w:rFonts w:cs="Arial"/>
                <w:sz w:val="16"/>
                <w:szCs w:val="18"/>
              </w:rPr>
            </w:pPr>
            <w:r w:rsidRPr="00E02972">
              <w:rPr>
                <w:rFonts w:cs="Arial"/>
                <w:sz w:val="16"/>
                <w:szCs w:val="18"/>
              </w:rPr>
              <w:t>Key facts, k</w:t>
            </w:r>
            <w:r w:rsidR="00443BC2" w:rsidRPr="00E02972">
              <w:rPr>
                <w:rFonts w:cs="Arial"/>
                <w:sz w:val="16"/>
                <w:szCs w:val="18"/>
              </w:rPr>
              <w:t>ey information documents.</w:t>
            </w:r>
          </w:p>
        </w:tc>
        <w:tc>
          <w:tcPr>
            <w:tcW w:w="416" w:type="pct"/>
            <w:tcBorders>
              <w:top w:val="single" w:sz="4" w:space="0" w:color="auto"/>
              <w:left w:val="single" w:sz="4" w:space="0" w:color="auto"/>
              <w:bottom w:val="single" w:sz="4" w:space="0" w:color="auto"/>
              <w:right w:val="single" w:sz="4" w:space="0" w:color="auto"/>
            </w:tcBorders>
            <w:shd w:val="clear" w:color="auto" w:fill="auto"/>
          </w:tcPr>
          <w:p w:rsidR="00032535" w:rsidRPr="00E02972" w:rsidRDefault="00032535" w:rsidP="00F44B85">
            <w:pPr>
              <w:pStyle w:val="ssPara1"/>
              <w:spacing w:before="240"/>
              <w:rPr>
                <w:rFonts w:cs="Arial"/>
                <w:sz w:val="16"/>
                <w:szCs w:val="18"/>
              </w:rPr>
            </w:pPr>
            <w:r w:rsidRPr="00E02972">
              <w:rPr>
                <w:rFonts w:cs="Arial"/>
                <w:sz w:val="16"/>
                <w:szCs w:val="18"/>
              </w:rPr>
              <w:t xml:space="preserve">No express consent but disclosure of costs and charges to </w:t>
            </w:r>
            <w:r w:rsidR="00443BC2" w:rsidRPr="00E02972">
              <w:rPr>
                <w:rFonts w:cs="Arial"/>
                <w:sz w:val="16"/>
                <w:szCs w:val="18"/>
              </w:rPr>
              <w:t>be given to client in good time.</w:t>
            </w:r>
          </w:p>
          <w:p w:rsidR="00032535" w:rsidRPr="00E02972" w:rsidRDefault="00032535" w:rsidP="00F44B85">
            <w:pPr>
              <w:pStyle w:val="ssPara1"/>
              <w:spacing w:before="240"/>
              <w:rPr>
                <w:rFonts w:cs="Arial"/>
                <w:sz w:val="16"/>
                <w:szCs w:val="18"/>
              </w:rPr>
            </w:pPr>
            <w:r w:rsidRPr="00E02972">
              <w:rPr>
                <w:rFonts w:cs="Arial"/>
                <w:sz w:val="16"/>
                <w:szCs w:val="18"/>
              </w:rPr>
              <w:t>Prior agreement required for limited application to ECP or professional clients.</w:t>
            </w:r>
          </w:p>
        </w:tc>
      </w:tr>
      <w:tr w:rsidR="00032535" w:rsidRPr="00E02972" w:rsidTr="00F44B85">
        <w:tc>
          <w:tcPr>
            <w:tcW w:w="455" w:type="pct"/>
            <w:tcBorders>
              <w:top w:val="single" w:sz="4" w:space="0" w:color="auto"/>
              <w:left w:val="single" w:sz="4" w:space="0" w:color="auto"/>
              <w:bottom w:val="single" w:sz="4" w:space="0" w:color="auto"/>
              <w:right w:val="single" w:sz="4" w:space="0" w:color="auto"/>
            </w:tcBorders>
            <w:shd w:val="clear" w:color="auto" w:fill="69889A"/>
          </w:tcPr>
          <w:p w:rsidR="00032535" w:rsidRPr="00E02972" w:rsidRDefault="00032535" w:rsidP="007936A7">
            <w:pPr>
              <w:spacing w:before="120" w:after="120"/>
              <w:jc w:val="left"/>
              <w:rPr>
                <w:rFonts w:eastAsia="Times New Roman" w:cs="Arial"/>
                <w:b/>
                <w:bCs/>
                <w:color w:val="FFFFFF" w:themeColor="background1"/>
                <w:sz w:val="16"/>
                <w:szCs w:val="18"/>
                <w:lang w:eastAsia="en-GB"/>
              </w:rPr>
            </w:pPr>
            <w:r w:rsidRPr="00E02972">
              <w:rPr>
                <w:rFonts w:eastAsia="Times New Roman" w:cs="Arial"/>
                <w:b/>
                <w:bCs/>
                <w:color w:val="FFFFFF" w:themeColor="background1"/>
                <w:sz w:val="16"/>
                <w:szCs w:val="18"/>
                <w:lang w:eastAsia="en-GB"/>
              </w:rPr>
              <w:t>INFORMATION TO CLIENTS - PACKAGED PRODUCTS AND CROSS-SELLING</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A74E88" w:rsidRPr="00E02972" w:rsidRDefault="00A74E88" w:rsidP="006E3A87">
            <w:pPr>
              <w:spacing w:before="240" w:after="260"/>
              <w:jc w:val="left"/>
              <w:rPr>
                <w:rFonts w:cs="Arial"/>
                <w:sz w:val="16"/>
                <w:szCs w:val="18"/>
              </w:rPr>
            </w:pPr>
            <w:r w:rsidRPr="00E02972">
              <w:rPr>
                <w:rFonts w:cs="Arial"/>
                <w:sz w:val="16"/>
                <w:szCs w:val="18"/>
              </w:rPr>
              <w:t>D: Art 24</w:t>
            </w:r>
          </w:p>
          <w:p w:rsidR="00A74E88" w:rsidRPr="00E02972" w:rsidRDefault="00A74E88" w:rsidP="006E3A87">
            <w:pPr>
              <w:spacing w:before="240" w:after="260"/>
              <w:jc w:val="left"/>
              <w:rPr>
                <w:rFonts w:cs="Arial"/>
                <w:sz w:val="16"/>
                <w:szCs w:val="18"/>
              </w:rPr>
            </w:pPr>
            <w:r w:rsidRPr="00E02972">
              <w:rPr>
                <w:rFonts w:cs="Arial"/>
                <w:sz w:val="16"/>
                <w:szCs w:val="18"/>
              </w:rPr>
              <w:t>L2: (</w:t>
            </w:r>
            <w:hyperlink r:id="rId58" w:history="1">
              <w:hyperlink r:id="rId59" w:history="1">
                <w:r w:rsidRPr="00E02972">
                  <w:rPr>
                    <w:rStyle w:val="Hyperlink"/>
                    <w:rFonts w:cs="Arial"/>
                    <w:sz w:val="16"/>
                    <w:szCs w:val="18"/>
                  </w:rPr>
                  <w:t>CP1</w:t>
                </w:r>
              </w:hyperlink>
            </w:hyperlink>
            <w:r w:rsidRPr="00E02972">
              <w:rPr>
                <w:rFonts w:cs="Arial"/>
                <w:sz w:val="16"/>
                <w:szCs w:val="18"/>
              </w:rPr>
              <w:t xml:space="preserve">, </w:t>
            </w:r>
            <w:hyperlink r:id="rId60" w:history="1">
              <w:r w:rsidRPr="00E02972">
                <w:rPr>
                  <w:rStyle w:val="Hyperlink"/>
                  <w:rFonts w:cs="Arial"/>
                  <w:sz w:val="16"/>
                  <w:szCs w:val="18"/>
                </w:rPr>
                <w:t>FR</w:t>
              </w:r>
            </w:hyperlink>
            <w:r w:rsidRPr="00E02972">
              <w:rPr>
                <w:rFonts w:cs="Arial"/>
                <w:sz w:val="16"/>
                <w:szCs w:val="18"/>
              </w:rPr>
              <w:t xml:space="preserve">) </w:t>
            </w:r>
          </w:p>
          <w:p w:rsidR="00A74E88" w:rsidRPr="00E02972" w:rsidRDefault="006C3496" w:rsidP="00A74E88">
            <w:pPr>
              <w:numPr>
                <w:ilvl w:val="0"/>
                <w:numId w:val="7"/>
              </w:numPr>
              <w:spacing w:before="240" w:after="260"/>
              <w:jc w:val="left"/>
              <w:rPr>
                <w:rStyle w:val="Hyperlink"/>
                <w:rFonts w:cs="Arial"/>
                <w:b/>
                <w:sz w:val="16"/>
                <w:szCs w:val="18"/>
              </w:rPr>
            </w:pPr>
            <w:r w:rsidRPr="00E02972">
              <w:rPr>
                <w:rFonts w:cs="Arial"/>
                <w:sz w:val="16"/>
                <w:szCs w:val="18"/>
              </w:rPr>
              <w:fldChar w:fldCharType="begin"/>
            </w:r>
            <w:r w:rsidRPr="00E02972">
              <w:rPr>
                <w:rFonts w:cs="Arial"/>
                <w:sz w:val="16"/>
                <w:szCs w:val="18"/>
              </w:rPr>
              <w:instrText xml:space="preserve"> HYPERLINK "http://eur-lex.europa.eu/legal-content/EN/TXT/PDF/?uri=CELEX:32017R0565&amp;from=en" </w:instrText>
            </w:r>
            <w:r w:rsidRPr="00E02972">
              <w:rPr>
                <w:rFonts w:cs="Arial"/>
                <w:sz w:val="16"/>
                <w:szCs w:val="18"/>
              </w:rPr>
              <w:fldChar w:fldCharType="separate"/>
            </w:r>
            <w:r w:rsidR="00A74E88" w:rsidRPr="00E02972">
              <w:rPr>
                <w:rStyle w:val="Hyperlink"/>
                <w:rFonts w:cs="Arial"/>
                <w:sz w:val="16"/>
                <w:szCs w:val="18"/>
              </w:rPr>
              <w:t>DR1</w:t>
            </w:r>
            <w:r w:rsidR="00A74E88" w:rsidRPr="00E02972">
              <w:rPr>
                <w:rStyle w:val="Hyperlink"/>
                <w:rFonts w:cs="Arial"/>
                <w:b/>
                <w:sz w:val="16"/>
                <w:szCs w:val="18"/>
              </w:rPr>
              <w:t xml:space="preserve"> </w:t>
            </w:r>
          </w:p>
          <w:p w:rsidR="00032535" w:rsidRPr="00E02972" w:rsidRDefault="006C3496" w:rsidP="006E3A87">
            <w:pPr>
              <w:spacing w:before="240" w:after="260"/>
              <w:jc w:val="left"/>
              <w:rPr>
                <w:rFonts w:cs="Arial"/>
                <w:sz w:val="16"/>
                <w:szCs w:val="18"/>
              </w:rPr>
            </w:pPr>
            <w:r w:rsidRPr="00E02972">
              <w:rPr>
                <w:rFonts w:cs="Arial"/>
                <w:sz w:val="16"/>
                <w:szCs w:val="18"/>
              </w:rPr>
              <w:fldChar w:fldCharType="end"/>
            </w:r>
            <w:r w:rsidR="00032535" w:rsidRPr="00E02972">
              <w:rPr>
                <w:rFonts w:cs="Arial"/>
                <w:sz w:val="16"/>
                <w:szCs w:val="18"/>
              </w:rPr>
              <w:t>L3: FR7</w:t>
            </w: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032535" w:rsidRPr="00E02972" w:rsidRDefault="00032535" w:rsidP="00F44B85">
            <w:pPr>
              <w:autoSpaceDE w:val="0"/>
              <w:autoSpaceDN w:val="0"/>
              <w:adjustRightInd w:val="0"/>
              <w:spacing w:before="240" w:after="260"/>
              <w:ind w:right="161"/>
              <w:rPr>
                <w:rFonts w:cs="Arial"/>
                <w:sz w:val="16"/>
                <w:szCs w:val="18"/>
              </w:rPr>
            </w:pPr>
            <w:r w:rsidRPr="00E02972">
              <w:rPr>
                <w:rFonts w:cs="Arial"/>
                <w:sz w:val="16"/>
                <w:szCs w:val="18"/>
              </w:rPr>
              <w:t>When offering an investment service together with another service or product as part of a package or as a condition for the same agreement or package, a firm is required to:</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inform the client whether the different components can be brought separately;</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 xml:space="preserve">provide separate evidence of the costs and charges of each component. </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for retail clients, provide an adequate description of the different components of the package and they way their interaction modify risks;</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provide a clear breakdown of costs- administration, transaction, exit or pre-payment penalty charges, in good time before client bound by agreement;</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set out to clients separately and clearly the  price of package and component parts;</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use prominent, accurate language and appropriate font size in client communications;</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disclose to client the features and risks when distributing bundled or tied packages and how risks are modified if purchased separately or as a package; and</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set out clearly all options for clients.</w: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032535" w:rsidRPr="00E02972" w:rsidRDefault="00032535" w:rsidP="00F44B85">
            <w:pPr>
              <w:pStyle w:val="ssPara1"/>
              <w:spacing w:before="240" w:after="0"/>
              <w:rPr>
                <w:rFonts w:cs="Arial"/>
                <w:sz w:val="16"/>
                <w:szCs w:val="18"/>
              </w:rPr>
            </w:pPr>
            <w:r w:rsidRPr="00E02972">
              <w:rPr>
                <w:rFonts w:eastAsia="Times New Roman" w:cs="Arial"/>
                <w:sz w:val="16"/>
                <w:szCs w:val="18"/>
              </w:rPr>
              <w:t>R</w:t>
            </w:r>
            <w:r w:rsidRPr="00E02972">
              <w:rPr>
                <w:rFonts w:eastAsia="Times New Roman" w:cs="Arial"/>
                <w:sz w:val="16"/>
                <w:szCs w:val="18"/>
              </w:rPr>
              <w:br/>
              <w:t>EP</w:t>
            </w:r>
            <w:r w:rsidRPr="00E02972">
              <w:rPr>
                <w:rFonts w:eastAsia="Times New Roman" w:cs="Arial"/>
                <w:sz w:val="16"/>
                <w:szCs w:val="18"/>
              </w:rPr>
              <w:br/>
              <w:t>PSP</w:t>
            </w:r>
            <w:r w:rsidRPr="00E02972">
              <w:rPr>
                <w:rFonts w:eastAsia="Times New Roman" w:cs="Arial"/>
                <w:sz w:val="16"/>
                <w:szCs w:val="18"/>
              </w:rPr>
              <w:br/>
              <w:t>ECP (upon request)</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032535" w:rsidRPr="00E02972" w:rsidRDefault="00032535" w:rsidP="00F44B85">
            <w:pPr>
              <w:pStyle w:val="BulletPoint1"/>
              <w:jc w:val="both"/>
              <w:rPr>
                <w:rFonts w:cs="Arial"/>
                <w:sz w:val="16"/>
                <w:szCs w:val="18"/>
              </w:rPr>
            </w:pPr>
            <w:r w:rsidRPr="00E02972">
              <w:rPr>
                <w:rFonts w:cs="Arial"/>
                <w:sz w:val="16"/>
                <w:szCs w:val="18"/>
              </w:rPr>
              <w:t>Review and amend client agreements or communications to ensure firm:</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 xml:space="preserve">provides a clear breakdown of costs- administration, transaction, exit or pre-payment penalty charges, in good time before client bound by agreement; </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sets out to client price of package and component parts;</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uses prominent, accurate language and appropriate font size in any client communication relating to cross-selling;</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discloses to client the features and risks when distributing bundled or tied packages and how risks are modified if purchased separately or as a package; and</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sets out to client clearly all their options.</w:t>
            </w:r>
          </w:p>
          <w:p w:rsidR="00032535" w:rsidRPr="00E02972" w:rsidRDefault="00032535" w:rsidP="00F44B85">
            <w:pPr>
              <w:pStyle w:val="ListParagraph"/>
              <w:spacing w:before="120" w:after="120" w:line="240" w:lineRule="auto"/>
              <w:ind w:left="0"/>
              <w:jc w:val="both"/>
              <w:rPr>
                <w:rFonts w:ascii="Arial" w:eastAsia="Times New Roman" w:hAnsi="Arial" w:cs="Arial"/>
                <w:sz w:val="16"/>
                <w:szCs w:val="18"/>
              </w:rPr>
            </w:pPr>
          </w:p>
        </w:tc>
        <w:tc>
          <w:tcPr>
            <w:tcW w:w="625" w:type="pct"/>
            <w:tcBorders>
              <w:top w:val="single" w:sz="4" w:space="0" w:color="auto"/>
              <w:left w:val="single" w:sz="4" w:space="0" w:color="auto"/>
              <w:bottom w:val="single" w:sz="4" w:space="0" w:color="auto"/>
              <w:right w:val="single" w:sz="4" w:space="0" w:color="auto"/>
            </w:tcBorders>
          </w:tcPr>
          <w:p w:rsidR="00443BC2" w:rsidRPr="00E02972" w:rsidRDefault="00443BC2" w:rsidP="00443BC2">
            <w:pPr>
              <w:numPr>
                <w:ilvl w:val="0"/>
                <w:numId w:val="9"/>
              </w:numPr>
              <w:spacing w:before="240" w:after="260"/>
              <w:jc w:val="left"/>
              <w:rPr>
                <w:rFonts w:eastAsia="Times New Roman" w:cs="Arial"/>
                <w:bCs/>
                <w:sz w:val="16"/>
                <w:szCs w:val="18"/>
              </w:rPr>
            </w:pPr>
            <w:r w:rsidRPr="00E02972">
              <w:rPr>
                <w:rFonts w:eastAsia="Times New Roman" w:cs="Arial"/>
                <w:bCs/>
                <w:sz w:val="16"/>
                <w:szCs w:val="18"/>
              </w:rPr>
              <w:t>Client on-boarding documentation.</w:t>
            </w:r>
          </w:p>
          <w:p w:rsidR="00443BC2" w:rsidRPr="00E02972" w:rsidRDefault="00443BC2" w:rsidP="00443BC2">
            <w:pPr>
              <w:numPr>
                <w:ilvl w:val="0"/>
                <w:numId w:val="9"/>
              </w:numPr>
              <w:spacing w:before="240" w:after="260"/>
              <w:jc w:val="left"/>
              <w:rPr>
                <w:rFonts w:eastAsia="Times New Roman" w:cs="Arial"/>
                <w:bCs/>
                <w:sz w:val="16"/>
                <w:szCs w:val="18"/>
              </w:rPr>
            </w:pPr>
            <w:r w:rsidRPr="00E02972">
              <w:rPr>
                <w:rFonts w:eastAsia="Times New Roman" w:cs="Arial"/>
                <w:bCs/>
                <w:sz w:val="16"/>
                <w:szCs w:val="18"/>
              </w:rPr>
              <w:t>Client Terms of Business.</w:t>
            </w:r>
          </w:p>
          <w:p w:rsidR="00443BC2" w:rsidRPr="00E02972" w:rsidRDefault="00443BC2" w:rsidP="00443BC2">
            <w:pPr>
              <w:numPr>
                <w:ilvl w:val="0"/>
                <w:numId w:val="9"/>
              </w:numPr>
              <w:spacing w:before="240" w:after="260"/>
              <w:jc w:val="left"/>
              <w:rPr>
                <w:rFonts w:eastAsia="Times New Roman" w:cs="Arial"/>
                <w:bCs/>
                <w:sz w:val="16"/>
                <w:szCs w:val="18"/>
              </w:rPr>
            </w:pPr>
            <w:r w:rsidRPr="00E02972">
              <w:rPr>
                <w:rFonts w:eastAsia="Times New Roman" w:cs="Arial"/>
                <w:bCs/>
                <w:sz w:val="16"/>
                <w:szCs w:val="18"/>
              </w:rPr>
              <w:t>Client covering letters (to send with general terms of business)</w:t>
            </w:r>
          </w:p>
          <w:p w:rsidR="00443BC2" w:rsidRPr="00E02972" w:rsidRDefault="00443BC2" w:rsidP="00443BC2">
            <w:pPr>
              <w:pStyle w:val="ssPara1"/>
              <w:numPr>
                <w:ilvl w:val="0"/>
                <w:numId w:val="9"/>
              </w:numPr>
              <w:spacing w:before="240"/>
              <w:jc w:val="left"/>
              <w:rPr>
                <w:rFonts w:cs="Arial"/>
                <w:sz w:val="16"/>
                <w:szCs w:val="18"/>
              </w:rPr>
            </w:pPr>
            <w:r w:rsidRPr="00E02972">
              <w:rPr>
                <w:rFonts w:cs="Arial"/>
                <w:sz w:val="16"/>
                <w:szCs w:val="18"/>
              </w:rPr>
              <w:t>Template disclosure documents.</w:t>
            </w:r>
          </w:p>
          <w:p w:rsidR="00443BC2" w:rsidRPr="00E02972" w:rsidRDefault="00443BC2" w:rsidP="00443BC2">
            <w:pPr>
              <w:pStyle w:val="ssPara1"/>
              <w:numPr>
                <w:ilvl w:val="0"/>
                <w:numId w:val="9"/>
              </w:numPr>
              <w:spacing w:before="240"/>
              <w:jc w:val="left"/>
              <w:rPr>
                <w:rFonts w:cs="Arial"/>
                <w:sz w:val="16"/>
                <w:szCs w:val="18"/>
              </w:rPr>
            </w:pPr>
            <w:r w:rsidRPr="00E02972">
              <w:rPr>
                <w:rFonts w:cs="Arial"/>
                <w:sz w:val="16"/>
                <w:szCs w:val="18"/>
              </w:rPr>
              <w:t xml:space="preserve">Template/ pro </w:t>
            </w:r>
            <w:r w:rsidR="00F44B85" w:rsidRPr="00E02972">
              <w:rPr>
                <w:rFonts w:cs="Arial"/>
                <w:sz w:val="16"/>
                <w:szCs w:val="18"/>
              </w:rPr>
              <w:t>forma costs</w:t>
            </w:r>
            <w:r w:rsidRPr="00E02972">
              <w:rPr>
                <w:rFonts w:cs="Arial"/>
                <w:sz w:val="16"/>
                <w:szCs w:val="18"/>
              </w:rPr>
              <w:t xml:space="preserve"> and charges disclosure document.</w:t>
            </w:r>
          </w:p>
          <w:p w:rsidR="00032535" w:rsidRPr="00E02972" w:rsidRDefault="00032535" w:rsidP="00443BC2">
            <w:pPr>
              <w:pStyle w:val="ssPara1"/>
              <w:spacing w:before="240"/>
              <w:rPr>
                <w:rFonts w:cs="Arial"/>
                <w:sz w:val="16"/>
                <w:szCs w:val="18"/>
              </w:rPr>
            </w:pPr>
          </w:p>
        </w:tc>
        <w:tc>
          <w:tcPr>
            <w:tcW w:w="416" w:type="pct"/>
            <w:tcBorders>
              <w:top w:val="single" w:sz="4" w:space="0" w:color="auto"/>
              <w:left w:val="single" w:sz="4" w:space="0" w:color="auto"/>
              <w:bottom w:val="single" w:sz="4" w:space="0" w:color="auto"/>
              <w:right w:val="single" w:sz="4" w:space="0" w:color="auto"/>
            </w:tcBorders>
            <w:shd w:val="clear" w:color="auto" w:fill="auto"/>
          </w:tcPr>
          <w:p w:rsidR="00032535" w:rsidRPr="00E02972" w:rsidRDefault="00032535" w:rsidP="00F44B85">
            <w:pPr>
              <w:pStyle w:val="ssPara1"/>
              <w:spacing w:before="240"/>
              <w:rPr>
                <w:rFonts w:eastAsia="Times New Roman" w:cs="Arial"/>
                <w:sz w:val="16"/>
                <w:szCs w:val="18"/>
              </w:rPr>
            </w:pPr>
            <w:r w:rsidRPr="00E02972">
              <w:rPr>
                <w:rFonts w:cs="Arial"/>
                <w:sz w:val="16"/>
                <w:szCs w:val="18"/>
              </w:rPr>
              <w:t>No express consent but disclosure of costs and charges to be given to client in good time– ie enough time to read and understand before making a decision</w:t>
            </w:r>
          </w:p>
        </w:tc>
      </w:tr>
      <w:tr w:rsidR="00032535" w:rsidRPr="00E02972" w:rsidTr="00F44B85">
        <w:tc>
          <w:tcPr>
            <w:tcW w:w="455" w:type="pct"/>
            <w:tcBorders>
              <w:top w:val="single" w:sz="4" w:space="0" w:color="auto"/>
              <w:left w:val="single" w:sz="4" w:space="0" w:color="auto"/>
              <w:bottom w:val="single" w:sz="4" w:space="0" w:color="auto"/>
              <w:right w:val="single" w:sz="4" w:space="0" w:color="auto"/>
            </w:tcBorders>
            <w:shd w:val="clear" w:color="auto" w:fill="69889A"/>
          </w:tcPr>
          <w:p w:rsidR="00032535" w:rsidRPr="00E02972" w:rsidRDefault="00032535" w:rsidP="006E3A87">
            <w:pPr>
              <w:spacing w:before="120" w:after="120"/>
              <w:jc w:val="left"/>
              <w:rPr>
                <w:rFonts w:eastAsia="Times New Roman" w:cs="Arial"/>
                <w:b/>
                <w:bCs/>
                <w:color w:val="FFFFFF" w:themeColor="background1"/>
                <w:sz w:val="16"/>
                <w:szCs w:val="18"/>
                <w:lang w:eastAsia="en-GB"/>
              </w:rPr>
            </w:pPr>
            <w:r w:rsidRPr="00E02972">
              <w:rPr>
                <w:rFonts w:eastAsia="Times New Roman" w:cs="Arial"/>
                <w:b/>
                <w:bCs/>
                <w:color w:val="FFFFFF" w:themeColor="background1"/>
                <w:sz w:val="16"/>
                <w:szCs w:val="18"/>
                <w:lang w:eastAsia="en-GB"/>
              </w:rPr>
              <w:t>CLIENT AGREEMENTS</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032535" w:rsidRPr="00E02972" w:rsidRDefault="006C2CF1" w:rsidP="00B02277">
            <w:pPr>
              <w:spacing w:before="120" w:after="120"/>
              <w:jc w:val="left"/>
              <w:rPr>
                <w:rFonts w:eastAsia="Times New Roman" w:cs="Arial"/>
                <w:sz w:val="16"/>
                <w:szCs w:val="18"/>
              </w:rPr>
            </w:pPr>
            <w:hyperlink r:id="rId61" w:history="1">
              <w:r w:rsidR="00032535" w:rsidRPr="00E02972">
                <w:rPr>
                  <w:rStyle w:val="Hyperlink"/>
                  <w:rFonts w:cs="Arial"/>
                  <w:sz w:val="16"/>
                  <w:szCs w:val="18"/>
                </w:rPr>
                <w:t>D</w:t>
              </w:r>
            </w:hyperlink>
            <w:r w:rsidR="00032535" w:rsidRPr="00E02972">
              <w:rPr>
                <w:rFonts w:cs="Arial"/>
                <w:sz w:val="16"/>
                <w:szCs w:val="18"/>
              </w:rPr>
              <w:t xml:space="preserve"> </w:t>
            </w:r>
            <w:r w:rsidR="00032535" w:rsidRPr="00E02972">
              <w:rPr>
                <w:rFonts w:eastAsia="Times New Roman" w:cs="Arial"/>
                <w:sz w:val="16"/>
                <w:szCs w:val="18"/>
              </w:rPr>
              <w:t xml:space="preserve"> Art 25(5)</w:t>
            </w:r>
          </w:p>
          <w:p w:rsidR="00A74E88" w:rsidRPr="00E02972" w:rsidRDefault="00032535" w:rsidP="006E3A87">
            <w:pPr>
              <w:spacing w:before="240" w:after="260"/>
              <w:jc w:val="left"/>
              <w:rPr>
                <w:rFonts w:cs="Arial"/>
                <w:sz w:val="16"/>
                <w:szCs w:val="18"/>
              </w:rPr>
            </w:pPr>
            <w:r w:rsidRPr="00E02972">
              <w:rPr>
                <w:rFonts w:cs="Arial"/>
                <w:sz w:val="16"/>
                <w:szCs w:val="18"/>
              </w:rPr>
              <w:t xml:space="preserve">L2: </w:t>
            </w:r>
            <w:hyperlink r:id="rId62" w:history="1">
              <w:hyperlink r:id="rId63" w:history="1">
                <w:r w:rsidRPr="00E02972">
                  <w:rPr>
                    <w:rStyle w:val="Hyperlink"/>
                    <w:rFonts w:cs="Arial"/>
                    <w:sz w:val="16"/>
                    <w:szCs w:val="18"/>
                  </w:rPr>
                  <w:t>CP1</w:t>
                </w:r>
              </w:hyperlink>
            </w:hyperlink>
            <w:r w:rsidRPr="00E02972">
              <w:rPr>
                <w:rFonts w:cs="Arial"/>
                <w:sz w:val="16"/>
                <w:szCs w:val="18"/>
              </w:rPr>
              <w:t xml:space="preserve">, </w:t>
            </w:r>
            <w:hyperlink r:id="rId64" w:history="1">
              <w:r w:rsidRPr="00E02972">
                <w:rPr>
                  <w:rStyle w:val="Hyperlink"/>
                  <w:rFonts w:cs="Arial"/>
                  <w:sz w:val="16"/>
                  <w:szCs w:val="18"/>
                </w:rPr>
                <w:t>FR</w:t>
              </w:r>
            </w:hyperlink>
            <w:r w:rsidRPr="00E02972">
              <w:rPr>
                <w:rFonts w:cs="Arial"/>
                <w:sz w:val="16"/>
                <w:szCs w:val="18"/>
              </w:rPr>
              <w:t xml:space="preserve">, </w:t>
            </w:r>
          </w:p>
          <w:p w:rsidR="00032535" w:rsidRPr="00E02972" w:rsidRDefault="006C2CF1" w:rsidP="00A74E88">
            <w:pPr>
              <w:numPr>
                <w:ilvl w:val="0"/>
                <w:numId w:val="7"/>
              </w:numPr>
              <w:spacing w:before="240" w:after="260"/>
              <w:jc w:val="left"/>
              <w:rPr>
                <w:rFonts w:cs="Arial"/>
                <w:bCs/>
                <w:sz w:val="16"/>
                <w:szCs w:val="18"/>
              </w:rPr>
            </w:pPr>
            <w:hyperlink r:id="rId65" w:history="1">
              <w:r w:rsidR="00032535" w:rsidRPr="00E02972">
                <w:rPr>
                  <w:rStyle w:val="Hyperlink"/>
                  <w:rFonts w:cs="Arial"/>
                  <w:sz w:val="16"/>
                  <w:szCs w:val="18"/>
                </w:rPr>
                <w:t>DR1</w:t>
              </w:r>
            </w:hyperlink>
            <w:r w:rsidR="00C526AC" w:rsidRPr="00E02972">
              <w:rPr>
                <w:rStyle w:val="Hyperlink"/>
                <w:rFonts w:cs="Arial"/>
                <w:b/>
                <w:sz w:val="16"/>
                <w:szCs w:val="18"/>
              </w:rPr>
              <w:t xml:space="preserve"> (</w:t>
            </w:r>
            <w:hyperlink r:id="rId66" w:history="1">
              <w:r w:rsidR="00032535" w:rsidRPr="00E02972">
                <w:rPr>
                  <w:rStyle w:val="Hyperlink"/>
                  <w:rFonts w:cs="Arial"/>
                  <w:b/>
                  <w:sz w:val="16"/>
                  <w:szCs w:val="18"/>
                </w:rPr>
                <w:t>Art 58</w:t>
              </w:r>
            </w:hyperlink>
            <w:r w:rsidR="00C526AC" w:rsidRPr="00E02972">
              <w:rPr>
                <w:rStyle w:val="Hyperlink"/>
                <w:rFonts w:cs="Arial"/>
                <w:b/>
                <w:sz w:val="16"/>
                <w:szCs w:val="18"/>
              </w:rPr>
              <w:t>)</w:t>
            </w: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032535" w:rsidRPr="00E02972" w:rsidRDefault="00032535" w:rsidP="00F44B85">
            <w:pPr>
              <w:autoSpaceDE w:val="0"/>
              <w:autoSpaceDN w:val="0"/>
              <w:adjustRightInd w:val="0"/>
              <w:spacing w:before="240" w:after="260"/>
              <w:ind w:right="161"/>
              <w:rPr>
                <w:rFonts w:cs="Arial"/>
                <w:sz w:val="16"/>
                <w:szCs w:val="18"/>
              </w:rPr>
            </w:pPr>
            <w:r w:rsidRPr="00E02972">
              <w:rPr>
                <w:rFonts w:cs="Arial"/>
                <w:sz w:val="16"/>
                <w:szCs w:val="18"/>
              </w:rPr>
              <w:t xml:space="preserve">Requirement to enter into written agreements if providing investment services to new professional clients after the date of application of MIFID2 setting out essential rights and obligations. Scope of the client agreement is proposed to be expanded beyond merely recording the ‘essential rights and obligations’ of the parties, to: </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 xml:space="preserve">the ‘nature and extent of any investment advice services’ to be provided; </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 xml:space="preserve">the types of financial instruments which may be bought or sold, and transactions undertaken on behalf of the client, as well as any which are prohibited (in the context of portfolio management); and </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an explanation of the key features of any custody services to be provided by the firm, including setting out the firm’s role in relation to corporate actions and the terms on which securities financing transactions will generate a return for the client.</w:t>
            </w:r>
          </w:p>
          <w:p w:rsidR="00032535" w:rsidRPr="00E02972" w:rsidRDefault="00032535" w:rsidP="00F44B85">
            <w:pPr>
              <w:autoSpaceDE w:val="0"/>
              <w:autoSpaceDN w:val="0"/>
              <w:adjustRightInd w:val="0"/>
              <w:spacing w:before="240" w:after="260"/>
              <w:ind w:right="161"/>
              <w:rPr>
                <w:rFonts w:cs="Arial"/>
                <w:sz w:val="16"/>
                <w:szCs w:val="18"/>
              </w:rPr>
            </w:pPr>
            <w:r w:rsidRPr="00E02972">
              <w:rPr>
                <w:rFonts w:cs="Arial"/>
                <w:sz w:val="16"/>
                <w:szCs w:val="18"/>
              </w:rPr>
              <w:t xml:space="preserve">Specific requirements for content written agreements with retail client </w:t>
            </w:r>
            <w:r w:rsidRPr="00E02972">
              <w:rPr>
                <w:rFonts w:cs="Arial"/>
                <w:sz w:val="16"/>
                <w:szCs w:val="18"/>
              </w:rPr>
              <w:lastRenderedPageBreak/>
              <w:t>when providing investment advice</w:t>
            </w:r>
            <w:r w:rsidR="00A74E88" w:rsidRPr="00E02972">
              <w:rPr>
                <w:rFonts w:cs="Arial"/>
                <w:sz w:val="16"/>
                <w:szCs w:val="18"/>
              </w:rPr>
              <w:t>.</w: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032535" w:rsidRPr="00E02972" w:rsidRDefault="00032535" w:rsidP="00F44B85">
            <w:pPr>
              <w:pStyle w:val="ssPara1"/>
              <w:spacing w:before="240" w:after="0"/>
              <w:rPr>
                <w:rFonts w:cs="Arial"/>
                <w:sz w:val="16"/>
                <w:szCs w:val="18"/>
              </w:rPr>
            </w:pPr>
            <w:r w:rsidRPr="00E02972">
              <w:rPr>
                <w:rFonts w:cs="Arial"/>
                <w:sz w:val="16"/>
                <w:szCs w:val="18"/>
              </w:rPr>
              <w:lastRenderedPageBreak/>
              <w:t xml:space="preserve">R </w:t>
            </w:r>
          </w:p>
          <w:p w:rsidR="00032535" w:rsidRPr="00E02972" w:rsidRDefault="00032535" w:rsidP="00F44B85">
            <w:pPr>
              <w:pStyle w:val="ssPara1"/>
              <w:spacing w:after="0"/>
              <w:rPr>
                <w:rFonts w:cs="Arial"/>
                <w:sz w:val="16"/>
                <w:szCs w:val="18"/>
              </w:rPr>
            </w:pPr>
            <w:r w:rsidRPr="00E02972">
              <w:rPr>
                <w:rFonts w:cs="Arial"/>
                <w:sz w:val="16"/>
                <w:szCs w:val="18"/>
              </w:rPr>
              <w:t>New EP/PSP</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 xml:space="preserve">Draft written agreements for new professional clients meeting requirements set out in L2- note obligation only applies if providing investment services to new professional clients after the date of application of MIFID2. </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Review existing written agreements with retail clients</w:t>
            </w:r>
            <w:r w:rsidR="00A74E88" w:rsidRPr="00E02972">
              <w:rPr>
                <w:rFonts w:cs="Arial"/>
                <w:sz w:val="16"/>
                <w:szCs w:val="18"/>
              </w:rPr>
              <w:t xml:space="preserve"> and professional clients</w:t>
            </w:r>
            <w:r w:rsidRPr="00E02972">
              <w:rPr>
                <w:rFonts w:cs="Arial"/>
                <w:sz w:val="16"/>
                <w:szCs w:val="18"/>
              </w:rPr>
              <w:t xml:space="preserve"> to ensure they meet additional content requirements set out at DR1. </w:t>
            </w:r>
          </w:p>
          <w:p w:rsidR="00A74E88" w:rsidRPr="00E02972" w:rsidRDefault="00A74E88" w:rsidP="00F44B85">
            <w:pPr>
              <w:pStyle w:val="BulletPoint1"/>
              <w:numPr>
                <w:ilvl w:val="0"/>
                <w:numId w:val="9"/>
              </w:numPr>
              <w:tabs>
                <w:tab w:val="clear" w:pos="684"/>
              </w:tabs>
              <w:jc w:val="both"/>
              <w:rPr>
                <w:rFonts w:cs="Arial"/>
                <w:sz w:val="16"/>
                <w:szCs w:val="18"/>
              </w:rPr>
            </w:pPr>
            <w:r w:rsidRPr="00E02972">
              <w:rPr>
                <w:rFonts w:cs="Arial"/>
                <w:sz w:val="16"/>
                <w:szCs w:val="18"/>
              </w:rPr>
              <w:t xml:space="preserve">Review content of client agreements with retails when providing investment advice to ensure meet additional requirements. </w:t>
            </w:r>
          </w:p>
        </w:tc>
        <w:tc>
          <w:tcPr>
            <w:tcW w:w="625" w:type="pct"/>
            <w:tcBorders>
              <w:top w:val="single" w:sz="4" w:space="0" w:color="auto"/>
              <w:left w:val="single" w:sz="4" w:space="0" w:color="auto"/>
              <w:bottom w:val="single" w:sz="4" w:space="0" w:color="auto"/>
              <w:right w:val="single" w:sz="4" w:space="0" w:color="auto"/>
            </w:tcBorders>
          </w:tcPr>
          <w:p w:rsidR="00443BC2" w:rsidRPr="00E02972" w:rsidRDefault="00443BC2" w:rsidP="00443BC2">
            <w:pPr>
              <w:pStyle w:val="ssPara1"/>
              <w:numPr>
                <w:ilvl w:val="0"/>
                <w:numId w:val="7"/>
              </w:numPr>
              <w:spacing w:before="240"/>
              <w:rPr>
                <w:rFonts w:eastAsia="Times New Roman" w:cs="Arial"/>
                <w:sz w:val="16"/>
                <w:szCs w:val="18"/>
              </w:rPr>
            </w:pPr>
            <w:r w:rsidRPr="00E02972">
              <w:rPr>
                <w:rFonts w:eastAsia="Times New Roman" w:cs="Arial"/>
                <w:sz w:val="16"/>
                <w:szCs w:val="18"/>
              </w:rPr>
              <w:t>Client Agreements Terms of Business with new professional clients.</w:t>
            </w:r>
          </w:p>
          <w:p w:rsidR="00443BC2" w:rsidRPr="00E02972" w:rsidRDefault="00F44B85" w:rsidP="00443BC2">
            <w:pPr>
              <w:pStyle w:val="ssPara1"/>
              <w:numPr>
                <w:ilvl w:val="0"/>
                <w:numId w:val="7"/>
              </w:numPr>
              <w:spacing w:before="240"/>
              <w:rPr>
                <w:rFonts w:eastAsia="Times New Roman" w:cs="Arial"/>
                <w:sz w:val="16"/>
                <w:szCs w:val="18"/>
              </w:rPr>
            </w:pPr>
            <w:r w:rsidRPr="00E02972">
              <w:rPr>
                <w:rFonts w:eastAsia="Times New Roman" w:cs="Arial"/>
                <w:sz w:val="16"/>
                <w:szCs w:val="18"/>
              </w:rPr>
              <w:t>Existing retail client agreements and professional client agreements.</w:t>
            </w:r>
          </w:p>
          <w:p w:rsidR="00443BC2" w:rsidRPr="00E02972" w:rsidRDefault="00443BC2" w:rsidP="00443BC2">
            <w:pPr>
              <w:pStyle w:val="ssPara1"/>
              <w:numPr>
                <w:ilvl w:val="0"/>
                <w:numId w:val="7"/>
              </w:numPr>
              <w:spacing w:before="240"/>
              <w:rPr>
                <w:rFonts w:eastAsia="Times New Roman" w:cs="Arial"/>
                <w:sz w:val="16"/>
                <w:szCs w:val="18"/>
              </w:rPr>
            </w:pPr>
            <w:r w:rsidRPr="00E02972">
              <w:rPr>
                <w:rFonts w:eastAsia="Times New Roman" w:cs="Arial"/>
                <w:sz w:val="16"/>
                <w:szCs w:val="18"/>
              </w:rPr>
              <w:t>Investment Management Agreements, Advisory Agreement.</w:t>
            </w:r>
          </w:p>
        </w:tc>
        <w:tc>
          <w:tcPr>
            <w:tcW w:w="416" w:type="pct"/>
            <w:tcBorders>
              <w:top w:val="single" w:sz="4" w:space="0" w:color="auto"/>
              <w:left w:val="single" w:sz="4" w:space="0" w:color="auto"/>
              <w:bottom w:val="single" w:sz="4" w:space="0" w:color="auto"/>
              <w:right w:val="single" w:sz="4" w:space="0" w:color="auto"/>
            </w:tcBorders>
            <w:shd w:val="clear" w:color="auto" w:fill="auto"/>
          </w:tcPr>
          <w:p w:rsidR="00032535" w:rsidRPr="00E02972" w:rsidRDefault="00A74E88" w:rsidP="00F44B85">
            <w:pPr>
              <w:pStyle w:val="ssPara1"/>
              <w:spacing w:before="240"/>
              <w:rPr>
                <w:rFonts w:eastAsia="Times New Roman" w:cs="Arial"/>
                <w:sz w:val="16"/>
                <w:szCs w:val="18"/>
              </w:rPr>
            </w:pPr>
            <w:r w:rsidRPr="00E02972">
              <w:rPr>
                <w:rFonts w:eastAsia="Times New Roman" w:cs="Arial"/>
                <w:sz w:val="16"/>
                <w:szCs w:val="18"/>
              </w:rPr>
              <w:t xml:space="preserve">Client agreements must be provided in good time. </w:t>
            </w:r>
          </w:p>
        </w:tc>
      </w:tr>
      <w:tr w:rsidR="00032535" w:rsidRPr="00E02972" w:rsidTr="00F44B85">
        <w:tc>
          <w:tcPr>
            <w:tcW w:w="455" w:type="pct"/>
            <w:tcBorders>
              <w:top w:val="single" w:sz="4" w:space="0" w:color="auto"/>
              <w:left w:val="single" w:sz="4" w:space="0" w:color="auto"/>
              <w:bottom w:val="single" w:sz="4" w:space="0" w:color="auto"/>
              <w:right w:val="single" w:sz="4" w:space="0" w:color="auto"/>
            </w:tcBorders>
            <w:shd w:val="clear" w:color="auto" w:fill="69889A"/>
          </w:tcPr>
          <w:p w:rsidR="00032535" w:rsidRPr="00E02972" w:rsidRDefault="00032535" w:rsidP="006E3A87">
            <w:pPr>
              <w:spacing w:before="120" w:after="120"/>
              <w:jc w:val="left"/>
              <w:rPr>
                <w:rFonts w:eastAsia="Times New Roman" w:cs="Arial"/>
                <w:b/>
                <w:bCs/>
                <w:color w:val="FFFFFF" w:themeColor="background1"/>
                <w:sz w:val="16"/>
                <w:szCs w:val="18"/>
                <w:lang w:eastAsia="en-GB"/>
              </w:rPr>
            </w:pPr>
            <w:r w:rsidRPr="00E02972">
              <w:rPr>
                <w:rFonts w:eastAsia="Times New Roman" w:cs="Arial"/>
                <w:b/>
                <w:bCs/>
                <w:color w:val="FFFFFF" w:themeColor="background1"/>
                <w:sz w:val="16"/>
                <w:szCs w:val="18"/>
                <w:lang w:eastAsia="en-GB"/>
              </w:rPr>
              <w:t>CLIENT REPORTING</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032535" w:rsidRPr="00E02972" w:rsidRDefault="006C2CF1" w:rsidP="0035251F">
            <w:pPr>
              <w:spacing w:before="120" w:after="120"/>
              <w:jc w:val="left"/>
              <w:rPr>
                <w:rFonts w:eastAsia="Times New Roman" w:cs="Arial"/>
                <w:sz w:val="16"/>
                <w:szCs w:val="18"/>
              </w:rPr>
            </w:pPr>
            <w:hyperlink r:id="rId67" w:history="1">
              <w:r w:rsidR="00032535" w:rsidRPr="00E02972">
                <w:rPr>
                  <w:rStyle w:val="Hyperlink"/>
                  <w:rFonts w:cs="Arial"/>
                  <w:sz w:val="16"/>
                  <w:szCs w:val="18"/>
                </w:rPr>
                <w:t>D</w:t>
              </w:r>
            </w:hyperlink>
            <w:r w:rsidR="00032535" w:rsidRPr="00E02972">
              <w:rPr>
                <w:rFonts w:cs="Arial"/>
                <w:sz w:val="16"/>
                <w:szCs w:val="18"/>
              </w:rPr>
              <w:t xml:space="preserve"> </w:t>
            </w:r>
            <w:r w:rsidR="00032535" w:rsidRPr="00E02972">
              <w:rPr>
                <w:rFonts w:eastAsia="Times New Roman" w:cs="Arial"/>
                <w:sz w:val="16"/>
                <w:szCs w:val="18"/>
              </w:rPr>
              <w:t xml:space="preserve"> Art 25(6)</w:t>
            </w:r>
          </w:p>
          <w:p w:rsidR="00032535" w:rsidRPr="00E02972" w:rsidRDefault="00032535" w:rsidP="0035251F">
            <w:pPr>
              <w:spacing w:before="120" w:after="120"/>
              <w:jc w:val="left"/>
              <w:rPr>
                <w:rFonts w:cs="Arial"/>
                <w:sz w:val="16"/>
                <w:szCs w:val="18"/>
              </w:rPr>
            </w:pPr>
            <w:r w:rsidRPr="00E02972">
              <w:rPr>
                <w:rFonts w:cs="Arial"/>
                <w:sz w:val="16"/>
                <w:szCs w:val="18"/>
              </w:rPr>
              <w:t xml:space="preserve">L2: </w:t>
            </w:r>
            <w:r w:rsidR="00C526AC" w:rsidRPr="00E02972">
              <w:rPr>
                <w:rFonts w:cs="Arial"/>
                <w:sz w:val="16"/>
                <w:szCs w:val="18"/>
              </w:rPr>
              <w:t>(</w:t>
            </w:r>
            <w:hyperlink r:id="rId68" w:history="1">
              <w:hyperlink r:id="rId69" w:history="1">
                <w:r w:rsidR="00C526AC" w:rsidRPr="00E02972">
                  <w:rPr>
                    <w:rStyle w:val="Hyperlink"/>
                    <w:rFonts w:cs="Arial"/>
                    <w:b/>
                    <w:sz w:val="16"/>
                    <w:szCs w:val="18"/>
                  </w:rPr>
                  <w:t>CP1</w:t>
                </w:r>
              </w:hyperlink>
            </w:hyperlink>
            <w:r w:rsidR="00C526AC" w:rsidRPr="00E02972">
              <w:rPr>
                <w:rFonts w:cs="Arial"/>
                <w:b/>
                <w:sz w:val="16"/>
                <w:szCs w:val="18"/>
              </w:rPr>
              <w:t xml:space="preserve">, </w:t>
            </w:r>
            <w:hyperlink r:id="rId70" w:history="1">
              <w:r w:rsidR="00C526AC" w:rsidRPr="00E02972">
                <w:rPr>
                  <w:rStyle w:val="Hyperlink"/>
                  <w:rFonts w:cs="Arial"/>
                  <w:b/>
                  <w:sz w:val="16"/>
                  <w:szCs w:val="18"/>
                </w:rPr>
                <w:t>FR</w:t>
              </w:r>
            </w:hyperlink>
            <w:r w:rsidR="00C526AC" w:rsidRPr="00E02972">
              <w:rPr>
                <w:rStyle w:val="Hyperlink"/>
                <w:rFonts w:cs="Arial"/>
                <w:sz w:val="16"/>
                <w:szCs w:val="18"/>
              </w:rPr>
              <w:t>)</w:t>
            </w:r>
          </w:p>
          <w:p w:rsidR="00032535" w:rsidRPr="00E02972" w:rsidRDefault="006C2CF1" w:rsidP="00D925E0">
            <w:pPr>
              <w:numPr>
                <w:ilvl w:val="0"/>
                <w:numId w:val="42"/>
              </w:numPr>
              <w:spacing w:before="120" w:after="120"/>
              <w:jc w:val="left"/>
              <w:rPr>
                <w:rStyle w:val="Hyperlink"/>
                <w:rFonts w:cs="Arial"/>
                <w:b/>
                <w:sz w:val="16"/>
                <w:szCs w:val="18"/>
              </w:rPr>
            </w:pPr>
            <w:hyperlink r:id="rId71" w:history="1">
              <w:r w:rsidR="00032535" w:rsidRPr="00E02972">
                <w:rPr>
                  <w:rStyle w:val="Hyperlink"/>
                  <w:rFonts w:cs="Arial"/>
                  <w:sz w:val="16"/>
                  <w:szCs w:val="18"/>
                </w:rPr>
                <w:t>DR1</w:t>
              </w:r>
            </w:hyperlink>
            <w:r w:rsidR="00032535" w:rsidRPr="00E02972">
              <w:rPr>
                <w:rStyle w:val="Hyperlink"/>
                <w:rFonts w:cs="Arial"/>
                <w:b/>
                <w:sz w:val="16"/>
                <w:szCs w:val="18"/>
              </w:rPr>
              <w:t>(</w:t>
            </w:r>
            <w:hyperlink r:id="rId72" w:history="1">
              <w:r w:rsidR="00032535" w:rsidRPr="00E02972">
                <w:rPr>
                  <w:rStyle w:val="Hyperlink"/>
                  <w:rFonts w:cs="Arial"/>
                  <w:b/>
                  <w:sz w:val="16"/>
                  <w:szCs w:val="18"/>
                </w:rPr>
                <w:t>Art 59-63</w:t>
              </w:r>
            </w:hyperlink>
            <w:r w:rsidR="00032535" w:rsidRPr="00E02972">
              <w:rPr>
                <w:rStyle w:val="Hyperlink"/>
                <w:rFonts w:cs="Arial"/>
                <w:sz w:val="16"/>
                <w:szCs w:val="18"/>
              </w:rPr>
              <w:t>)</w:t>
            </w:r>
          </w:p>
          <w:p w:rsidR="00BD58C5" w:rsidRPr="00E02972" w:rsidRDefault="00BD58C5" w:rsidP="00BD58C5">
            <w:pPr>
              <w:spacing w:before="120" w:after="120"/>
              <w:jc w:val="left"/>
              <w:rPr>
                <w:rFonts w:cs="Arial"/>
                <w:color w:val="1F497D"/>
                <w:sz w:val="16"/>
                <w:szCs w:val="18"/>
              </w:rPr>
            </w:pPr>
            <w:r w:rsidRPr="00E02972">
              <w:rPr>
                <w:rFonts w:cs="Arial"/>
                <w:sz w:val="16"/>
                <w:szCs w:val="18"/>
              </w:rPr>
              <w:t>L3:</w:t>
            </w:r>
            <w:r w:rsidRPr="00E02972">
              <w:rPr>
                <w:rFonts w:cs="Arial"/>
                <w:color w:val="1F497D"/>
                <w:sz w:val="16"/>
                <w:szCs w:val="18"/>
              </w:rPr>
              <w:t xml:space="preserve"> </w:t>
            </w:r>
          </w:p>
          <w:p w:rsidR="00032535" w:rsidRPr="00E02972" w:rsidRDefault="006C2CF1" w:rsidP="00D925E0">
            <w:pPr>
              <w:numPr>
                <w:ilvl w:val="0"/>
                <w:numId w:val="42"/>
              </w:numPr>
              <w:spacing w:before="120" w:after="120"/>
              <w:jc w:val="left"/>
              <w:rPr>
                <w:rFonts w:cs="Arial"/>
                <w:color w:val="1F497D"/>
                <w:sz w:val="16"/>
                <w:szCs w:val="18"/>
              </w:rPr>
            </w:pPr>
            <w:hyperlink r:id="rId73" w:history="1">
              <w:r w:rsidR="00BD58C5" w:rsidRPr="00E02972">
                <w:rPr>
                  <w:rFonts w:eastAsia="Arial" w:cs="Arial"/>
                  <w:b/>
                  <w:color w:val="0000FF"/>
                  <w:sz w:val="16"/>
                  <w:szCs w:val="18"/>
                  <w:u w:val="single"/>
                  <w:lang w:eastAsia="en-GB"/>
                </w:rPr>
                <w:t>Investor Protection Q&amp;A</w:t>
              </w:r>
            </w:hyperlink>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032535" w:rsidRPr="00E02972" w:rsidRDefault="00032535" w:rsidP="00F44B85">
            <w:pPr>
              <w:autoSpaceDE w:val="0"/>
              <w:autoSpaceDN w:val="0"/>
              <w:adjustRightInd w:val="0"/>
              <w:spacing w:before="240" w:after="260"/>
              <w:ind w:right="161"/>
              <w:rPr>
                <w:rFonts w:cs="Arial"/>
                <w:sz w:val="16"/>
                <w:szCs w:val="18"/>
              </w:rPr>
            </w:pPr>
            <w:r w:rsidRPr="00E02972">
              <w:rPr>
                <w:rFonts w:cs="Arial"/>
                <w:sz w:val="16"/>
                <w:szCs w:val="18"/>
              </w:rPr>
              <w:t xml:space="preserve">Firms to provide all its clients with adequate reports on the service provided in a durable medium, no later than the first business day following execution. Those reports should include periodic communications to clients, taking into account the type and the complexity of financial instruments involved and the nature of the service provided and should also include, where applicable, the costs associated with the transactions and services undertaken on behalf of the client.  </w:t>
            </w:r>
          </w:p>
          <w:p w:rsidR="00032535" w:rsidRPr="00E02972" w:rsidRDefault="00032535" w:rsidP="00F44B85">
            <w:pPr>
              <w:spacing w:before="240" w:after="260"/>
              <w:ind w:right="161"/>
              <w:contextualSpacing/>
              <w:rPr>
                <w:rFonts w:cs="Arial"/>
                <w:sz w:val="16"/>
                <w:szCs w:val="18"/>
              </w:rPr>
            </w:pPr>
            <w:r w:rsidRPr="00E02972">
              <w:rPr>
                <w:rFonts w:cs="Arial"/>
                <w:sz w:val="16"/>
                <w:szCs w:val="18"/>
              </w:rPr>
              <w:t xml:space="preserve">The current reporting obligations applicable to retail clients are now applicable to professional clients and ECPs. ECPs can request different calibration of reporting requirements. </w:t>
            </w:r>
          </w:p>
          <w:p w:rsidR="00032535" w:rsidRPr="00E02972" w:rsidRDefault="00032535" w:rsidP="00F44B85">
            <w:pPr>
              <w:spacing w:before="240" w:after="260"/>
              <w:ind w:right="161"/>
              <w:contextualSpacing/>
              <w:rPr>
                <w:rFonts w:cs="Arial"/>
                <w:sz w:val="16"/>
                <w:szCs w:val="18"/>
              </w:rPr>
            </w:pPr>
            <w:r w:rsidRPr="00E02972">
              <w:rPr>
                <w:rFonts w:cs="Arial"/>
                <w:sz w:val="16"/>
                <w:szCs w:val="18"/>
              </w:rPr>
              <w:t>Additional requirements for firms if holding client assets.</w:t>
            </w:r>
          </w:p>
          <w:p w:rsidR="00032535" w:rsidRPr="00E02972" w:rsidRDefault="00032535" w:rsidP="00BD58C5">
            <w:pPr>
              <w:rPr>
                <w:rFonts w:cs="Arial"/>
                <w:sz w:val="16"/>
                <w:szCs w:val="18"/>
              </w:rPr>
            </w:pPr>
            <w:r w:rsidRPr="00E02972">
              <w:rPr>
                <w:rFonts w:cs="Arial"/>
                <w:sz w:val="16"/>
                <w:szCs w:val="18"/>
              </w:rPr>
              <w:t xml:space="preserve">Article 61 </w:t>
            </w:r>
            <w:hyperlink r:id="rId74" w:history="1">
              <w:r w:rsidRPr="00E02972">
                <w:rPr>
                  <w:rFonts w:eastAsia="Calibri" w:cs="Arial"/>
                  <w:b/>
                  <w:bCs/>
                  <w:color w:val="0000FF"/>
                  <w:sz w:val="16"/>
                  <w:szCs w:val="18"/>
                  <w:u w:val="single"/>
                </w:rPr>
                <w:t>Delegated Regulation</w:t>
              </w:r>
            </w:hyperlink>
            <w:r w:rsidRPr="00E02972">
              <w:rPr>
                <w:rFonts w:cs="Arial"/>
                <w:sz w:val="16"/>
                <w:szCs w:val="18"/>
              </w:rPr>
              <w:t xml:space="preserve"> allows investment firms to agree with ECPs the content and timing of reports that they wish to receive. However, this only relates to Articles 49 (client funds) and 59 (execution), not to Article 60 (reports for portfolio management). </w: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032535" w:rsidRPr="00E02972" w:rsidRDefault="00032535" w:rsidP="00F44B85">
            <w:pPr>
              <w:pStyle w:val="BodyParagraphText"/>
              <w:spacing w:before="0" w:line="240" w:lineRule="auto"/>
              <w:jc w:val="both"/>
              <w:rPr>
                <w:rFonts w:cs="Arial"/>
                <w:sz w:val="16"/>
                <w:szCs w:val="18"/>
              </w:rPr>
            </w:pPr>
          </w:p>
          <w:p w:rsidR="00032535" w:rsidRPr="00E02972" w:rsidRDefault="00032535" w:rsidP="00F44B85">
            <w:pPr>
              <w:pStyle w:val="BodyParagraphText"/>
              <w:spacing w:before="0" w:line="240" w:lineRule="auto"/>
              <w:jc w:val="both"/>
              <w:rPr>
                <w:rFonts w:cs="Arial"/>
                <w:sz w:val="16"/>
                <w:szCs w:val="18"/>
              </w:rPr>
            </w:pPr>
            <w:r w:rsidRPr="00E02972">
              <w:rPr>
                <w:rFonts w:cs="Arial"/>
                <w:sz w:val="16"/>
                <w:szCs w:val="18"/>
              </w:rPr>
              <w:t>R</w:t>
            </w:r>
            <w:r w:rsidRPr="00E02972">
              <w:rPr>
                <w:rFonts w:cs="Arial"/>
                <w:sz w:val="16"/>
                <w:szCs w:val="18"/>
              </w:rPr>
              <w:br/>
              <w:t>EP</w:t>
            </w:r>
            <w:r w:rsidRPr="00E02972">
              <w:rPr>
                <w:rFonts w:cs="Arial"/>
                <w:sz w:val="16"/>
                <w:szCs w:val="18"/>
              </w:rPr>
              <w:br/>
              <w:t>PSP</w:t>
            </w:r>
            <w:r w:rsidRPr="00E02972">
              <w:rPr>
                <w:rFonts w:cs="Arial"/>
                <w:sz w:val="16"/>
                <w:szCs w:val="18"/>
              </w:rPr>
              <w:br/>
              <w:t>ECP</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Review existing client agreements with retail and professional clients to determine changes required to any sections dealing with firms reporting obligations to clients.</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Ensure processes and draft reporting templates are in place to ensure periodic communications are sent to clients containing relevant detail.</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Consider the need to enter i</w:t>
            </w:r>
            <w:r w:rsidR="005973D1" w:rsidRPr="00E02972">
              <w:rPr>
                <w:rFonts w:cs="Arial"/>
                <w:sz w:val="16"/>
                <w:szCs w:val="18"/>
              </w:rPr>
              <w:t>nto written agreements with ECP</w:t>
            </w:r>
            <w:r w:rsidRPr="00E02972">
              <w:rPr>
                <w:rFonts w:cs="Arial"/>
                <w:sz w:val="16"/>
                <w:szCs w:val="18"/>
              </w:rPr>
              <w:t>s to determine different calibration of reporting requirements.</w:t>
            </w:r>
          </w:p>
        </w:tc>
        <w:tc>
          <w:tcPr>
            <w:tcW w:w="625" w:type="pct"/>
            <w:tcBorders>
              <w:top w:val="single" w:sz="4" w:space="0" w:color="auto"/>
              <w:left w:val="single" w:sz="4" w:space="0" w:color="auto"/>
              <w:bottom w:val="single" w:sz="4" w:space="0" w:color="auto"/>
              <w:right w:val="single" w:sz="4" w:space="0" w:color="auto"/>
            </w:tcBorders>
          </w:tcPr>
          <w:p w:rsidR="00032535" w:rsidRPr="00E02972" w:rsidRDefault="000A0231" w:rsidP="00443BC2">
            <w:pPr>
              <w:pStyle w:val="ssPara1"/>
              <w:numPr>
                <w:ilvl w:val="0"/>
                <w:numId w:val="7"/>
              </w:numPr>
              <w:spacing w:before="240"/>
              <w:rPr>
                <w:rFonts w:eastAsia="Times New Roman" w:cs="Arial"/>
                <w:sz w:val="16"/>
                <w:szCs w:val="18"/>
              </w:rPr>
            </w:pPr>
            <w:r w:rsidRPr="00E02972">
              <w:rPr>
                <w:rFonts w:eastAsia="Times New Roman" w:cs="Arial"/>
                <w:sz w:val="16"/>
                <w:szCs w:val="18"/>
              </w:rPr>
              <w:t>Client Agreements/Terms of B</w:t>
            </w:r>
            <w:r w:rsidR="00443BC2" w:rsidRPr="00E02972">
              <w:rPr>
                <w:rFonts w:eastAsia="Times New Roman" w:cs="Arial"/>
                <w:sz w:val="16"/>
                <w:szCs w:val="18"/>
              </w:rPr>
              <w:t>usiness.</w:t>
            </w:r>
          </w:p>
          <w:p w:rsidR="000A0231" w:rsidRPr="00E02972" w:rsidRDefault="000A0231" w:rsidP="00443BC2">
            <w:pPr>
              <w:pStyle w:val="ssPara1"/>
              <w:numPr>
                <w:ilvl w:val="0"/>
                <w:numId w:val="7"/>
              </w:numPr>
              <w:spacing w:before="240"/>
              <w:rPr>
                <w:rFonts w:eastAsia="Times New Roman" w:cs="Arial"/>
                <w:sz w:val="16"/>
                <w:szCs w:val="18"/>
              </w:rPr>
            </w:pPr>
            <w:r w:rsidRPr="00E02972">
              <w:rPr>
                <w:rFonts w:eastAsia="Times New Roman" w:cs="Arial"/>
                <w:sz w:val="16"/>
                <w:szCs w:val="18"/>
              </w:rPr>
              <w:t>Template client reports/ execution reports.</w:t>
            </w:r>
          </w:p>
          <w:p w:rsidR="000A0231" w:rsidRPr="00E02972" w:rsidRDefault="000A0231" w:rsidP="00443BC2">
            <w:pPr>
              <w:pStyle w:val="ssPara1"/>
              <w:numPr>
                <w:ilvl w:val="0"/>
                <w:numId w:val="7"/>
              </w:numPr>
              <w:spacing w:before="240"/>
              <w:rPr>
                <w:rFonts w:eastAsia="Times New Roman" w:cs="Arial"/>
                <w:sz w:val="16"/>
                <w:szCs w:val="18"/>
              </w:rPr>
            </w:pPr>
            <w:r w:rsidRPr="00E02972">
              <w:rPr>
                <w:rFonts w:eastAsia="Times New Roman" w:cs="Arial"/>
                <w:sz w:val="16"/>
                <w:szCs w:val="18"/>
              </w:rPr>
              <w:t>Investment Management Agreements, Advisory Agreements.</w:t>
            </w:r>
          </w:p>
          <w:p w:rsidR="000A0231" w:rsidRPr="00E02972" w:rsidRDefault="000A0231" w:rsidP="00443BC2">
            <w:pPr>
              <w:pStyle w:val="ssPara1"/>
              <w:numPr>
                <w:ilvl w:val="0"/>
                <w:numId w:val="7"/>
              </w:numPr>
              <w:spacing w:before="240"/>
              <w:rPr>
                <w:rFonts w:eastAsia="Times New Roman" w:cs="Arial"/>
                <w:sz w:val="16"/>
                <w:szCs w:val="18"/>
              </w:rPr>
            </w:pPr>
            <w:r w:rsidRPr="00E02972">
              <w:rPr>
                <w:rFonts w:eastAsia="Times New Roman" w:cs="Arial"/>
                <w:sz w:val="16"/>
                <w:szCs w:val="18"/>
              </w:rPr>
              <w:t>Written agreement for different calibration of reporting requirements with ECP.</w:t>
            </w:r>
          </w:p>
          <w:p w:rsidR="000A0231" w:rsidRPr="00E02972" w:rsidRDefault="000A0231" w:rsidP="00443BC2">
            <w:pPr>
              <w:pStyle w:val="ssPara1"/>
              <w:numPr>
                <w:ilvl w:val="0"/>
                <w:numId w:val="7"/>
              </w:numPr>
              <w:spacing w:before="240"/>
              <w:rPr>
                <w:rFonts w:eastAsia="Times New Roman" w:cs="Arial"/>
                <w:sz w:val="16"/>
                <w:szCs w:val="18"/>
              </w:rPr>
            </w:pPr>
            <w:r w:rsidRPr="00E02972">
              <w:rPr>
                <w:rFonts w:eastAsia="Times New Roman" w:cs="Arial"/>
                <w:sz w:val="16"/>
                <w:szCs w:val="18"/>
              </w:rPr>
              <w:t xml:space="preserve">Side Letters.  </w:t>
            </w:r>
          </w:p>
        </w:tc>
        <w:tc>
          <w:tcPr>
            <w:tcW w:w="416" w:type="pct"/>
            <w:tcBorders>
              <w:top w:val="single" w:sz="4" w:space="0" w:color="auto"/>
              <w:left w:val="single" w:sz="4" w:space="0" w:color="auto"/>
              <w:bottom w:val="single" w:sz="4" w:space="0" w:color="auto"/>
              <w:right w:val="single" w:sz="4" w:space="0" w:color="auto"/>
            </w:tcBorders>
            <w:shd w:val="clear" w:color="auto" w:fill="auto"/>
          </w:tcPr>
          <w:p w:rsidR="00032535" w:rsidRPr="00E02972" w:rsidRDefault="00032535" w:rsidP="00F44B85">
            <w:pPr>
              <w:pStyle w:val="ssPara1"/>
              <w:spacing w:before="240"/>
              <w:rPr>
                <w:rFonts w:eastAsia="Times New Roman" w:cs="Arial"/>
                <w:sz w:val="16"/>
                <w:szCs w:val="18"/>
              </w:rPr>
            </w:pPr>
            <w:r w:rsidRPr="00E02972">
              <w:rPr>
                <w:rFonts w:eastAsia="Times New Roman" w:cs="Arial"/>
                <w:sz w:val="16"/>
                <w:szCs w:val="18"/>
              </w:rPr>
              <w:t>Writ</w:t>
            </w:r>
            <w:r w:rsidR="005973D1" w:rsidRPr="00E02972">
              <w:rPr>
                <w:rFonts w:eastAsia="Times New Roman" w:cs="Arial"/>
                <w:sz w:val="16"/>
                <w:szCs w:val="18"/>
              </w:rPr>
              <w:t>ten agreement required with ECP</w:t>
            </w:r>
            <w:r w:rsidRPr="00E02972">
              <w:rPr>
                <w:rFonts w:eastAsia="Times New Roman" w:cs="Arial"/>
                <w:sz w:val="16"/>
                <w:szCs w:val="18"/>
              </w:rPr>
              <w:t xml:space="preserve">s to extent wish to request different calibration of reporting requirements. </w:t>
            </w:r>
          </w:p>
        </w:tc>
      </w:tr>
      <w:tr w:rsidR="00032535" w:rsidRPr="00E02972" w:rsidTr="00F44B85">
        <w:tc>
          <w:tcPr>
            <w:tcW w:w="455" w:type="pct"/>
            <w:tcBorders>
              <w:top w:val="single" w:sz="4" w:space="0" w:color="auto"/>
              <w:left w:val="single" w:sz="4" w:space="0" w:color="auto"/>
              <w:bottom w:val="single" w:sz="4" w:space="0" w:color="auto"/>
              <w:right w:val="single" w:sz="4" w:space="0" w:color="auto"/>
            </w:tcBorders>
            <w:shd w:val="clear" w:color="auto" w:fill="69889A"/>
          </w:tcPr>
          <w:p w:rsidR="00032535" w:rsidRPr="00E02972" w:rsidRDefault="00032535" w:rsidP="004C460E">
            <w:pPr>
              <w:spacing w:before="120" w:after="120"/>
              <w:jc w:val="left"/>
              <w:rPr>
                <w:rFonts w:eastAsia="Times New Roman" w:cs="Arial"/>
                <w:b/>
                <w:bCs/>
                <w:color w:val="FFFFFF" w:themeColor="background1"/>
                <w:sz w:val="16"/>
                <w:szCs w:val="18"/>
                <w:lang w:eastAsia="en-GB"/>
              </w:rPr>
            </w:pPr>
            <w:r w:rsidRPr="00E02972">
              <w:rPr>
                <w:rFonts w:eastAsia="Times New Roman" w:cs="Arial"/>
                <w:b/>
                <w:bCs/>
                <w:color w:val="FFFFFF" w:themeColor="background1"/>
                <w:sz w:val="16"/>
                <w:szCs w:val="18"/>
                <w:lang w:eastAsia="en-GB"/>
              </w:rPr>
              <w:t xml:space="preserve">SUITABILITY </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4C460E" w:rsidRPr="00E02972" w:rsidRDefault="006C2CF1" w:rsidP="004C460E">
            <w:pPr>
              <w:spacing w:before="120" w:after="120"/>
              <w:jc w:val="left"/>
              <w:rPr>
                <w:rFonts w:cs="Arial"/>
                <w:sz w:val="16"/>
                <w:szCs w:val="18"/>
                <w:lang w:val="de-DE"/>
              </w:rPr>
            </w:pPr>
            <w:hyperlink r:id="rId75" w:history="1">
              <w:r w:rsidR="004C460E" w:rsidRPr="00E02972">
                <w:rPr>
                  <w:rStyle w:val="Hyperlink"/>
                  <w:rFonts w:cs="Arial"/>
                  <w:sz w:val="16"/>
                  <w:szCs w:val="18"/>
                  <w:lang w:val="de-DE"/>
                </w:rPr>
                <w:t>D</w:t>
              </w:r>
            </w:hyperlink>
            <w:r w:rsidR="004C460E" w:rsidRPr="00E02972">
              <w:rPr>
                <w:rFonts w:cs="Arial"/>
                <w:sz w:val="16"/>
                <w:szCs w:val="18"/>
                <w:lang w:val="de-DE"/>
              </w:rPr>
              <w:t xml:space="preserve">  Art 25 (2) </w:t>
            </w:r>
          </w:p>
          <w:p w:rsidR="004C460E" w:rsidRPr="00E02972" w:rsidRDefault="004C460E" w:rsidP="004C460E">
            <w:pPr>
              <w:spacing w:before="120" w:after="120"/>
              <w:jc w:val="left"/>
              <w:rPr>
                <w:rFonts w:cs="Arial"/>
                <w:sz w:val="16"/>
                <w:szCs w:val="18"/>
                <w:lang w:val="de-DE"/>
              </w:rPr>
            </w:pPr>
            <w:r w:rsidRPr="00E02972">
              <w:rPr>
                <w:rFonts w:cs="Arial"/>
                <w:sz w:val="16"/>
                <w:szCs w:val="18"/>
                <w:lang w:val="de-DE"/>
              </w:rPr>
              <w:t>L2: (</w:t>
            </w:r>
            <w:hyperlink r:id="rId76" w:history="1">
              <w:hyperlink r:id="rId77" w:history="1">
                <w:r w:rsidRPr="00E02972">
                  <w:rPr>
                    <w:rStyle w:val="Hyperlink"/>
                    <w:rFonts w:cs="Arial"/>
                    <w:sz w:val="16"/>
                    <w:szCs w:val="18"/>
                    <w:lang w:val="de-DE"/>
                  </w:rPr>
                  <w:t>CP1</w:t>
                </w:r>
              </w:hyperlink>
            </w:hyperlink>
            <w:r w:rsidRPr="00E02972">
              <w:rPr>
                <w:rFonts w:cs="Arial"/>
                <w:sz w:val="16"/>
                <w:szCs w:val="18"/>
                <w:lang w:val="de-DE"/>
              </w:rPr>
              <w:t xml:space="preserve">, </w:t>
            </w:r>
            <w:hyperlink r:id="rId78" w:history="1">
              <w:r w:rsidRPr="00E02972">
                <w:rPr>
                  <w:rStyle w:val="Hyperlink"/>
                  <w:rFonts w:cs="Arial"/>
                  <w:sz w:val="16"/>
                  <w:szCs w:val="18"/>
                  <w:lang w:val="de-DE"/>
                </w:rPr>
                <w:t>FR</w:t>
              </w:r>
            </w:hyperlink>
            <w:r w:rsidRPr="00E02972">
              <w:rPr>
                <w:rFonts w:cs="Arial"/>
                <w:sz w:val="16"/>
                <w:szCs w:val="18"/>
              </w:rPr>
              <w:t>)</w:t>
            </w:r>
            <w:r w:rsidRPr="00E02972">
              <w:rPr>
                <w:rFonts w:cs="Arial"/>
                <w:sz w:val="16"/>
                <w:szCs w:val="18"/>
                <w:lang w:val="de-DE"/>
              </w:rPr>
              <w:t xml:space="preserve"> </w:t>
            </w:r>
          </w:p>
          <w:p w:rsidR="004C460E" w:rsidRPr="00E02972" w:rsidRDefault="006C2CF1" w:rsidP="00D925E0">
            <w:pPr>
              <w:pStyle w:val="ListParagraph"/>
              <w:numPr>
                <w:ilvl w:val="0"/>
                <w:numId w:val="26"/>
              </w:numPr>
              <w:spacing w:before="120" w:after="120" w:line="240" w:lineRule="auto"/>
              <w:rPr>
                <w:rFonts w:ascii="Arial" w:hAnsi="Arial" w:cs="Arial"/>
                <w:b/>
                <w:color w:val="0000FF"/>
                <w:sz w:val="16"/>
                <w:szCs w:val="18"/>
                <w:lang w:val="de-DE"/>
              </w:rPr>
            </w:pPr>
            <w:hyperlink r:id="rId79" w:history="1">
              <w:r w:rsidR="004C460E" w:rsidRPr="00E02972">
                <w:rPr>
                  <w:rStyle w:val="Hyperlink"/>
                  <w:rFonts w:ascii="Arial" w:hAnsi="Arial" w:cs="Arial"/>
                  <w:color w:val="0000FF"/>
                  <w:sz w:val="16"/>
                  <w:szCs w:val="18"/>
                  <w:lang w:val="de-DE"/>
                </w:rPr>
                <w:t>DR1</w:t>
              </w:r>
            </w:hyperlink>
            <w:hyperlink r:id="rId80" w:history="1">
              <w:r w:rsidR="004C460E" w:rsidRPr="00E02972">
                <w:rPr>
                  <w:rStyle w:val="Hyperlink"/>
                  <w:rFonts w:ascii="Arial" w:hAnsi="Arial" w:cs="Arial"/>
                  <w:color w:val="0000FF"/>
                  <w:sz w:val="16"/>
                  <w:szCs w:val="18"/>
                  <w:lang w:val="de-DE"/>
                </w:rPr>
                <w:t xml:space="preserve"> (</w:t>
              </w:r>
              <w:r w:rsidR="004C460E" w:rsidRPr="00E02972">
                <w:rPr>
                  <w:rStyle w:val="Hyperlink"/>
                  <w:rFonts w:ascii="Arial" w:hAnsi="Arial" w:cs="Arial"/>
                  <w:b/>
                  <w:color w:val="0000FF"/>
                  <w:sz w:val="16"/>
                  <w:szCs w:val="18"/>
                  <w:lang w:val="de-DE"/>
                </w:rPr>
                <w:t>Art 54, 55</w:t>
              </w:r>
            </w:hyperlink>
            <w:r w:rsidR="004C460E" w:rsidRPr="00E02972">
              <w:rPr>
                <w:rStyle w:val="Hyperlink"/>
                <w:rFonts w:ascii="Arial" w:hAnsi="Arial" w:cs="Arial"/>
                <w:b/>
                <w:color w:val="0000FF"/>
                <w:sz w:val="16"/>
                <w:szCs w:val="18"/>
                <w:lang w:val="de-DE"/>
              </w:rPr>
              <w:t>)</w:t>
            </w:r>
          </w:p>
          <w:p w:rsidR="00BD58C5" w:rsidRPr="00E02972" w:rsidRDefault="004C460E" w:rsidP="00BD58C5">
            <w:pPr>
              <w:spacing w:before="120" w:after="120"/>
              <w:jc w:val="left"/>
              <w:rPr>
                <w:rFonts w:cs="Arial"/>
                <w:color w:val="1F497D"/>
                <w:sz w:val="16"/>
                <w:szCs w:val="18"/>
              </w:rPr>
            </w:pPr>
            <w:r w:rsidRPr="00E02972">
              <w:rPr>
                <w:rFonts w:cs="Arial"/>
                <w:sz w:val="16"/>
                <w:szCs w:val="18"/>
              </w:rPr>
              <w:t>L3:</w:t>
            </w:r>
            <w:r w:rsidRPr="00E02972">
              <w:rPr>
                <w:rFonts w:cs="Arial"/>
                <w:color w:val="1F497D"/>
                <w:sz w:val="16"/>
                <w:szCs w:val="18"/>
              </w:rPr>
              <w:t xml:space="preserve"> </w:t>
            </w:r>
          </w:p>
          <w:p w:rsidR="00032535" w:rsidRPr="00E02972" w:rsidRDefault="006C2CF1" w:rsidP="00D925E0">
            <w:pPr>
              <w:numPr>
                <w:ilvl w:val="0"/>
                <w:numId w:val="42"/>
              </w:numPr>
              <w:spacing w:before="120" w:after="120"/>
              <w:jc w:val="left"/>
              <w:rPr>
                <w:rFonts w:cs="Arial"/>
                <w:color w:val="1F497D"/>
                <w:sz w:val="16"/>
                <w:szCs w:val="18"/>
              </w:rPr>
            </w:pPr>
            <w:hyperlink r:id="rId81" w:history="1">
              <w:r w:rsidR="00494E74" w:rsidRPr="00E02972">
                <w:rPr>
                  <w:rFonts w:eastAsia="Arial" w:cs="Arial"/>
                  <w:b/>
                  <w:color w:val="0000FF"/>
                  <w:sz w:val="16"/>
                  <w:szCs w:val="18"/>
                  <w:u w:val="single"/>
                  <w:lang w:eastAsia="en-GB"/>
                </w:rPr>
                <w:t>Investor Protection Q&amp;A</w:t>
              </w:r>
            </w:hyperlink>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4C460E" w:rsidRPr="00E02972" w:rsidRDefault="00032535" w:rsidP="00F44B85">
            <w:pPr>
              <w:pStyle w:val="BulletPoint1"/>
              <w:jc w:val="both"/>
              <w:rPr>
                <w:rFonts w:cs="Arial"/>
                <w:sz w:val="16"/>
                <w:szCs w:val="18"/>
              </w:rPr>
            </w:pPr>
            <w:r w:rsidRPr="00E02972">
              <w:rPr>
                <w:rFonts w:cs="Arial"/>
                <w:sz w:val="16"/>
                <w:szCs w:val="18"/>
              </w:rPr>
              <w:t>Enhancement of suitability requirements</w:t>
            </w:r>
            <w:r w:rsidR="004C460E" w:rsidRPr="00E02972">
              <w:rPr>
                <w:rFonts w:cs="Arial"/>
                <w:sz w:val="16"/>
                <w:szCs w:val="18"/>
              </w:rPr>
              <w:t xml:space="preserve"> applies when providing investment advice</w:t>
            </w:r>
            <w:r w:rsidR="004C460E" w:rsidRPr="00E02972">
              <w:rPr>
                <w:sz w:val="16"/>
              </w:rPr>
              <w:t xml:space="preserve">. Firms </w:t>
            </w:r>
            <w:r w:rsidR="004C460E" w:rsidRPr="00E02972">
              <w:rPr>
                <w:rFonts w:cs="Arial"/>
                <w:sz w:val="16"/>
                <w:szCs w:val="18"/>
              </w:rPr>
              <w:t>shall ensure that the information regarding a client's or potential client's knowledge and experience in the investment field includes the following, to the extent appropriate to the nature of the client, the nature and extent of the service to be provided and the type of product or transaction envisaged, including their complexity and the risks involved:</w:t>
            </w:r>
          </w:p>
          <w:p w:rsidR="004C460E" w:rsidRPr="00E02972" w:rsidRDefault="004C460E" w:rsidP="00F44B85">
            <w:pPr>
              <w:pStyle w:val="BulletPoint1"/>
              <w:jc w:val="both"/>
              <w:rPr>
                <w:rFonts w:cs="Arial"/>
                <w:sz w:val="16"/>
                <w:szCs w:val="18"/>
              </w:rPr>
            </w:pPr>
            <w:r w:rsidRPr="00E02972">
              <w:rPr>
                <w:rFonts w:cs="Arial"/>
                <w:sz w:val="16"/>
                <w:szCs w:val="18"/>
              </w:rPr>
              <w:t>(a) the types of service, transaction and financial instrument with which the client is familiar;</w:t>
            </w:r>
          </w:p>
          <w:p w:rsidR="004C460E" w:rsidRPr="00E02972" w:rsidRDefault="004C460E" w:rsidP="00F44B85">
            <w:pPr>
              <w:pStyle w:val="BulletPoint1"/>
              <w:jc w:val="both"/>
              <w:rPr>
                <w:rFonts w:cs="Arial"/>
                <w:sz w:val="16"/>
                <w:szCs w:val="18"/>
              </w:rPr>
            </w:pPr>
            <w:r w:rsidRPr="00E02972">
              <w:rPr>
                <w:rFonts w:cs="Arial"/>
                <w:sz w:val="16"/>
                <w:szCs w:val="18"/>
              </w:rPr>
              <w:t>(b) the nature, volume, and frequency of the client's transactions in financial instruments and the period over which they have been carried out;</w:t>
            </w:r>
          </w:p>
          <w:p w:rsidR="004C460E" w:rsidRPr="00E02972" w:rsidRDefault="004C460E" w:rsidP="00F44B85">
            <w:pPr>
              <w:pStyle w:val="BulletPoint1"/>
              <w:jc w:val="both"/>
              <w:rPr>
                <w:rFonts w:cs="Arial"/>
                <w:sz w:val="16"/>
                <w:szCs w:val="18"/>
              </w:rPr>
            </w:pPr>
            <w:r w:rsidRPr="00E02972">
              <w:rPr>
                <w:rFonts w:cs="Arial"/>
                <w:sz w:val="16"/>
                <w:szCs w:val="18"/>
              </w:rPr>
              <w:t>(c) the level of education, and profession or relevant former profession of the client or potential client.</w:t>
            </w:r>
          </w:p>
          <w:p w:rsidR="004C460E" w:rsidRPr="00E02972" w:rsidRDefault="004C460E" w:rsidP="00F44B85">
            <w:pPr>
              <w:pStyle w:val="BulletPoint1"/>
              <w:jc w:val="both"/>
              <w:rPr>
                <w:rFonts w:cs="Arial"/>
                <w:sz w:val="16"/>
                <w:szCs w:val="18"/>
              </w:rPr>
            </w:pPr>
            <w:r w:rsidRPr="00E02972">
              <w:rPr>
                <w:rFonts w:cs="Arial"/>
                <w:sz w:val="16"/>
                <w:szCs w:val="18"/>
              </w:rPr>
              <w:t xml:space="preserve">ESMA’s Investor Protection Q&amp;A </w:t>
            </w:r>
            <w:r w:rsidR="00F44B85" w:rsidRPr="00E02972">
              <w:rPr>
                <w:rFonts w:cs="Arial"/>
                <w:sz w:val="16"/>
                <w:szCs w:val="18"/>
              </w:rPr>
              <w:t>confirms</w:t>
            </w:r>
            <w:r w:rsidRPr="00E02972">
              <w:rPr>
                <w:rFonts w:cs="Arial"/>
                <w:sz w:val="16"/>
                <w:szCs w:val="18"/>
              </w:rPr>
              <w:t xml:space="preserve"> that a suitability report is required to be given even if the investment advice does not lead to a transaction.</w:t>
            </w:r>
          </w:p>
          <w:p w:rsidR="004C460E" w:rsidRPr="00E02972" w:rsidRDefault="004C460E" w:rsidP="00F44B85">
            <w:pPr>
              <w:pStyle w:val="BulletPoint1"/>
              <w:jc w:val="both"/>
              <w:rPr>
                <w:rFonts w:cs="Arial"/>
                <w:sz w:val="16"/>
                <w:szCs w:val="18"/>
              </w:rPr>
            </w:pPr>
            <w:r w:rsidRPr="00E02972">
              <w:rPr>
                <w:rFonts w:cs="Arial"/>
                <w:sz w:val="16"/>
                <w:szCs w:val="18"/>
              </w:rPr>
              <w:t>Suitability reports may be provided in a secured area on the firms website if notification is give to the client- see Investor Protection Q&amp;A</w:t>
            </w:r>
          </w:p>
          <w:p w:rsidR="004C460E" w:rsidRPr="00E02972" w:rsidRDefault="004C460E" w:rsidP="00F44B85">
            <w:pPr>
              <w:pStyle w:val="BulletPoint1"/>
              <w:jc w:val="both"/>
              <w:rPr>
                <w:rFonts w:cs="Arial"/>
                <w:sz w:val="16"/>
                <w:szCs w:val="18"/>
              </w:rPr>
            </w:pPr>
            <w:r w:rsidRPr="00E02972">
              <w:rPr>
                <w:rFonts w:cs="Arial"/>
                <w:sz w:val="16"/>
                <w:szCs w:val="18"/>
              </w:rPr>
              <w:t>Firms providing investment advice and portfolio management  will:</w:t>
            </w:r>
          </w:p>
          <w:p w:rsidR="004C460E" w:rsidRPr="00E02972" w:rsidRDefault="004C460E" w:rsidP="00D925E0">
            <w:pPr>
              <w:pStyle w:val="BulletPoint1"/>
              <w:numPr>
                <w:ilvl w:val="0"/>
                <w:numId w:val="33"/>
              </w:numPr>
              <w:jc w:val="both"/>
              <w:rPr>
                <w:rFonts w:cs="Arial"/>
                <w:sz w:val="16"/>
                <w:szCs w:val="18"/>
              </w:rPr>
            </w:pPr>
            <w:r w:rsidRPr="00E02972">
              <w:rPr>
                <w:rFonts w:cs="Arial"/>
                <w:sz w:val="16"/>
                <w:szCs w:val="18"/>
              </w:rPr>
              <w:t>inform client clearly and simply, that the reason for assessing suitability is to enable firm to act in best interests;</w:t>
            </w:r>
          </w:p>
          <w:p w:rsidR="004C460E" w:rsidRPr="00E02972" w:rsidRDefault="004C460E" w:rsidP="00D925E0">
            <w:pPr>
              <w:pStyle w:val="BulletPoint1"/>
              <w:numPr>
                <w:ilvl w:val="0"/>
                <w:numId w:val="33"/>
              </w:numPr>
              <w:jc w:val="both"/>
              <w:rPr>
                <w:rFonts w:cs="Arial"/>
                <w:sz w:val="16"/>
                <w:szCs w:val="18"/>
              </w:rPr>
            </w:pPr>
            <w:r w:rsidRPr="00E02972">
              <w:rPr>
                <w:rFonts w:cs="Arial"/>
                <w:sz w:val="16"/>
                <w:szCs w:val="18"/>
              </w:rPr>
              <w:t>be responsible for suitability assessments (not to be limited to recommendations to buy financial instruments);</w:t>
            </w:r>
          </w:p>
          <w:p w:rsidR="004C460E" w:rsidRPr="00E02972" w:rsidRDefault="004C460E" w:rsidP="00D925E0">
            <w:pPr>
              <w:pStyle w:val="BulletPoint1"/>
              <w:numPr>
                <w:ilvl w:val="0"/>
                <w:numId w:val="33"/>
              </w:numPr>
              <w:jc w:val="both"/>
              <w:rPr>
                <w:rFonts w:cs="Arial"/>
                <w:sz w:val="16"/>
                <w:szCs w:val="18"/>
              </w:rPr>
            </w:pPr>
            <w:r w:rsidRPr="00E02972">
              <w:rPr>
                <w:rFonts w:cs="Arial"/>
                <w:sz w:val="16"/>
                <w:szCs w:val="18"/>
              </w:rPr>
              <w:t>have adequate policies / procedures to understand nature, fees, costs and risk of instruments;</w:t>
            </w:r>
          </w:p>
          <w:p w:rsidR="004C460E" w:rsidRPr="00E02972" w:rsidRDefault="004C460E" w:rsidP="00D925E0">
            <w:pPr>
              <w:pStyle w:val="BulletPoint1"/>
              <w:numPr>
                <w:ilvl w:val="0"/>
                <w:numId w:val="33"/>
              </w:numPr>
              <w:jc w:val="both"/>
              <w:rPr>
                <w:rFonts w:cs="Arial"/>
                <w:sz w:val="16"/>
                <w:szCs w:val="18"/>
              </w:rPr>
            </w:pPr>
            <w:r w:rsidRPr="00E02972">
              <w:rPr>
                <w:rFonts w:cs="Arial"/>
                <w:sz w:val="16"/>
                <w:szCs w:val="18"/>
              </w:rPr>
              <w:t>collect necessary information regarding client’s existing investments / recommended new investments to undertake an analysis of cost and benefits, when providing advice / portfolio management services that involve switching investments;</w:t>
            </w:r>
          </w:p>
          <w:p w:rsidR="004C460E" w:rsidRPr="00E02972" w:rsidRDefault="004C460E" w:rsidP="00D925E0">
            <w:pPr>
              <w:pStyle w:val="BulletPoint1"/>
              <w:numPr>
                <w:ilvl w:val="0"/>
                <w:numId w:val="33"/>
              </w:numPr>
              <w:jc w:val="both"/>
              <w:rPr>
                <w:rFonts w:cs="Arial"/>
                <w:sz w:val="16"/>
                <w:szCs w:val="18"/>
              </w:rPr>
            </w:pPr>
            <w:r w:rsidRPr="00E02972">
              <w:rPr>
                <w:rFonts w:cs="Arial"/>
                <w:sz w:val="16"/>
                <w:szCs w:val="18"/>
              </w:rPr>
              <w:t>is such that the client is able financially to bear any related investment risks (this can be assumed for per se professional clients);</w:t>
            </w:r>
          </w:p>
          <w:p w:rsidR="004C460E" w:rsidRPr="00E02972" w:rsidRDefault="004C460E" w:rsidP="00D925E0">
            <w:pPr>
              <w:pStyle w:val="BulletPoint1"/>
              <w:numPr>
                <w:ilvl w:val="0"/>
                <w:numId w:val="33"/>
              </w:numPr>
              <w:jc w:val="both"/>
              <w:rPr>
                <w:rFonts w:cs="Arial"/>
                <w:sz w:val="16"/>
                <w:szCs w:val="18"/>
              </w:rPr>
            </w:pPr>
            <w:r w:rsidRPr="00E02972">
              <w:rPr>
                <w:rFonts w:cs="Arial"/>
                <w:sz w:val="16"/>
                <w:szCs w:val="18"/>
              </w:rPr>
              <w:t>is such that the client has necessary knowledge to understand risks (this can be assumed for professional clients).</w:t>
            </w:r>
          </w:p>
          <w:p w:rsidR="004C460E" w:rsidRPr="00E02972" w:rsidRDefault="004C460E" w:rsidP="00F44B85">
            <w:pPr>
              <w:pStyle w:val="BulletPoint1"/>
              <w:jc w:val="both"/>
              <w:rPr>
                <w:rFonts w:cs="Arial"/>
                <w:sz w:val="16"/>
                <w:szCs w:val="18"/>
              </w:rPr>
            </w:pPr>
            <w:r w:rsidRPr="00E02972">
              <w:rPr>
                <w:rFonts w:cs="Arial"/>
                <w:sz w:val="16"/>
                <w:szCs w:val="18"/>
              </w:rPr>
              <w:t xml:space="preserve">Where investment advice / portfolio management are provided in whole </w:t>
            </w:r>
            <w:r w:rsidRPr="00E02972">
              <w:rPr>
                <w:rFonts w:cs="Arial"/>
                <w:sz w:val="16"/>
                <w:szCs w:val="18"/>
              </w:rPr>
              <w:lastRenderedPageBreak/>
              <w:t>or in part through an automated / semi-automated system, the firm providing the service remains responsible to carry out a suitability assessment.</w:t>
            </w:r>
          </w:p>
          <w:p w:rsidR="00032535" w:rsidRPr="00E02972" w:rsidRDefault="00032535" w:rsidP="00F44B85">
            <w:pPr>
              <w:pStyle w:val="BulletPoint1"/>
              <w:tabs>
                <w:tab w:val="clear" w:pos="684"/>
              </w:tabs>
              <w:jc w:val="both"/>
              <w:rPr>
                <w:rFonts w:cs="Arial"/>
                <w:sz w:val="16"/>
                <w:szCs w:val="18"/>
              </w:rPr>
            </w:pP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032535" w:rsidRPr="00E02972" w:rsidRDefault="00032535" w:rsidP="00F44B85">
            <w:pPr>
              <w:pStyle w:val="ssPara1"/>
              <w:spacing w:before="240" w:after="0"/>
              <w:rPr>
                <w:rFonts w:cs="Arial"/>
                <w:sz w:val="16"/>
                <w:szCs w:val="18"/>
              </w:rPr>
            </w:pPr>
            <w:r w:rsidRPr="00E02972">
              <w:rPr>
                <w:rFonts w:cs="Arial"/>
                <w:sz w:val="16"/>
                <w:szCs w:val="18"/>
              </w:rPr>
              <w:lastRenderedPageBreak/>
              <w:t>R</w:t>
            </w:r>
          </w:p>
          <w:p w:rsidR="00032535" w:rsidRPr="00E02972" w:rsidRDefault="00032535" w:rsidP="00F44B85">
            <w:pPr>
              <w:pStyle w:val="ssPara1"/>
              <w:spacing w:after="0"/>
              <w:rPr>
                <w:rFonts w:cs="Arial"/>
                <w:sz w:val="16"/>
                <w:szCs w:val="18"/>
              </w:rPr>
            </w:pPr>
            <w:r w:rsidRPr="00E02972">
              <w:rPr>
                <w:rFonts w:cs="Arial"/>
                <w:sz w:val="16"/>
                <w:szCs w:val="18"/>
              </w:rPr>
              <w:t>EP</w:t>
            </w:r>
          </w:p>
          <w:p w:rsidR="00032535" w:rsidRPr="00E02972" w:rsidRDefault="00032535" w:rsidP="00F44B85">
            <w:pPr>
              <w:pStyle w:val="ssPara1"/>
              <w:spacing w:after="0"/>
              <w:rPr>
                <w:rFonts w:cs="Arial"/>
                <w:sz w:val="16"/>
                <w:szCs w:val="18"/>
              </w:rPr>
            </w:pPr>
            <w:r w:rsidRPr="00E02972">
              <w:rPr>
                <w:rFonts w:cs="Arial"/>
                <w:sz w:val="16"/>
                <w:szCs w:val="18"/>
              </w:rPr>
              <w:t>PSP (assumptions under MiFID1 to apply)</w:t>
            </w:r>
          </w:p>
          <w:p w:rsidR="00032535" w:rsidRPr="00E02972" w:rsidRDefault="00032535" w:rsidP="00F44B85">
            <w:pPr>
              <w:pStyle w:val="ssPara1"/>
              <w:spacing w:before="240"/>
              <w:rPr>
                <w:rFonts w:cs="Arial"/>
                <w:sz w:val="16"/>
                <w:szCs w:val="18"/>
              </w:rPr>
            </w:pPr>
            <w:r w:rsidRPr="00E02972">
              <w:rPr>
                <w:rFonts w:cs="Arial"/>
                <w:sz w:val="16"/>
                <w:szCs w:val="18"/>
              </w:rPr>
              <w:t>Not applicable to ECP’s for firms authorised to execute orders on client behalf, on own account  and/or receive and transmit orders- See MiFID Art 30)</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Perform analysis of client base and products to determine where ‘suitab</w:t>
            </w:r>
            <w:r w:rsidR="004C460E" w:rsidRPr="00E02972">
              <w:rPr>
                <w:rFonts w:cs="Arial"/>
                <w:sz w:val="16"/>
                <w:szCs w:val="18"/>
              </w:rPr>
              <w:t>i</w:t>
            </w:r>
            <w:r w:rsidRPr="00E02972">
              <w:rPr>
                <w:rFonts w:cs="Arial"/>
                <w:sz w:val="16"/>
                <w:szCs w:val="18"/>
              </w:rPr>
              <w:t>lity assessment’ will be required.</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Review and amend existing or draft additional client documentation (where relevant) to ensure that they meet the suitability requirements</w:t>
            </w:r>
            <w:r w:rsidR="00A74E88" w:rsidRPr="00E02972">
              <w:rPr>
                <w:rFonts w:cs="Arial"/>
                <w:sz w:val="16"/>
                <w:szCs w:val="18"/>
              </w:rPr>
              <w:t xml:space="preserve"> and </w:t>
            </w:r>
            <w:r w:rsidR="000A0231" w:rsidRPr="00E02972">
              <w:rPr>
                <w:rFonts w:cs="Arial"/>
                <w:sz w:val="16"/>
                <w:szCs w:val="18"/>
              </w:rPr>
              <w:t>include details of the firms duty to assess suitability or if the firm does not provide investment advice consider whether this should be expressly stated</w:t>
            </w:r>
            <w:r w:rsidRPr="00E02972">
              <w:rPr>
                <w:rFonts w:cs="Arial"/>
                <w:sz w:val="16"/>
                <w:szCs w:val="18"/>
              </w:rPr>
              <w:t>.</w:t>
            </w:r>
            <w:r w:rsidR="000A0231" w:rsidRPr="00E02972">
              <w:rPr>
                <w:rFonts w:cs="Arial"/>
                <w:sz w:val="16"/>
                <w:szCs w:val="18"/>
              </w:rPr>
              <w:t xml:space="preserve"> </w:t>
            </w:r>
          </w:p>
          <w:p w:rsidR="000A0231" w:rsidRPr="00E02972" w:rsidRDefault="000A0231" w:rsidP="00F44B85">
            <w:pPr>
              <w:pStyle w:val="BulletPoint1"/>
              <w:numPr>
                <w:ilvl w:val="0"/>
                <w:numId w:val="9"/>
              </w:numPr>
              <w:tabs>
                <w:tab w:val="clear" w:pos="684"/>
              </w:tabs>
              <w:jc w:val="both"/>
              <w:rPr>
                <w:rFonts w:cs="Arial"/>
                <w:sz w:val="16"/>
                <w:szCs w:val="18"/>
              </w:rPr>
            </w:pPr>
            <w:r w:rsidRPr="00E02972">
              <w:rPr>
                <w:rFonts w:cs="Arial"/>
                <w:sz w:val="16"/>
                <w:szCs w:val="18"/>
              </w:rPr>
              <w:t xml:space="preserve">Consider the need to draft a standardised questionnaire or tailored depending on product and client type. </w:t>
            </w:r>
          </w:p>
        </w:tc>
        <w:tc>
          <w:tcPr>
            <w:tcW w:w="625" w:type="pct"/>
            <w:tcBorders>
              <w:top w:val="single" w:sz="4" w:space="0" w:color="auto"/>
              <w:left w:val="single" w:sz="4" w:space="0" w:color="auto"/>
              <w:bottom w:val="single" w:sz="4" w:space="0" w:color="auto"/>
              <w:right w:val="single" w:sz="4" w:space="0" w:color="auto"/>
            </w:tcBorders>
          </w:tcPr>
          <w:p w:rsidR="00032535" w:rsidRPr="00E02972" w:rsidRDefault="000A0231" w:rsidP="000A0231">
            <w:pPr>
              <w:pStyle w:val="ssPara1"/>
              <w:numPr>
                <w:ilvl w:val="0"/>
                <w:numId w:val="7"/>
              </w:numPr>
              <w:spacing w:before="240"/>
              <w:rPr>
                <w:rFonts w:eastAsia="Times New Roman" w:cs="Arial"/>
                <w:sz w:val="16"/>
                <w:szCs w:val="18"/>
              </w:rPr>
            </w:pPr>
            <w:r w:rsidRPr="00E02972">
              <w:rPr>
                <w:rFonts w:eastAsia="Times New Roman" w:cs="Arial"/>
                <w:sz w:val="16"/>
                <w:szCs w:val="18"/>
              </w:rPr>
              <w:t xml:space="preserve">Suitability Assessment Questionnaires (standardised or tailored). </w:t>
            </w:r>
          </w:p>
          <w:p w:rsidR="000A0231" w:rsidRPr="00E02972" w:rsidRDefault="000A0231" w:rsidP="000A0231">
            <w:pPr>
              <w:pStyle w:val="ssPara1"/>
              <w:numPr>
                <w:ilvl w:val="0"/>
                <w:numId w:val="7"/>
              </w:numPr>
              <w:spacing w:before="240"/>
              <w:rPr>
                <w:rFonts w:eastAsia="Times New Roman" w:cs="Arial"/>
                <w:sz w:val="16"/>
                <w:szCs w:val="18"/>
              </w:rPr>
            </w:pPr>
            <w:r w:rsidRPr="00E02972">
              <w:rPr>
                <w:rFonts w:eastAsia="Times New Roman" w:cs="Arial"/>
                <w:sz w:val="16"/>
                <w:szCs w:val="18"/>
              </w:rPr>
              <w:t>Client Agreements/ Terms of Business.</w:t>
            </w:r>
          </w:p>
          <w:p w:rsidR="000A0231" w:rsidRPr="00E02972" w:rsidRDefault="000A0231" w:rsidP="000A0231">
            <w:pPr>
              <w:pStyle w:val="ssPara1"/>
              <w:numPr>
                <w:ilvl w:val="0"/>
                <w:numId w:val="7"/>
              </w:numPr>
              <w:spacing w:before="240"/>
              <w:rPr>
                <w:rFonts w:eastAsia="Times New Roman" w:cs="Arial"/>
                <w:sz w:val="16"/>
                <w:szCs w:val="18"/>
              </w:rPr>
            </w:pPr>
            <w:r w:rsidRPr="00E02972">
              <w:rPr>
                <w:rFonts w:eastAsia="Times New Roman" w:cs="Arial"/>
                <w:sz w:val="16"/>
                <w:szCs w:val="18"/>
              </w:rPr>
              <w:t xml:space="preserve">Due diligence questionnaires. </w:t>
            </w:r>
          </w:p>
          <w:p w:rsidR="000A0231" w:rsidRPr="00E02972" w:rsidRDefault="000A0231" w:rsidP="000A0231">
            <w:pPr>
              <w:pStyle w:val="ssPara1"/>
              <w:numPr>
                <w:ilvl w:val="0"/>
                <w:numId w:val="7"/>
              </w:numPr>
              <w:spacing w:before="240"/>
              <w:rPr>
                <w:rFonts w:eastAsia="Times New Roman" w:cs="Arial"/>
                <w:sz w:val="16"/>
                <w:szCs w:val="18"/>
              </w:rPr>
            </w:pPr>
            <w:r w:rsidRPr="00E02972">
              <w:rPr>
                <w:rFonts w:eastAsia="Times New Roman" w:cs="Arial"/>
                <w:sz w:val="16"/>
                <w:szCs w:val="18"/>
              </w:rPr>
              <w:t xml:space="preserve">Client Disclosure letters. </w:t>
            </w:r>
          </w:p>
          <w:p w:rsidR="000A0231" w:rsidRPr="00E02972" w:rsidRDefault="004C460E" w:rsidP="000A0231">
            <w:pPr>
              <w:pStyle w:val="ssPara1"/>
              <w:numPr>
                <w:ilvl w:val="0"/>
                <w:numId w:val="7"/>
              </w:numPr>
              <w:spacing w:before="240"/>
              <w:rPr>
                <w:rFonts w:eastAsia="Times New Roman" w:cs="Arial"/>
                <w:sz w:val="16"/>
                <w:szCs w:val="18"/>
              </w:rPr>
            </w:pPr>
            <w:r w:rsidRPr="00E02972">
              <w:rPr>
                <w:rFonts w:eastAsia="Times New Roman" w:cs="Arial"/>
                <w:sz w:val="16"/>
                <w:szCs w:val="18"/>
              </w:rPr>
              <w:t>Template s</w:t>
            </w:r>
            <w:r w:rsidR="000A0231" w:rsidRPr="00E02972">
              <w:rPr>
                <w:rFonts w:eastAsia="Times New Roman" w:cs="Arial"/>
                <w:sz w:val="16"/>
                <w:szCs w:val="18"/>
              </w:rPr>
              <w:t xml:space="preserve">uitability reports for retail clients. </w:t>
            </w:r>
          </w:p>
        </w:tc>
        <w:tc>
          <w:tcPr>
            <w:tcW w:w="416" w:type="pct"/>
            <w:tcBorders>
              <w:top w:val="single" w:sz="4" w:space="0" w:color="auto"/>
              <w:left w:val="single" w:sz="4" w:space="0" w:color="auto"/>
              <w:bottom w:val="single" w:sz="4" w:space="0" w:color="auto"/>
              <w:right w:val="single" w:sz="4" w:space="0" w:color="auto"/>
            </w:tcBorders>
            <w:shd w:val="clear" w:color="auto" w:fill="auto"/>
          </w:tcPr>
          <w:p w:rsidR="00032535" w:rsidRPr="00E02972" w:rsidRDefault="000A0231" w:rsidP="00F44B85">
            <w:pPr>
              <w:pStyle w:val="ssPara1"/>
              <w:spacing w:before="240"/>
              <w:rPr>
                <w:rFonts w:eastAsia="Times New Roman" w:cs="Arial"/>
                <w:sz w:val="16"/>
                <w:szCs w:val="18"/>
              </w:rPr>
            </w:pPr>
            <w:r w:rsidRPr="00E02972">
              <w:rPr>
                <w:rFonts w:eastAsia="Times New Roman" w:cs="Arial"/>
                <w:sz w:val="16"/>
                <w:szCs w:val="18"/>
              </w:rPr>
              <w:t xml:space="preserve">Information must be obtained before the provision of the service. </w:t>
            </w:r>
          </w:p>
        </w:tc>
      </w:tr>
      <w:tr w:rsidR="00032535" w:rsidRPr="00E02972" w:rsidTr="00F44B85">
        <w:tc>
          <w:tcPr>
            <w:tcW w:w="455" w:type="pct"/>
            <w:tcBorders>
              <w:top w:val="single" w:sz="4" w:space="0" w:color="auto"/>
              <w:left w:val="single" w:sz="4" w:space="0" w:color="auto"/>
              <w:bottom w:val="single" w:sz="4" w:space="0" w:color="auto"/>
              <w:right w:val="single" w:sz="4" w:space="0" w:color="auto"/>
            </w:tcBorders>
            <w:shd w:val="clear" w:color="auto" w:fill="69889A"/>
          </w:tcPr>
          <w:p w:rsidR="00032535" w:rsidRPr="00E02972" w:rsidRDefault="00032535" w:rsidP="00B4292A">
            <w:pPr>
              <w:spacing w:before="120" w:after="120"/>
              <w:jc w:val="left"/>
              <w:rPr>
                <w:rFonts w:eastAsia="Times New Roman" w:cs="Arial"/>
                <w:b/>
                <w:bCs/>
                <w:color w:val="FFFFFF" w:themeColor="background1"/>
                <w:sz w:val="16"/>
                <w:szCs w:val="18"/>
                <w:lang w:eastAsia="en-GB"/>
              </w:rPr>
            </w:pPr>
            <w:r w:rsidRPr="00E02972">
              <w:rPr>
                <w:rFonts w:eastAsia="Times New Roman" w:cs="Arial"/>
                <w:b/>
                <w:bCs/>
                <w:color w:val="FFFFFF" w:themeColor="background1"/>
                <w:sz w:val="16"/>
                <w:szCs w:val="18"/>
                <w:lang w:eastAsia="en-GB"/>
              </w:rPr>
              <w:t>APPROPRIATENESS ASSESSMENT</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4C460E" w:rsidRPr="00E02972" w:rsidRDefault="006C2CF1" w:rsidP="004C460E">
            <w:pPr>
              <w:spacing w:before="120" w:after="120"/>
              <w:jc w:val="left"/>
              <w:rPr>
                <w:rFonts w:eastAsia="Times New Roman" w:cs="Arial"/>
                <w:sz w:val="16"/>
                <w:szCs w:val="18"/>
              </w:rPr>
            </w:pPr>
            <w:hyperlink r:id="rId82" w:history="1">
              <w:r w:rsidR="004C460E" w:rsidRPr="00E02972">
                <w:rPr>
                  <w:rStyle w:val="Hyperlink"/>
                  <w:rFonts w:cs="Arial"/>
                  <w:sz w:val="16"/>
                  <w:szCs w:val="18"/>
                </w:rPr>
                <w:t>D</w:t>
              </w:r>
            </w:hyperlink>
            <w:r w:rsidR="004C460E" w:rsidRPr="00E02972">
              <w:rPr>
                <w:rFonts w:cs="Arial"/>
                <w:sz w:val="16"/>
                <w:szCs w:val="18"/>
              </w:rPr>
              <w:t xml:space="preserve"> </w:t>
            </w:r>
            <w:r w:rsidR="004C460E" w:rsidRPr="00E02972">
              <w:rPr>
                <w:rFonts w:eastAsia="Times New Roman" w:cs="Arial"/>
                <w:sz w:val="16"/>
                <w:szCs w:val="18"/>
              </w:rPr>
              <w:t xml:space="preserve"> Art 25(3) </w:t>
            </w:r>
          </w:p>
          <w:p w:rsidR="004C460E" w:rsidRPr="00E02972" w:rsidRDefault="004C460E" w:rsidP="004C460E">
            <w:pPr>
              <w:spacing w:before="120" w:after="120"/>
              <w:jc w:val="left"/>
              <w:rPr>
                <w:rFonts w:cs="Arial"/>
                <w:sz w:val="16"/>
                <w:szCs w:val="18"/>
              </w:rPr>
            </w:pPr>
            <w:r w:rsidRPr="00E02972">
              <w:rPr>
                <w:rFonts w:cs="Arial"/>
                <w:sz w:val="16"/>
                <w:szCs w:val="18"/>
              </w:rPr>
              <w:t>L2: (</w:t>
            </w:r>
            <w:hyperlink r:id="rId83" w:history="1">
              <w:hyperlink r:id="rId84" w:history="1">
                <w:r w:rsidRPr="00E02972">
                  <w:rPr>
                    <w:rStyle w:val="Hyperlink"/>
                    <w:rFonts w:cs="Arial"/>
                    <w:sz w:val="16"/>
                    <w:szCs w:val="18"/>
                  </w:rPr>
                  <w:t>CP1</w:t>
                </w:r>
              </w:hyperlink>
            </w:hyperlink>
            <w:r w:rsidRPr="00E02972">
              <w:rPr>
                <w:rFonts w:cs="Arial"/>
                <w:b/>
                <w:sz w:val="16"/>
                <w:szCs w:val="18"/>
              </w:rPr>
              <w:t xml:space="preserve">, </w:t>
            </w:r>
            <w:hyperlink r:id="rId85" w:history="1">
              <w:r w:rsidRPr="00E02972">
                <w:rPr>
                  <w:rStyle w:val="Hyperlink"/>
                  <w:rFonts w:cs="Arial"/>
                  <w:sz w:val="16"/>
                  <w:szCs w:val="18"/>
                </w:rPr>
                <w:t>FR</w:t>
              </w:r>
            </w:hyperlink>
            <w:r w:rsidRPr="00E02972">
              <w:rPr>
                <w:rFonts w:cs="Arial"/>
                <w:sz w:val="16"/>
                <w:szCs w:val="18"/>
              </w:rPr>
              <w:t xml:space="preserve">) </w:t>
            </w:r>
          </w:p>
          <w:p w:rsidR="004C460E" w:rsidRPr="00E02972" w:rsidRDefault="006C2CF1" w:rsidP="00D925E0">
            <w:pPr>
              <w:pStyle w:val="ListParagraph"/>
              <w:numPr>
                <w:ilvl w:val="0"/>
                <w:numId w:val="26"/>
              </w:numPr>
              <w:spacing w:before="120" w:after="120" w:line="240" w:lineRule="auto"/>
              <w:rPr>
                <w:rFonts w:ascii="Arial" w:hAnsi="Arial" w:cs="Arial"/>
                <w:b/>
                <w:sz w:val="16"/>
                <w:szCs w:val="18"/>
              </w:rPr>
            </w:pPr>
            <w:hyperlink r:id="rId86" w:history="1">
              <w:r w:rsidR="004C460E" w:rsidRPr="00E02972">
                <w:rPr>
                  <w:rStyle w:val="Hyperlink"/>
                  <w:rFonts w:ascii="Arial" w:hAnsi="Arial" w:cs="Arial"/>
                  <w:color w:val="0000FF"/>
                  <w:sz w:val="16"/>
                  <w:szCs w:val="18"/>
                </w:rPr>
                <w:t>DR1</w:t>
              </w:r>
            </w:hyperlink>
            <w:r w:rsidR="004C460E" w:rsidRPr="00E02972">
              <w:rPr>
                <w:rStyle w:val="Hyperlink"/>
                <w:rFonts w:ascii="Arial" w:hAnsi="Arial" w:cs="Arial"/>
                <w:b/>
                <w:color w:val="0000FF"/>
                <w:sz w:val="16"/>
                <w:szCs w:val="18"/>
              </w:rPr>
              <w:t>(</w:t>
            </w:r>
            <w:hyperlink r:id="rId87" w:history="1">
              <w:r w:rsidR="004C460E" w:rsidRPr="00E02972">
                <w:rPr>
                  <w:rStyle w:val="Hyperlink"/>
                  <w:rFonts w:ascii="Arial" w:hAnsi="Arial" w:cs="Arial"/>
                  <w:b/>
                  <w:color w:val="0000FF"/>
                  <w:sz w:val="16"/>
                  <w:szCs w:val="18"/>
                </w:rPr>
                <w:t>Art 56</w:t>
              </w:r>
            </w:hyperlink>
            <w:r w:rsidR="004C460E" w:rsidRPr="00E02972">
              <w:rPr>
                <w:rStyle w:val="Hyperlink"/>
                <w:rFonts w:ascii="Arial" w:hAnsi="Arial" w:cs="Arial"/>
                <w:b/>
                <w:color w:val="0000FF"/>
                <w:sz w:val="16"/>
                <w:szCs w:val="18"/>
              </w:rPr>
              <w:t>)</w:t>
            </w:r>
          </w:p>
          <w:p w:rsidR="004C460E" w:rsidRPr="00E02972" w:rsidRDefault="004C460E" w:rsidP="004C460E">
            <w:pPr>
              <w:spacing w:before="120" w:after="120"/>
              <w:jc w:val="left"/>
              <w:rPr>
                <w:rStyle w:val="Hyperlink"/>
                <w:rFonts w:cs="Arial"/>
                <w:sz w:val="16"/>
                <w:szCs w:val="18"/>
              </w:rPr>
            </w:pPr>
            <w:r w:rsidRPr="00E02972">
              <w:rPr>
                <w:rFonts w:cs="Arial"/>
                <w:sz w:val="16"/>
                <w:szCs w:val="18"/>
              </w:rPr>
              <w:t>L3: (</w:t>
            </w:r>
            <w:hyperlink r:id="rId88" w:history="1">
              <w:hyperlink r:id="rId89" w:history="1">
                <w:r w:rsidRPr="00E02972">
                  <w:rPr>
                    <w:rStyle w:val="Hyperlink"/>
                    <w:rFonts w:cs="Arial"/>
                    <w:sz w:val="16"/>
                    <w:szCs w:val="18"/>
                  </w:rPr>
                  <w:t>FR4</w:t>
                </w:r>
              </w:hyperlink>
            </w:hyperlink>
            <w:r w:rsidRPr="00E02972">
              <w:rPr>
                <w:rStyle w:val="Hyperlink"/>
                <w:rFonts w:cs="Arial"/>
                <w:b/>
                <w:sz w:val="16"/>
                <w:szCs w:val="18"/>
              </w:rPr>
              <w:t>)</w:t>
            </w:r>
          </w:p>
          <w:p w:rsidR="004C460E" w:rsidRPr="00E02972" w:rsidRDefault="006C2CF1" w:rsidP="00D925E0">
            <w:pPr>
              <w:pStyle w:val="ListParagraph"/>
              <w:numPr>
                <w:ilvl w:val="0"/>
                <w:numId w:val="26"/>
              </w:numPr>
              <w:spacing w:before="120" w:after="120" w:line="240" w:lineRule="auto"/>
              <w:rPr>
                <w:rStyle w:val="Hyperlink"/>
                <w:rFonts w:ascii="Arial" w:hAnsi="Arial" w:cs="Arial"/>
                <w:color w:val="0000FF"/>
                <w:sz w:val="16"/>
                <w:szCs w:val="18"/>
              </w:rPr>
            </w:pPr>
            <w:hyperlink r:id="rId90" w:history="1">
              <w:r w:rsidR="004C460E" w:rsidRPr="00E02972">
                <w:rPr>
                  <w:rStyle w:val="Hyperlink"/>
                  <w:rFonts w:ascii="Arial" w:hAnsi="Arial" w:cs="Arial"/>
                  <w:color w:val="0000FF"/>
                  <w:sz w:val="16"/>
                  <w:szCs w:val="18"/>
                </w:rPr>
                <w:t>FR12</w:t>
              </w:r>
            </w:hyperlink>
            <w:r w:rsidR="004C460E" w:rsidRPr="00E02972">
              <w:rPr>
                <w:rStyle w:val="Hyperlink"/>
                <w:rFonts w:ascii="Arial" w:hAnsi="Arial" w:cs="Arial"/>
                <w:color w:val="0000FF"/>
                <w:sz w:val="16"/>
                <w:szCs w:val="18"/>
              </w:rPr>
              <w:t xml:space="preserve"> (</w:t>
            </w:r>
            <w:hyperlink r:id="rId91" w:history="1">
              <w:r w:rsidR="004C460E" w:rsidRPr="00E02972">
                <w:rPr>
                  <w:rStyle w:val="Hyperlink"/>
                  <w:rFonts w:ascii="Arial" w:hAnsi="Arial" w:cs="Arial"/>
                  <w:sz w:val="16"/>
                  <w:szCs w:val="18"/>
                </w:rPr>
                <w:t>Final Guidelines on Complex Instruments and Structured Deposits</w:t>
              </w:r>
            </w:hyperlink>
            <w:r w:rsidR="004C460E" w:rsidRPr="00E02972">
              <w:rPr>
                <w:rStyle w:val="Hyperlink"/>
                <w:rFonts w:ascii="Arial" w:hAnsi="Arial" w:cs="Arial"/>
                <w:color w:val="0000FF"/>
                <w:sz w:val="16"/>
                <w:szCs w:val="18"/>
              </w:rPr>
              <w:t>)</w:t>
            </w:r>
          </w:p>
          <w:p w:rsidR="00032535" w:rsidRPr="00E02972" w:rsidRDefault="00032535" w:rsidP="006E3A87">
            <w:pPr>
              <w:spacing w:before="240" w:after="260"/>
              <w:jc w:val="left"/>
              <w:rPr>
                <w:rFonts w:eastAsia="Times New Roman" w:cs="Arial"/>
                <w:sz w:val="16"/>
                <w:szCs w:val="18"/>
              </w:rPr>
            </w:pP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032535" w:rsidRPr="00E02972" w:rsidRDefault="00032535" w:rsidP="00D925E0">
            <w:pPr>
              <w:pStyle w:val="NormalWeb"/>
              <w:numPr>
                <w:ilvl w:val="0"/>
                <w:numId w:val="21"/>
              </w:numPr>
              <w:shd w:val="clear" w:color="auto" w:fill="FFFFFF"/>
              <w:spacing w:before="120" w:after="120" w:line="240" w:lineRule="auto"/>
              <w:jc w:val="both"/>
              <w:rPr>
                <w:rFonts w:ascii="Arial" w:hAnsi="Arial" w:cs="Arial"/>
                <w:sz w:val="16"/>
                <w:szCs w:val="18"/>
                <w:lang w:val="en"/>
              </w:rPr>
            </w:pPr>
            <w:r w:rsidRPr="00E02972">
              <w:rPr>
                <w:rFonts w:ascii="Arial" w:hAnsi="Arial" w:cs="Arial"/>
                <w:sz w:val="16"/>
                <w:szCs w:val="18"/>
              </w:rPr>
              <w:t>When providing investment services other than investment advice or portfolio management</w:t>
            </w:r>
            <w:r w:rsidRPr="00E02972">
              <w:rPr>
                <w:rFonts w:ascii="Arial" w:hAnsi="Arial" w:cs="Arial"/>
                <w:sz w:val="16"/>
                <w:szCs w:val="18"/>
                <w:lang w:val="en"/>
              </w:rPr>
              <w:t xml:space="preserve"> ‘appropriateness’ test will apply to:</w:t>
            </w:r>
          </w:p>
          <w:p w:rsidR="00032535" w:rsidRPr="00E02972" w:rsidRDefault="00032535" w:rsidP="00F44B85">
            <w:pPr>
              <w:pStyle w:val="BulletPoint1"/>
              <w:numPr>
                <w:ilvl w:val="0"/>
                <w:numId w:val="20"/>
              </w:numPr>
              <w:ind w:left="357" w:hanging="357"/>
              <w:jc w:val="both"/>
              <w:rPr>
                <w:rFonts w:cs="Arial"/>
                <w:sz w:val="16"/>
                <w:szCs w:val="18"/>
              </w:rPr>
            </w:pPr>
            <w:r w:rsidRPr="00E02972">
              <w:rPr>
                <w:rFonts w:cs="Arial"/>
                <w:sz w:val="16"/>
                <w:szCs w:val="18"/>
              </w:rPr>
              <w:t>shares unless they are traded on a regulated market (or third country equivalent) or MTF;</w:t>
            </w:r>
          </w:p>
          <w:p w:rsidR="00032535" w:rsidRPr="00E02972" w:rsidRDefault="00032535" w:rsidP="00F44B85">
            <w:pPr>
              <w:pStyle w:val="BulletPoint1"/>
              <w:numPr>
                <w:ilvl w:val="0"/>
                <w:numId w:val="20"/>
              </w:numPr>
              <w:ind w:left="357" w:hanging="357"/>
              <w:jc w:val="both"/>
              <w:rPr>
                <w:rFonts w:cs="Arial"/>
                <w:sz w:val="16"/>
                <w:szCs w:val="18"/>
              </w:rPr>
            </w:pPr>
            <w:r w:rsidRPr="00E02972">
              <w:rPr>
                <w:rFonts w:cs="Arial"/>
                <w:sz w:val="16"/>
                <w:szCs w:val="18"/>
              </w:rPr>
              <w:t>shares in a non-UCITS collective investment undertaking or that embed a derivative;</w:t>
            </w:r>
          </w:p>
          <w:p w:rsidR="00032535" w:rsidRPr="00E02972" w:rsidRDefault="00032535" w:rsidP="00F44B85">
            <w:pPr>
              <w:pStyle w:val="BulletPoint1"/>
              <w:numPr>
                <w:ilvl w:val="0"/>
                <w:numId w:val="20"/>
              </w:numPr>
              <w:ind w:left="357" w:hanging="357"/>
              <w:jc w:val="both"/>
              <w:rPr>
                <w:rFonts w:cs="Arial"/>
                <w:sz w:val="16"/>
                <w:szCs w:val="18"/>
              </w:rPr>
            </w:pPr>
            <w:r w:rsidRPr="00E02972">
              <w:rPr>
                <w:rFonts w:cs="Arial"/>
                <w:sz w:val="16"/>
                <w:szCs w:val="18"/>
              </w:rPr>
              <w:t>structured UCITS;</w:t>
            </w:r>
          </w:p>
          <w:p w:rsidR="00032535" w:rsidRPr="00E02972" w:rsidRDefault="00032535" w:rsidP="00F44B85">
            <w:pPr>
              <w:pStyle w:val="BulletPoint1"/>
              <w:numPr>
                <w:ilvl w:val="0"/>
                <w:numId w:val="20"/>
              </w:numPr>
              <w:ind w:left="357" w:hanging="357"/>
              <w:jc w:val="both"/>
              <w:rPr>
                <w:rFonts w:cs="Arial"/>
                <w:sz w:val="16"/>
                <w:szCs w:val="18"/>
                <w:lang w:val="en" w:eastAsia="en-US"/>
              </w:rPr>
            </w:pPr>
            <w:r w:rsidRPr="00E02972">
              <w:rPr>
                <w:rFonts w:cs="Arial"/>
                <w:sz w:val="16"/>
                <w:szCs w:val="18"/>
              </w:rPr>
              <w:t>bonds and other forms of securitised debt unless they are</w:t>
            </w:r>
            <w:r w:rsidRPr="00E02972">
              <w:rPr>
                <w:rFonts w:cs="Arial"/>
                <w:sz w:val="16"/>
                <w:szCs w:val="18"/>
                <w:lang w:val="en" w:eastAsia="en-US"/>
              </w:rPr>
              <w:t xml:space="preserve"> </w:t>
            </w:r>
            <w:r w:rsidRPr="00E02972">
              <w:rPr>
                <w:rFonts w:cs="Arial"/>
                <w:sz w:val="16"/>
                <w:szCs w:val="18"/>
              </w:rPr>
              <w:t>traded</w:t>
            </w:r>
            <w:r w:rsidRPr="00E02972">
              <w:rPr>
                <w:rFonts w:cs="Arial"/>
                <w:sz w:val="16"/>
                <w:szCs w:val="18"/>
                <w:lang w:val="en" w:eastAsia="en-US"/>
              </w:rPr>
              <w:t xml:space="preserve"> on a regulated market (or third country equivalent) or MTF;</w:t>
            </w:r>
          </w:p>
          <w:p w:rsidR="00032535" w:rsidRPr="00E02972" w:rsidRDefault="00032535" w:rsidP="00F44B85">
            <w:pPr>
              <w:pStyle w:val="BulletPoint1"/>
              <w:numPr>
                <w:ilvl w:val="0"/>
                <w:numId w:val="20"/>
              </w:numPr>
              <w:ind w:left="357" w:hanging="357"/>
              <w:jc w:val="both"/>
              <w:rPr>
                <w:rFonts w:cs="Arial"/>
                <w:sz w:val="16"/>
                <w:szCs w:val="18"/>
              </w:rPr>
            </w:pPr>
            <w:r w:rsidRPr="00E02972">
              <w:rPr>
                <w:rFonts w:cs="Arial"/>
                <w:sz w:val="16"/>
                <w:szCs w:val="18"/>
              </w:rPr>
              <w:t>all debt instruments that embed a derivative or ‘incorporate a structure which make it difficult for the client to understand the risk involved’; and</w:t>
            </w:r>
          </w:p>
          <w:p w:rsidR="00032535" w:rsidRPr="00E02972" w:rsidRDefault="00032535" w:rsidP="00F44B85">
            <w:pPr>
              <w:pStyle w:val="BulletPoint1"/>
              <w:numPr>
                <w:ilvl w:val="0"/>
                <w:numId w:val="20"/>
              </w:numPr>
              <w:ind w:left="357" w:hanging="357"/>
              <w:jc w:val="both"/>
              <w:rPr>
                <w:rFonts w:cs="Arial"/>
                <w:sz w:val="16"/>
                <w:szCs w:val="18"/>
              </w:rPr>
            </w:pPr>
            <w:r w:rsidRPr="00E02972">
              <w:rPr>
                <w:rFonts w:cs="Arial"/>
                <w:sz w:val="16"/>
                <w:szCs w:val="18"/>
              </w:rPr>
              <w:t>structured deposits that ‘incorporate a structure which makes it difficult for the client to understand the risk of return or the cost of exiting the product before term’.</w:t>
            </w:r>
          </w:p>
          <w:p w:rsidR="00032535" w:rsidRPr="00E02972" w:rsidRDefault="000964BD" w:rsidP="00F44B85">
            <w:pPr>
              <w:spacing w:before="240" w:after="260"/>
              <w:rPr>
                <w:rFonts w:eastAsia="Times New Roman" w:cs="Arial"/>
                <w:sz w:val="16"/>
                <w:szCs w:val="18"/>
                <w:lang w:val="en-US"/>
              </w:rPr>
            </w:pPr>
            <w:r w:rsidRPr="00E02972">
              <w:rPr>
                <w:rFonts w:cs="Arial"/>
                <w:sz w:val="16"/>
                <w:szCs w:val="18"/>
              </w:rPr>
              <w:t xml:space="preserve">Investment firms </w:t>
            </w:r>
            <w:r w:rsidR="00032535" w:rsidRPr="00E02972">
              <w:rPr>
                <w:rFonts w:cs="Arial"/>
                <w:sz w:val="16"/>
                <w:szCs w:val="18"/>
              </w:rPr>
              <w:t xml:space="preserve"> may provide order handling services (reception and transmission of orders, as well as execution of orders on behalf of clients) without performing the appropriateness assessment in relation to non-complex products (see </w:t>
            </w:r>
            <w:hyperlink r:id="rId92" w:history="1">
              <w:r w:rsidR="00032535" w:rsidRPr="00E02972">
                <w:rPr>
                  <w:rStyle w:val="Hyperlink"/>
                  <w:rFonts w:cs="Arial"/>
                  <w:sz w:val="16"/>
                  <w:szCs w:val="18"/>
                </w:rPr>
                <w:t>DR1</w:t>
              </w:r>
            </w:hyperlink>
            <w:hyperlink r:id="rId93" w:history="1">
              <w:r w:rsidR="00032535" w:rsidRPr="00E02972">
                <w:rPr>
                  <w:rStyle w:val="Hyperlink"/>
                  <w:rFonts w:cs="Arial"/>
                  <w:b/>
                  <w:sz w:val="16"/>
                  <w:szCs w:val="18"/>
                </w:rPr>
                <w:t>, Art 57</w:t>
              </w:r>
            </w:hyperlink>
            <w:r w:rsidR="00032535" w:rsidRPr="00E02972">
              <w:rPr>
                <w:rStyle w:val="Hyperlink"/>
                <w:rFonts w:cs="Arial"/>
                <w:b/>
                <w:sz w:val="16"/>
                <w:szCs w:val="18"/>
              </w:rPr>
              <w:t xml:space="preserve"> and </w:t>
            </w:r>
            <w:hyperlink r:id="rId94" w:history="1">
              <w:hyperlink r:id="rId95" w:history="1">
                <w:r w:rsidR="00032535" w:rsidRPr="00E02972">
                  <w:rPr>
                    <w:rStyle w:val="Hyperlink"/>
                    <w:rFonts w:cs="Arial"/>
                    <w:sz w:val="16"/>
                    <w:szCs w:val="18"/>
                  </w:rPr>
                  <w:t>FR4</w:t>
                </w:r>
              </w:hyperlink>
            </w:hyperlink>
            <w:r w:rsidR="00032535" w:rsidRPr="00E02972">
              <w:rPr>
                <w:rFonts w:cs="Arial"/>
                <w:sz w:val="16"/>
                <w:szCs w:val="18"/>
              </w:rPr>
              <w:t>).</w: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032535" w:rsidRPr="00E02972" w:rsidRDefault="00032535" w:rsidP="00F44B85">
            <w:pPr>
              <w:pStyle w:val="ssPara1"/>
              <w:spacing w:before="240" w:after="0"/>
              <w:rPr>
                <w:rFonts w:cs="Arial"/>
                <w:sz w:val="16"/>
                <w:szCs w:val="18"/>
              </w:rPr>
            </w:pPr>
            <w:r w:rsidRPr="00E02972">
              <w:rPr>
                <w:rFonts w:cs="Arial"/>
                <w:sz w:val="16"/>
                <w:szCs w:val="18"/>
              </w:rPr>
              <w:t>R</w:t>
            </w:r>
          </w:p>
          <w:p w:rsidR="00032535" w:rsidRPr="00E02972" w:rsidRDefault="00032535" w:rsidP="00F44B85">
            <w:pPr>
              <w:pStyle w:val="ssPara1"/>
              <w:spacing w:after="0"/>
              <w:rPr>
                <w:rFonts w:cs="Arial"/>
                <w:sz w:val="16"/>
                <w:szCs w:val="18"/>
              </w:rPr>
            </w:pPr>
            <w:r w:rsidRPr="00E02972">
              <w:rPr>
                <w:rFonts w:cs="Arial"/>
                <w:sz w:val="16"/>
                <w:szCs w:val="18"/>
              </w:rPr>
              <w:t>EP</w:t>
            </w:r>
          </w:p>
          <w:p w:rsidR="00032535" w:rsidRPr="00E02972" w:rsidRDefault="00032535" w:rsidP="00F44B85">
            <w:pPr>
              <w:pStyle w:val="ssPara1"/>
              <w:spacing w:after="0"/>
              <w:rPr>
                <w:rFonts w:cs="Arial"/>
                <w:sz w:val="16"/>
                <w:szCs w:val="18"/>
              </w:rPr>
            </w:pPr>
            <w:r w:rsidRPr="00E02972">
              <w:rPr>
                <w:rFonts w:cs="Arial"/>
                <w:sz w:val="16"/>
                <w:szCs w:val="18"/>
              </w:rPr>
              <w:t>PSP (assumptions under MiFID1 to apply)</w:t>
            </w:r>
          </w:p>
          <w:p w:rsidR="00032535" w:rsidRPr="00E02972" w:rsidRDefault="00032535" w:rsidP="00F44B85">
            <w:pPr>
              <w:pStyle w:val="ssPara1"/>
              <w:spacing w:before="240"/>
              <w:rPr>
                <w:rFonts w:cs="Arial"/>
                <w:sz w:val="16"/>
                <w:szCs w:val="18"/>
              </w:rPr>
            </w:pP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Perform analysis of client base and products to determine where ‘appropriateness assessment’ will be required.</w:t>
            </w:r>
          </w:p>
          <w:p w:rsidR="000964BD" w:rsidRPr="00E02972" w:rsidRDefault="000964BD" w:rsidP="00F44B85">
            <w:pPr>
              <w:pStyle w:val="BulletPoint1"/>
              <w:numPr>
                <w:ilvl w:val="0"/>
                <w:numId w:val="9"/>
              </w:numPr>
              <w:tabs>
                <w:tab w:val="clear" w:pos="684"/>
              </w:tabs>
              <w:jc w:val="both"/>
              <w:rPr>
                <w:rFonts w:cs="Arial"/>
                <w:sz w:val="16"/>
                <w:szCs w:val="18"/>
              </w:rPr>
            </w:pPr>
            <w:r w:rsidRPr="00E02972">
              <w:rPr>
                <w:rFonts w:cs="Arial"/>
                <w:sz w:val="16"/>
                <w:szCs w:val="18"/>
              </w:rPr>
              <w:t xml:space="preserve">Review and amend existing or draft additional client documentation (where relevant) to ensure that they meet the appropriateness requirements </w:t>
            </w:r>
            <w:r w:rsidR="00F44B85" w:rsidRPr="00E02972">
              <w:rPr>
                <w:rFonts w:cs="Arial"/>
                <w:sz w:val="16"/>
                <w:szCs w:val="18"/>
              </w:rPr>
              <w:t>and include</w:t>
            </w:r>
            <w:r w:rsidRPr="00E02972">
              <w:rPr>
                <w:rFonts w:cs="Arial"/>
                <w:sz w:val="16"/>
                <w:szCs w:val="18"/>
              </w:rPr>
              <w:t xml:space="preserve"> details of the firms duty to assess appropriateness and/or any presumptions applying to professional clients. </w:t>
            </w:r>
          </w:p>
          <w:p w:rsidR="00032535" w:rsidRPr="00E02972" w:rsidRDefault="000964BD" w:rsidP="00F44B85">
            <w:pPr>
              <w:pStyle w:val="BulletPoint1"/>
              <w:numPr>
                <w:ilvl w:val="0"/>
                <w:numId w:val="9"/>
              </w:numPr>
              <w:tabs>
                <w:tab w:val="clear" w:pos="684"/>
              </w:tabs>
              <w:jc w:val="both"/>
              <w:rPr>
                <w:rFonts w:cs="Arial"/>
                <w:sz w:val="16"/>
                <w:szCs w:val="18"/>
              </w:rPr>
            </w:pPr>
            <w:r w:rsidRPr="00E02972">
              <w:rPr>
                <w:rFonts w:cs="Arial"/>
                <w:sz w:val="16"/>
                <w:szCs w:val="18"/>
              </w:rPr>
              <w:t xml:space="preserve">Consider the need to draft a standardised questionnaire or tailored depending on product and client type. </w:t>
            </w:r>
          </w:p>
        </w:tc>
        <w:tc>
          <w:tcPr>
            <w:tcW w:w="625" w:type="pct"/>
            <w:tcBorders>
              <w:top w:val="single" w:sz="4" w:space="0" w:color="auto"/>
              <w:left w:val="single" w:sz="4" w:space="0" w:color="auto"/>
              <w:bottom w:val="single" w:sz="4" w:space="0" w:color="auto"/>
              <w:right w:val="single" w:sz="4" w:space="0" w:color="auto"/>
            </w:tcBorders>
          </w:tcPr>
          <w:p w:rsidR="000964BD" w:rsidRPr="00E02972" w:rsidRDefault="000964BD" w:rsidP="000964BD">
            <w:pPr>
              <w:pStyle w:val="ssPara1"/>
              <w:numPr>
                <w:ilvl w:val="0"/>
                <w:numId w:val="9"/>
              </w:numPr>
              <w:spacing w:before="240"/>
              <w:rPr>
                <w:rFonts w:eastAsia="Times New Roman" w:cs="Arial"/>
                <w:sz w:val="16"/>
                <w:szCs w:val="18"/>
              </w:rPr>
            </w:pPr>
            <w:r w:rsidRPr="00E02972">
              <w:rPr>
                <w:rFonts w:eastAsia="Times New Roman" w:cs="Arial"/>
                <w:sz w:val="16"/>
                <w:szCs w:val="18"/>
              </w:rPr>
              <w:t xml:space="preserve">Appropriateness Assessment Questionnaires (standardised or tailored). </w:t>
            </w:r>
          </w:p>
          <w:p w:rsidR="000964BD" w:rsidRPr="00E02972" w:rsidRDefault="000964BD" w:rsidP="000964BD">
            <w:pPr>
              <w:pStyle w:val="ssPara1"/>
              <w:numPr>
                <w:ilvl w:val="0"/>
                <w:numId w:val="9"/>
              </w:numPr>
              <w:spacing w:before="240"/>
              <w:rPr>
                <w:rFonts w:eastAsia="Times New Roman" w:cs="Arial"/>
                <w:sz w:val="16"/>
                <w:szCs w:val="18"/>
              </w:rPr>
            </w:pPr>
            <w:r w:rsidRPr="00E02972">
              <w:rPr>
                <w:rFonts w:eastAsia="Times New Roman" w:cs="Arial"/>
                <w:sz w:val="16"/>
                <w:szCs w:val="18"/>
              </w:rPr>
              <w:t>Client Agreements/ Terms of Business.</w:t>
            </w:r>
          </w:p>
          <w:p w:rsidR="000964BD" w:rsidRPr="00E02972" w:rsidRDefault="000964BD" w:rsidP="000964BD">
            <w:pPr>
              <w:pStyle w:val="ssPara1"/>
              <w:numPr>
                <w:ilvl w:val="0"/>
                <w:numId w:val="9"/>
              </w:numPr>
              <w:spacing w:before="240"/>
              <w:rPr>
                <w:rFonts w:eastAsia="Times New Roman" w:cs="Arial"/>
                <w:sz w:val="16"/>
                <w:szCs w:val="18"/>
              </w:rPr>
            </w:pPr>
            <w:r w:rsidRPr="00E02972">
              <w:rPr>
                <w:rFonts w:eastAsia="Times New Roman" w:cs="Arial"/>
                <w:sz w:val="16"/>
                <w:szCs w:val="18"/>
              </w:rPr>
              <w:t xml:space="preserve">Due diligence questionnaires. </w:t>
            </w:r>
          </w:p>
          <w:p w:rsidR="000964BD" w:rsidRPr="00E02972" w:rsidRDefault="000964BD" w:rsidP="000964BD">
            <w:pPr>
              <w:pStyle w:val="ssPara1"/>
              <w:numPr>
                <w:ilvl w:val="0"/>
                <w:numId w:val="9"/>
              </w:numPr>
              <w:spacing w:before="240"/>
              <w:rPr>
                <w:rFonts w:eastAsia="Times New Roman" w:cs="Arial"/>
                <w:sz w:val="16"/>
                <w:szCs w:val="18"/>
              </w:rPr>
            </w:pPr>
            <w:r w:rsidRPr="00E02972">
              <w:rPr>
                <w:rFonts w:eastAsia="Times New Roman" w:cs="Arial"/>
                <w:sz w:val="16"/>
                <w:szCs w:val="18"/>
              </w:rPr>
              <w:t xml:space="preserve">Client Disclosure letters. </w:t>
            </w:r>
          </w:p>
          <w:p w:rsidR="00032535" w:rsidRPr="00E02972" w:rsidRDefault="00032535" w:rsidP="000964BD">
            <w:pPr>
              <w:spacing w:before="240" w:after="260"/>
              <w:rPr>
                <w:rFonts w:eastAsia="Times New Roman" w:cs="Arial"/>
                <w:sz w:val="16"/>
                <w:szCs w:val="18"/>
              </w:rPr>
            </w:pPr>
          </w:p>
        </w:tc>
        <w:tc>
          <w:tcPr>
            <w:tcW w:w="416" w:type="pct"/>
            <w:tcBorders>
              <w:top w:val="single" w:sz="4" w:space="0" w:color="auto"/>
              <w:left w:val="single" w:sz="4" w:space="0" w:color="auto"/>
              <w:bottom w:val="single" w:sz="4" w:space="0" w:color="auto"/>
              <w:right w:val="single" w:sz="4" w:space="0" w:color="auto"/>
            </w:tcBorders>
            <w:shd w:val="clear" w:color="auto" w:fill="auto"/>
          </w:tcPr>
          <w:p w:rsidR="00032535" w:rsidRPr="00E02972" w:rsidRDefault="00032535" w:rsidP="00F44B85">
            <w:pPr>
              <w:spacing w:before="240" w:after="260"/>
              <w:rPr>
                <w:rFonts w:eastAsia="Times New Roman" w:cs="Arial"/>
                <w:sz w:val="16"/>
                <w:szCs w:val="18"/>
              </w:rPr>
            </w:pPr>
          </w:p>
        </w:tc>
      </w:tr>
      <w:tr w:rsidR="00032535" w:rsidRPr="00E02972" w:rsidTr="00F44B85">
        <w:tc>
          <w:tcPr>
            <w:tcW w:w="455" w:type="pct"/>
            <w:tcBorders>
              <w:top w:val="single" w:sz="4" w:space="0" w:color="auto"/>
              <w:left w:val="single" w:sz="4" w:space="0" w:color="auto"/>
              <w:bottom w:val="single" w:sz="4" w:space="0" w:color="auto"/>
              <w:right w:val="single" w:sz="4" w:space="0" w:color="auto"/>
            </w:tcBorders>
            <w:shd w:val="clear" w:color="auto" w:fill="69889A"/>
          </w:tcPr>
          <w:p w:rsidR="00032535" w:rsidRPr="00E02972" w:rsidRDefault="00032535" w:rsidP="00B4292A">
            <w:pPr>
              <w:spacing w:before="120" w:after="120"/>
              <w:jc w:val="left"/>
              <w:rPr>
                <w:rFonts w:eastAsia="Times New Roman" w:cs="Arial"/>
                <w:b/>
                <w:bCs/>
                <w:color w:val="FFFFFF" w:themeColor="background1"/>
                <w:sz w:val="16"/>
                <w:szCs w:val="18"/>
                <w:lang w:eastAsia="en-GB"/>
              </w:rPr>
            </w:pPr>
            <w:r w:rsidRPr="00E02972">
              <w:rPr>
                <w:rFonts w:eastAsia="Times New Roman" w:cs="Arial"/>
                <w:b/>
                <w:bCs/>
                <w:color w:val="FFFFFF" w:themeColor="background1"/>
                <w:sz w:val="16"/>
                <w:szCs w:val="18"/>
                <w:lang w:eastAsia="en-GB"/>
              </w:rPr>
              <w:t>BEST EXECUTION</w:t>
            </w:r>
          </w:p>
        </w:tc>
        <w:tc>
          <w:tcPr>
            <w:tcW w:w="374" w:type="pct"/>
            <w:tcBorders>
              <w:top w:val="single" w:sz="4" w:space="0" w:color="auto"/>
              <w:left w:val="single" w:sz="4" w:space="0" w:color="auto"/>
              <w:bottom w:val="single" w:sz="4" w:space="0" w:color="auto"/>
              <w:right w:val="single" w:sz="4" w:space="0" w:color="auto"/>
            </w:tcBorders>
          </w:tcPr>
          <w:p w:rsidR="000964BD" w:rsidRPr="00E02972" w:rsidRDefault="006C2CF1" w:rsidP="000964BD">
            <w:pPr>
              <w:spacing w:before="120" w:after="120"/>
              <w:jc w:val="left"/>
              <w:rPr>
                <w:rFonts w:eastAsia="Times New Roman" w:cs="Arial"/>
                <w:sz w:val="16"/>
                <w:szCs w:val="18"/>
                <w:lang w:eastAsia="en-GB"/>
              </w:rPr>
            </w:pPr>
            <w:hyperlink r:id="rId96" w:history="1">
              <w:r w:rsidR="000964BD" w:rsidRPr="00E02972">
                <w:rPr>
                  <w:rFonts w:eastAsia="Arial" w:cs="Arial"/>
                  <w:b/>
                  <w:color w:val="69889A"/>
                  <w:sz w:val="16"/>
                  <w:szCs w:val="18"/>
                  <w:u w:val="single"/>
                  <w:lang w:eastAsia="en-GB"/>
                </w:rPr>
                <w:t>D</w:t>
              </w:r>
            </w:hyperlink>
            <w:r w:rsidR="000964BD" w:rsidRPr="00E02972">
              <w:rPr>
                <w:rFonts w:eastAsia="Arial" w:cs="Arial"/>
                <w:sz w:val="16"/>
                <w:szCs w:val="18"/>
                <w:lang w:eastAsia="en-GB"/>
              </w:rPr>
              <w:t xml:space="preserve"> </w:t>
            </w:r>
            <w:r w:rsidR="000964BD" w:rsidRPr="00E02972">
              <w:rPr>
                <w:rFonts w:eastAsia="Times New Roman" w:cs="Arial"/>
                <w:sz w:val="16"/>
                <w:szCs w:val="18"/>
                <w:lang w:eastAsia="en-GB"/>
              </w:rPr>
              <w:t xml:space="preserve"> Art 27(1)-(10), </w:t>
            </w:r>
          </w:p>
          <w:p w:rsidR="000964BD" w:rsidRPr="00E02972" w:rsidRDefault="000964BD" w:rsidP="000964BD">
            <w:pPr>
              <w:spacing w:before="120" w:after="120"/>
              <w:jc w:val="left"/>
              <w:rPr>
                <w:rFonts w:eastAsia="Times New Roman" w:cs="Arial"/>
                <w:sz w:val="16"/>
                <w:szCs w:val="18"/>
                <w:lang w:eastAsia="en-GB"/>
              </w:rPr>
            </w:pPr>
            <w:r w:rsidRPr="00E02972">
              <w:rPr>
                <w:rFonts w:eastAsia="Arial" w:cs="Arial"/>
                <w:sz w:val="16"/>
                <w:szCs w:val="18"/>
                <w:lang w:eastAsia="en-GB"/>
              </w:rPr>
              <w:t xml:space="preserve">L2: </w:t>
            </w:r>
            <w:r w:rsidR="00C526AC" w:rsidRPr="00E02972">
              <w:rPr>
                <w:rFonts w:cs="Arial"/>
                <w:sz w:val="16"/>
                <w:szCs w:val="18"/>
              </w:rPr>
              <w:t>(</w:t>
            </w:r>
            <w:hyperlink r:id="rId97" w:history="1">
              <w:hyperlink r:id="rId98" w:history="1">
                <w:r w:rsidR="00C526AC" w:rsidRPr="00E02972">
                  <w:rPr>
                    <w:rStyle w:val="Hyperlink"/>
                    <w:rFonts w:cs="Arial"/>
                    <w:b/>
                    <w:sz w:val="16"/>
                    <w:szCs w:val="18"/>
                  </w:rPr>
                  <w:t>CP1</w:t>
                </w:r>
              </w:hyperlink>
            </w:hyperlink>
            <w:r w:rsidR="00C526AC" w:rsidRPr="00E02972">
              <w:rPr>
                <w:rFonts w:cs="Arial"/>
                <w:b/>
                <w:sz w:val="16"/>
                <w:szCs w:val="18"/>
              </w:rPr>
              <w:t xml:space="preserve">, </w:t>
            </w:r>
            <w:hyperlink r:id="rId99" w:history="1">
              <w:r w:rsidR="00C526AC" w:rsidRPr="00E02972">
                <w:rPr>
                  <w:rStyle w:val="Hyperlink"/>
                  <w:rFonts w:cs="Arial"/>
                  <w:b/>
                  <w:sz w:val="16"/>
                  <w:szCs w:val="18"/>
                </w:rPr>
                <w:t>FR</w:t>
              </w:r>
            </w:hyperlink>
            <w:r w:rsidR="00C526AC" w:rsidRPr="00E02972">
              <w:rPr>
                <w:rStyle w:val="Hyperlink"/>
                <w:rFonts w:cs="Arial"/>
                <w:sz w:val="16"/>
                <w:szCs w:val="18"/>
              </w:rPr>
              <w:t>)</w:t>
            </w:r>
          </w:p>
          <w:p w:rsidR="000964BD" w:rsidRPr="00E02972" w:rsidRDefault="006C2CF1" w:rsidP="00D925E0">
            <w:pPr>
              <w:numPr>
                <w:ilvl w:val="0"/>
                <w:numId w:val="26"/>
              </w:numPr>
              <w:spacing w:before="120" w:after="120"/>
              <w:contextualSpacing/>
              <w:jc w:val="left"/>
              <w:rPr>
                <w:rFonts w:eastAsia="Times New Roman" w:cs="Arial"/>
                <w:color w:val="0000FF"/>
                <w:sz w:val="16"/>
                <w:szCs w:val="18"/>
                <w:lang w:eastAsia="en-GB"/>
              </w:rPr>
            </w:pPr>
            <w:hyperlink r:id="rId100" w:history="1">
              <w:r w:rsidR="000964BD" w:rsidRPr="00E02972">
                <w:rPr>
                  <w:rFonts w:eastAsia="Arial" w:cs="Arial"/>
                  <w:b/>
                  <w:color w:val="0000FF"/>
                  <w:sz w:val="16"/>
                  <w:szCs w:val="18"/>
                  <w:u w:val="single"/>
                  <w:lang w:eastAsia="en-GB"/>
                </w:rPr>
                <w:t>DR1</w:t>
              </w:r>
            </w:hyperlink>
            <w:r w:rsidR="000964BD" w:rsidRPr="00E02972">
              <w:rPr>
                <w:rFonts w:eastAsia="Arial" w:cs="Arial"/>
                <w:b/>
                <w:color w:val="0000FF"/>
                <w:sz w:val="16"/>
                <w:szCs w:val="18"/>
                <w:u w:val="single"/>
                <w:lang w:eastAsia="en-GB"/>
              </w:rPr>
              <w:t>( Art 64</w:t>
            </w:r>
            <w:r w:rsidR="000964BD" w:rsidRPr="00E02972">
              <w:rPr>
                <w:rFonts w:eastAsia="Arial"/>
                <w:color w:val="0000FF"/>
                <w:sz w:val="16"/>
                <w:szCs w:val="18"/>
                <w:lang w:eastAsia="en-GB"/>
              </w:rPr>
              <w:t>&amp;</w:t>
            </w:r>
            <w:hyperlink r:id="rId101" w:history="1">
              <w:r w:rsidR="000964BD" w:rsidRPr="00E02972">
                <w:rPr>
                  <w:rFonts w:eastAsia="Arial" w:cs="Arial"/>
                  <w:b/>
                  <w:color w:val="0000FF"/>
                  <w:sz w:val="16"/>
                  <w:szCs w:val="18"/>
                  <w:u w:val="single"/>
                  <w:lang w:eastAsia="en-GB"/>
                </w:rPr>
                <w:t>66</w:t>
              </w:r>
            </w:hyperlink>
            <w:r w:rsidR="000964BD" w:rsidRPr="00E02972">
              <w:rPr>
                <w:rFonts w:eastAsia="Arial" w:cs="Arial"/>
                <w:b/>
                <w:color w:val="0000FF"/>
                <w:sz w:val="16"/>
                <w:szCs w:val="18"/>
                <w:u w:val="single"/>
                <w:lang w:eastAsia="en-GB"/>
              </w:rPr>
              <w:t xml:space="preserve">) </w:t>
            </w:r>
          </w:p>
          <w:p w:rsidR="000964BD" w:rsidRPr="00E02972" w:rsidRDefault="006C2CF1" w:rsidP="00D925E0">
            <w:pPr>
              <w:numPr>
                <w:ilvl w:val="0"/>
                <w:numId w:val="26"/>
              </w:numPr>
              <w:contextualSpacing/>
              <w:rPr>
                <w:rFonts w:eastAsia="Times New Roman" w:cs="Arial"/>
                <w:b/>
                <w:color w:val="0000FF"/>
                <w:sz w:val="16"/>
                <w:szCs w:val="18"/>
                <w:lang w:eastAsia="en-GB"/>
              </w:rPr>
            </w:pPr>
            <w:hyperlink r:id="rId102" w:history="1">
              <w:r w:rsidR="000964BD" w:rsidRPr="00E02972">
                <w:rPr>
                  <w:rFonts w:eastAsia="Arial" w:cs="Arial"/>
                  <w:b/>
                  <w:color w:val="0000FF"/>
                  <w:sz w:val="16"/>
                  <w:szCs w:val="18"/>
                  <w:u w:val="single"/>
                  <w:lang w:eastAsia="en-GB"/>
                </w:rPr>
                <w:t>DR 15</w:t>
              </w:r>
            </w:hyperlink>
            <w:r w:rsidR="000964BD" w:rsidRPr="00E02972">
              <w:rPr>
                <w:rFonts w:eastAsia="Arial" w:cs="Arial"/>
                <w:b/>
                <w:color w:val="0000FF"/>
                <w:sz w:val="16"/>
                <w:szCs w:val="18"/>
                <w:u w:val="single"/>
                <w:lang w:eastAsia="en-GB"/>
              </w:rPr>
              <w:t xml:space="preserve"> (Final RTS 28)</w:t>
            </w:r>
            <w:r w:rsidR="000964BD" w:rsidRPr="00E02972">
              <w:rPr>
                <w:rFonts w:eastAsia="Arial" w:cs="Arial"/>
                <w:b/>
                <w:color w:val="0000FF"/>
                <w:sz w:val="16"/>
                <w:szCs w:val="18"/>
                <w:lang w:eastAsia="en-GB"/>
              </w:rPr>
              <w:t xml:space="preserve"> and </w:t>
            </w:r>
            <w:hyperlink r:id="rId103" w:history="1">
              <w:r w:rsidR="000964BD" w:rsidRPr="00E02972">
                <w:rPr>
                  <w:rFonts w:eastAsia="Arial" w:cs="Arial"/>
                  <w:b/>
                  <w:color w:val="0000FF"/>
                  <w:sz w:val="16"/>
                  <w:szCs w:val="18"/>
                  <w:u w:val="single"/>
                  <w:lang w:eastAsia="en-GB"/>
                </w:rPr>
                <w:t>Annexes</w:t>
              </w:r>
            </w:hyperlink>
          </w:p>
          <w:p w:rsidR="000964BD" w:rsidRPr="00E02972" w:rsidRDefault="000964BD" w:rsidP="000964BD">
            <w:pPr>
              <w:spacing w:before="120" w:after="120"/>
              <w:jc w:val="left"/>
              <w:rPr>
                <w:rFonts w:eastAsia="Times New Roman" w:cs="Arial"/>
                <w:b/>
                <w:color w:val="0000FF"/>
                <w:sz w:val="16"/>
                <w:szCs w:val="18"/>
                <w:lang w:eastAsia="en-GB"/>
              </w:rPr>
            </w:pPr>
            <w:r w:rsidRPr="00E02972">
              <w:rPr>
                <w:rFonts w:eastAsia="Arial"/>
                <w:sz w:val="16"/>
                <w:szCs w:val="18"/>
                <w:lang w:eastAsia="en-GB"/>
              </w:rPr>
              <w:t>L</w:t>
            </w:r>
            <w:r w:rsidRPr="00E02972">
              <w:rPr>
                <w:rFonts w:eastAsia="Times New Roman" w:cs="Arial"/>
                <w:sz w:val="16"/>
                <w:szCs w:val="18"/>
                <w:lang w:eastAsia="en-GB"/>
              </w:rPr>
              <w:t>3</w:t>
            </w:r>
            <w:r w:rsidRPr="00E02972">
              <w:rPr>
                <w:rFonts w:eastAsia="Times New Roman" w:cs="Arial"/>
                <w:b/>
                <w:color w:val="0000FF"/>
                <w:sz w:val="16"/>
                <w:szCs w:val="18"/>
                <w:lang w:eastAsia="en-GB"/>
              </w:rPr>
              <w:t xml:space="preserve">: </w:t>
            </w:r>
          </w:p>
          <w:p w:rsidR="00032535" w:rsidRPr="00E02972" w:rsidRDefault="006C2CF1" w:rsidP="000964BD">
            <w:pPr>
              <w:spacing w:before="240" w:after="260"/>
              <w:jc w:val="left"/>
              <w:rPr>
                <w:rFonts w:eastAsia="Times New Roman" w:cs="Arial"/>
                <w:sz w:val="16"/>
                <w:szCs w:val="18"/>
              </w:rPr>
            </w:pPr>
            <w:hyperlink r:id="rId104" w:history="1">
              <w:r w:rsidR="00494E74" w:rsidRPr="00E02972">
                <w:rPr>
                  <w:rFonts w:eastAsia="Arial" w:cs="Arial"/>
                  <w:b/>
                  <w:color w:val="0000FF"/>
                  <w:sz w:val="16"/>
                  <w:szCs w:val="18"/>
                  <w:u w:val="single"/>
                  <w:lang w:eastAsia="en-GB"/>
                </w:rPr>
                <w:t>Investor Protection Q&amp;A</w:t>
              </w:r>
            </w:hyperlink>
          </w:p>
        </w:tc>
        <w:tc>
          <w:tcPr>
            <w:tcW w:w="1213" w:type="pct"/>
            <w:tcBorders>
              <w:top w:val="single" w:sz="4" w:space="0" w:color="auto"/>
              <w:left w:val="single" w:sz="4" w:space="0" w:color="auto"/>
              <w:bottom w:val="single" w:sz="4" w:space="0" w:color="auto"/>
              <w:right w:val="single" w:sz="4" w:space="0" w:color="auto"/>
            </w:tcBorders>
          </w:tcPr>
          <w:p w:rsidR="00032535" w:rsidRPr="00E02972" w:rsidRDefault="00032535" w:rsidP="00F44B85">
            <w:pPr>
              <w:spacing w:before="240" w:after="260"/>
              <w:rPr>
                <w:rFonts w:eastAsia="Times New Roman" w:cs="Arial"/>
                <w:sz w:val="16"/>
                <w:szCs w:val="18"/>
              </w:rPr>
            </w:pPr>
            <w:r w:rsidRPr="00E02972">
              <w:rPr>
                <w:rFonts w:eastAsia="Times New Roman" w:cs="Arial"/>
                <w:sz w:val="16"/>
                <w:szCs w:val="18"/>
              </w:rPr>
              <w:t>Conduct obligations expanded to require more detailed and focussed best execution policies.</w:t>
            </w:r>
          </w:p>
          <w:p w:rsidR="00032535" w:rsidRPr="00E02972" w:rsidRDefault="00032535" w:rsidP="00F44B85">
            <w:pPr>
              <w:numPr>
                <w:ilvl w:val="0"/>
                <w:numId w:val="9"/>
              </w:numPr>
              <w:spacing w:before="240" w:after="260"/>
              <w:rPr>
                <w:rFonts w:eastAsia="Times New Roman" w:cs="Arial"/>
                <w:sz w:val="16"/>
                <w:szCs w:val="18"/>
              </w:rPr>
            </w:pPr>
            <w:r w:rsidRPr="00E02972">
              <w:rPr>
                <w:rFonts w:eastAsia="Times New Roman" w:cs="Arial"/>
                <w:sz w:val="16"/>
                <w:szCs w:val="18"/>
              </w:rPr>
              <w:t xml:space="preserve">Requirement to inform clients on which trading venue the order is executed for each class of financial instruments. </w:t>
            </w:r>
          </w:p>
          <w:p w:rsidR="00032535" w:rsidRPr="00E02972" w:rsidRDefault="00032535" w:rsidP="00F44B85">
            <w:pPr>
              <w:numPr>
                <w:ilvl w:val="0"/>
                <w:numId w:val="9"/>
              </w:numPr>
              <w:spacing w:before="240" w:after="260"/>
              <w:rPr>
                <w:rFonts w:eastAsia="Times New Roman" w:cs="Arial"/>
                <w:sz w:val="16"/>
                <w:szCs w:val="18"/>
              </w:rPr>
            </w:pPr>
            <w:r w:rsidRPr="00E02972">
              <w:rPr>
                <w:rFonts w:eastAsia="Times New Roman" w:cs="Arial"/>
                <w:sz w:val="16"/>
                <w:szCs w:val="18"/>
              </w:rPr>
              <w:t xml:space="preserve">Specific </w:t>
            </w:r>
            <w:r w:rsidR="00A457EB" w:rsidRPr="00E02972">
              <w:rPr>
                <w:rFonts w:eastAsia="Times New Roman" w:cs="Arial"/>
                <w:sz w:val="16"/>
                <w:szCs w:val="18"/>
              </w:rPr>
              <w:t xml:space="preserve">execution </w:t>
            </w:r>
            <w:r w:rsidRPr="00E02972">
              <w:rPr>
                <w:rFonts w:eastAsia="Times New Roman" w:cs="Arial"/>
                <w:sz w:val="16"/>
                <w:szCs w:val="18"/>
              </w:rPr>
              <w:t>policies required for retail clients.</w:t>
            </w:r>
          </w:p>
          <w:p w:rsidR="00032535" w:rsidRPr="00E02972" w:rsidRDefault="00032535" w:rsidP="00F44B85">
            <w:pPr>
              <w:numPr>
                <w:ilvl w:val="0"/>
                <w:numId w:val="9"/>
              </w:numPr>
              <w:spacing w:before="240" w:after="260"/>
              <w:rPr>
                <w:rFonts w:eastAsia="Times New Roman" w:cs="Arial"/>
                <w:sz w:val="16"/>
                <w:szCs w:val="18"/>
              </w:rPr>
            </w:pPr>
            <w:r w:rsidRPr="00E02972">
              <w:rPr>
                <w:rFonts w:eastAsia="Times New Roman" w:cs="Arial"/>
                <w:sz w:val="16"/>
                <w:szCs w:val="18"/>
              </w:rPr>
              <w:t>Requirement to</w:t>
            </w:r>
            <w:r w:rsidRPr="00E02972">
              <w:rPr>
                <w:rFonts w:cs="Arial"/>
                <w:sz w:val="16"/>
                <w:szCs w:val="18"/>
              </w:rPr>
              <w:t xml:space="preserve"> make available, on an annual basis, information on the “top 5” trading venues and provide information about the quality of execution obtained by those ent</w:t>
            </w:r>
            <w:r w:rsidR="00A457EB" w:rsidRPr="00E02972">
              <w:rPr>
                <w:rFonts w:cs="Arial"/>
                <w:sz w:val="16"/>
                <w:szCs w:val="18"/>
              </w:rPr>
              <w:t xml:space="preserve">ities who executed the orders. ESMA </w:t>
            </w:r>
            <w:r w:rsidR="005973D1" w:rsidRPr="00E02972">
              <w:rPr>
                <w:rFonts w:cs="Arial"/>
                <w:sz w:val="16"/>
                <w:szCs w:val="18"/>
              </w:rPr>
              <w:t xml:space="preserve">Investor Protection Q&amp;A </w:t>
            </w:r>
            <w:r w:rsidR="00A457EB" w:rsidRPr="00E02972">
              <w:rPr>
                <w:rFonts w:cs="Arial"/>
                <w:sz w:val="16"/>
                <w:szCs w:val="18"/>
              </w:rPr>
              <w:t>confirm</w:t>
            </w:r>
            <w:r w:rsidR="005973D1" w:rsidRPr="00E02972">
              <w:rPr>
                <w:rFonts w:cs="Arial"/>
                <w:sz w:val="16"/>
                <w:szCs w:val="18"/>
              </w:rPr>
              <w:t>s</w:t>
            </w:r>
            <w:r w:rsidR="00A457EB" w:rsidRPr="00E02972">
              <w:rPr>
                <w:rFonts w:cs="Arial"/>
                <w:sz w:val="16"/>
                <w:szCs w:val="18"/>
              </w:rPr>
              <w:t xml:space="preserve"> that firms will be expected to publish their first RTS 28 report in April 2018. Reports are to be kept in the public domain for 2 years.</w:t>
            </w:r>
          </w:p>
          <w:p w:rsidR="00032535" w:rsidRPr="00E02972" w:rsidRDefault="00032535" w:rsidP="00F44B85">
            <w:pPr>
              <w:numPr>
                <w:ilvl w:val="0"/>
                <w:numId w:val="9"/>
              </w:numPr>
              <w:spacing w:before="240" w:after="260"/>
              <w:rPr>
                <w:rFonts w:eastAsia="Times New Roman" w:cs="Arial"/>
                <w:sz w:val="16"/>
                <w:szCs w:val="18"/>
              </w:rPr>
            </w:pPr>
            <w:r w:rsidRPr="00E02972">
              <w:rPr>
                <w:rFonts w:cs="Arial"/>
                <w:sz w:val="16"/>
                <w:szCs w:val="18"/>
              </w:rPr>
              <w:t>Post-execution, firms will be required to disclose information in relation to the specific execution strategy employed, the procedure and process used to analyse the quality of execution should be obtained (upon clients’ request).</w:t>
            </w:r>
          </w:p>
        </w:tc>
        <w:tc>
          <w:tcPr>
            <w:tcW w:w="306" w:type="pct"/>
            <w:tcBorders>
              <w:top w:val="single" w:sz="4" w:space="0" w:color="auto"/>
              <w:left w:val="single" w:sz="4" w:space="0" w:color="auto"/>
              <w:bottom w:val="single" w:sz="4" w:space="0" w:color="auto"/>
              <w:right w:val="single" w:sz="4" w:space="0" w:color="auto"/>
            </w:tcBorders>
          </w:tcPr>
          <w:p w:rsidR="00032535" w:rsidRPr="00E02972" w:rsidRDefault="00032535" w:rsidP="00F44B85">
            <w:pPr>
              <w:pStyle w:val="ssPara1"/>
              <w:spacing w:after="0"/>
              <w:rPr>
                <w:rFonts w:cs="Arial"/>
                <w:sz w:val="16"/>
                <w:szCs w:val="18"/>
              </w:rPr>
            </w:pPr>
          </w:p>
          <w:p w:rsidR="00032535" w:rsidRPr="00E02972" w:rsidRDefault="00032535" w:rsidP="00F44B85">
            <w:pPr>
              <w:pStyle w:val="ssPara1"/>
              <w:spacing w:after="0"/>
              <w:rPr>
                <w:rFonts w:cs="Arial"/>
                <w:sz w:val="16"/>
                <w:szCs w:val="18"/>
              </w:rPr>
            </w:pPr>
            <w:r w:rsidRPr="00E02972">
              <w:rPr>
                <w:rFonts w:cs="Arial"/>
                <w:sz w:val="16"/>
                <w:szCs w:val="18"/>
              </w:rPr>
              <w:t>R</w:t>
            </w:r>
          </w:p>
          <w:p w:rsidR="00032535" w:rsidRPr="00E02972" w:rsidRDefault="00032535" w:rsidP="00F44B85">
            <w:pPr>
              <w:pStyle w:val="ssPara1"/>
              <w:spacing w:after="0"/>
              <w:rPr>
                <w:rFonts w:cs="Arial"/>
                <w:sz w:val="16"/>
                <w:szCs w:val="18"/>
              </w:rPr>
            </w:pPr>
            <w:r w:rsidRPr="00E02972">
              <w:rPr>
                <w:rFonts w:cs="Arial"/>
                <w:sz w:val="16"/>
                <w:szCs w:val="18"/>
              </w:rPr>
              <w:t>EP</w:t>
            </w:r>
          </w:p>
          <w:p w:rsidR="00032535" w:rsidRPr="00E02972" w:rsidRDefault="00032535" w:rsidP="00F44B85">
            <w:pPr>
              <w:pStyle w:val="ssPara1"/>
              <w:spacing w:after="0"/>
              <w:rPr>
                <w:rFonts w:cs="Arial"/>
                <w:sz w:val="16"/>
                <w:szCs w:val="18"/>
              </w:rPr>
            </w:pPr>
            <w:r w:rsidRPr="00E02972">
              <w:rPr>
                <w:rFonts w:cs="Arial"/>
                <w:sz w:val="16"/>
                <w:szCs w:val="18"/>
              </w:rPr>
              <w:t>PSP</w:t>
            </w:r>
          </w:p>
          <w:p w:rsidR="00032535" w:rsidRPr="00E02972" w:rsidRDefault="00032535" w:rsidP="00F44B85">
            <w:pPr>
              <w:pStyle w:val="ssPara1"/>
              <w:spacing w:before="240"/>
              <w:rPr>
                <w:rFonts w:cs="Arial"/>
                <w:i/>
                <w:sz w:val="16"/>
                <w:szCs w:val="18"/>
              </w:rPr>
            </w:pPr>
            <w:r w:rsidRPr="00E02972">
              <w:rPr>
                <w:rFonts w:cs="Arial"/>
                <w:i/>
                <w:sz w:val="16"/>
                <w:szCs w:val="18"/>
              </w:rPr>
              <w:t xml:space="preserve"> (</w:t>
            </w:r>
            <w:r w:rsidRPr="00E02972">
              <w:rPr>
                <w:rFonts w:eastAsia="Times New Roman" w:cs="Arial"/>
                <w:i/>
                <w:sz w:val="16"/>
                <w:szCs w:val="18"/>
              </w:rPr>
              <w:t>Note ECP clients may request to be treated as professional clients and be entitled to the same level of investor protection. In this case, best execution rules will apply)</w:t>
            </w:r>
          </w:p>
          <w:p w:rsidR="00032535" w:rsidRPr="00E02972" w:rsidRDefault="00032535" w:rsidP="00F44B85">
            <w:pPr>
              <w:pStyle w:val="ssPara1"/>
              <w:spacing w:before="240"/>
              <w:rPr>
                <w:rFonts w:cs="Arial"/>
                <w:sz w:val="16"/>
                <w:szCs w:val="18"/>
              </w:rPr>
            </w:pPr>
          </w:p>
        </w:tc>
        <w:tc>
          <w:tcPr>
            <w:tcW w:w="1611" w:type="pct"/>
            <w:tcBorders>
              <w:top w:val="single" w:sz="4" w:space="0" w:color="auto"/>
              <w:left w:val="single" w:sz="4" w:space="0" w:color="auto"/>
              <w:bottom w:val="single" w:sz="4" w:space="0" w:color="auto"/>
              <w:right w:val="single" w:sz="4" w:space="0" w:color="auto"/>
            </w:tcBorders>
          </w:tcPr>
          <w:p w:rsidR="00032535" w:rsidRPr="00E02972" w:rsidRDefault="00032535" w:rsidP="00F44B85">
            <w:pPr>
              <w:pStyle w:val="ssPara1"/>
              <w:numPr>
                <w:ilvl w:val="0"/>
                <w:numId w:val="9"/>
              </w:numPr>
              <w:spacing w:before="240"/>
              <w:rPr>
                <w:rFonts w:eastAsia="Times New Roman" w:cs="Arial"/>
                <w:sz w:val="16"/>
                <w:szCs w:val="18"/>
              </w:rPr>
            </w:pPr>
            <w:r w:rsidRPr="00E02972">
              <w:rPr>
                <w:rFonts w:cs="Arial"/>
                <w:bCs/>
                <w:sz w:val="16"/>
                <w:szCs w:val="18"/>
              </w:rPr>
              <w:t>Conduct</w:t>
            </w:r>
            <w:r w:rsidRPr="00E02972">
              <w:rPr>
                <w:rFonts w:eastAsia="Times New Roman" w:cs="Arial"/>
                <w:sz w:val="16"/>
                <w:szCs w:val="18"/>
              </w:rPr>
              <w:t xml:space="preserve"> a comprehensive review of existing best execution policies to be disclosed to clients.</w:t>
            </w:r>
          </w:p>
          <w:p w:rsidR="00032535" w:rsidRPr="00E02972" w:rsidRDefault="00032535" w:rsidP="00F44B85">
            <w:pPr>
              <w:pStyle w:val="ssPara1"/>
              <w:numPr>
                <w:ilvl w:val="0"/>
                <w:numId w:val="9"/>
              </w:numPr>
              <w:spacing w:before="240"/>
              <w:rPr>
                <w:rFonts w:eastAsia="Times New Roman" w:cs="Arial"/>
                <w:sz w:val="16"/>
                <w:szCs w:val="18"/>
                <w:lang w:val="en-US" w:eastAsia="en-US"/>
              </w:rPr>
            </w:pPr>
            <w:r w:rsidRPr="00E02972">
              <w:rPr>
                <w:rFonts w:cs="Arial"/>
                <w:bCs/>
                <w:sz w:val="16"/>
                <w:szCs w:val="18"/>
              </w:rPr>
              <w:t>Draft</w:t>
            </w:r>
            <w:r w:rsidRPr="00E02972">
              <w:rPr>
                <w:rFonts w:eastAsia="Times New Roman" w:cs="Arial"/>
                <w:sz w:val="16"/>
                <w:szCs w:val="18"/>
              </w:rPr>
              <w:t xml:space="preserve"> appropriate client documentation t</w:t>
            </w:r>
            <w:r w:rsidR="00A457EB" w:rsidRPr="00E02972">
              <w:rPr>
                <w:rFonts w:eastAsia="Times New Roman" w:cs="Arial"/>
                <w:sz w:val="16"/>
                <w:szCs w:val="18"/>
              </w:rPr>
              <w:t xml:space="preserve">o communicate material changes of </w:t>
            </w:r>
            <w:r w:rsidR="00F44B85" w:rsidRPr="00E02972">
              <w:rPr>
                <w:rFonts w:eastAsia="Times New Roman" w:cs="Arial"/>
                <w:sz w:val="16"/>
                <w:szCs w:val="18"/>
              </w:rPr>
              <w:t>execution policy</w:t>
            </w:r>
            <w:r w:rsidRPr="00E02972">
              <w:rPr>
                <w:rFonts w:eastAsia="Times New Roman" w:cs="Arial"/>
                <w:sz w:val="16"/>
                <w:szCs w:val="18"/>
              </w:rPr>
              <w:t xml:space="preserve"> to clients</w:t>
            </w:r>
            <w:r w:rsidR="00A457EB" w:rsidRPr="00E02972">
              <w:rPr>
                <w:rFonts w:eastAsia="Times New Roman" w:cs="Arial"/>
                <w:sz w:val="16"/>
                <w:szCs w:val="18"/>
              </w:rPr>
              <w:t xml:space="preserve"> and how information/reports will be provided</w:t>
            </w:r>
            <w:r w:rsidR="00F44B85" w:rsidRPr="00E02972">
              <w:rPr>
                <w:rFonts w:eastAsia="Times New Roman" w:cs="Arial"/>
                <w:sz w:val="16"/>
                <w:szCs w:val="18"/>
              </w:rPr>
              <w:t>...</w:t>
            </w:r>
          </w:p>
          <w:p w:rsidR="00032535" w:rsidRPr="00E02972" w:rsidRDefault="00032535" w:rsidP="00F44B85">
            <w:pPr>
              <w:pStyle w:val="ssPara1"/>
              <w:numPr>
                <w:ilvl w:val="0"/>
                <w:numId w:val="9"/>
              </w:numPr>
              <w:spacing w:before="240"/>
              <w:rPr>
                <w:rFonts w:eastAsia="Times New Roman" w:cs="Arial"/>
                <w:sz w:val="16"/>
                <w:szCs w:val="18"/>
                <w:lang w:val="en-US" w:eastAsia="en-US"/>
              </w:rPr>
            </w:pPr>
            <w:r w:rsidRPr="00E02972">
              <w:rPr>
                <w:rFonts w:cs="Arial"/>
                <w:bCs/>
                <w:sz w:val="16"/>
                <w:szCs w:val="18"/>
              </w:rPr>
              <w:t>Draft</w:t>
            </w:r>
            <w:r w:rsidRPr="00E02972">
              <w:rPr>
                <w:rFonts w:eastAsia="Times New Roman" w:cs="Arial"/>
                <w:sz w:val="16"/>
                <w:szCs w:val="18"/>
              </w:rPr>
              <w:t xml:space="preserve"> specific </w:t>
            </w:r>
            <w:r w:rsidR="00A457EB" w:rsidRPr="00E02972">
              <w:rPr>
                <w:rFonts w:eastAsia="Times New Roman" w:cs="Arial"/>
                <w:sz w:val="16"/>
                <w:szCs w:val="18"/>
              </w:rPr>
              <w:t xml:space="preserve">execution </w:t>
            </w:r>
            <w:r w:rsidRPr="00E02972">
              <w:rPr>
                <w:rFonts w:eastAsia="Times New Roman" w:cs="Arial"/>
                <w:sz w:val="16"/>
                <w:szCs w:val="18"/>
              </w:rPr>
              <w:t>policies for retail clients.</w:t>
            </w:r>
          </w:p>
          <w:p w:rsidR="00032535" w:rsidRPr="00E02972" w:rsidRDefault="00A457EB" w:rsidP="00F44B85">
            <w:pPr>
              <w:pStyle w:val="ssPara1"/>
              <w:numPr>
                <w:ilvl w:val="0"/>
                <w:numId w:val="9"/>
              </w:numPr>
              <w:spacing w:before="240"/>
              <w:rPr>
                <w:rFonts w:eastAsia="Times New Roman" w:cs="Arial"/>
                <w:sz w:val="16"/>
                <w:szCs w:val="18"/>
                <w:lang w:val="en-US" w:eastAsia="en-US"/>
              </w:rPr>
            </w:pPr>
            <w:r w:rsidRPr="00E02972">
              <w:rPr>
                <w:rFonts w:eastAsia="Times New Roman" w:cs="Arial"/>
                <w:sz w:val="16"/>
                <w:szCs w:val="18"/>
              </w:rPr>
              <w:t>Prepare</w:t>
            </w:r>
            <w:r w:rsidR="00032535" w:rsidRPr="00E02972">
              <w:rPr>
                <w:rFonts w:eastAsia="Times New Roman" w:cs="Arial"/>
                <w:sz w:val="16"/>
                <w:szCs w:val="18"/>
              </w:rPr>
              <w:t xml:space="preserve"> disclosure template</w:t>
            </w:r>
            <w:r w:rsidRPr="00E02972">
              <w:rPr>
                <w:rFonts w:eastAsia="Times New Roman" w:cs="Arial"/>
                <w:sz w:val="16"/>
                <w:szCs w:val="18"/>
              </w:rPr>
              <w:t xml:space="preserve"> (based on RTS 28) to disclose </w:t>
            </w:r>
            <w:r w:rsidR="00032535" w:rsidRPr="00E02972">
              <w:rPr>
                <w:rFonts w:cs="Arial"/>
                <w:sz w:val="16"/>
                <w:szCs w:val="18"/>
              </w:rPr>
              <w:t xml:space="preserve">on an annual basis, information on the “top 5” trading venues and </w:t>
            </w:r>
            <w:r w:rsidR="00032535" w:rsidRPr="00E02972">
              <w:rPr>
                <w:rFonts w:cs="Arial"/>
                <w:bCs/>
                <w:sz w:val="16"/>
                <w:szCs w:val="18"/>
              </w:rPr>
              <w:t>provide</w:t>
            </w:r>
            <w:r w:rsidR="00032535" w:rsidRPr="00E02972">
              <w:rPr>
                <w:rFonts w:cs="Arial"/>
                <w:sz w:val="16"/>
                <w:szCs w:val="18"/>
              </w:rPr>
              <w:t xml:space="preserve"> information about the quality of execution obtained by those entities who executed the orders.  </w:t>
            </w:r>
            <w:r w:rsidR="00032535" w:rsidRPr="00E02972">
              <w:rPr>
                <w:rFonts w:eastAsia="Times New Roman" w:cs="Arial"/>
                <w:sz w:val="16"/>
                <w:szCs w:val="18"/>
              </w:rPr>
              <w:t xml:space="preserve"> </w:t>
            </w:r>
          </w:p>
        </w:tc>
        <w:tc>
          <w:tcPr>
            <w:tcW w:w="625" w:type="pct"/>
            <w:tcBorders>
              <w:top w:val="single" w:sz="4" w:space="0" w:color="auto"/>
              <w:left w:val="single" w:sz="4" w:space="0" w:color="auto"/>
              <w:bottom w:val="single" w:sz="4" w:space="0" w:color="auto"/>
              <w:right w:val="single" w:sz="4" w:space="0" w:color="auto"/>
            </w:tcBorders>
          </w:tcPr>
          <w:p w:rsidR="00032535" w:rsidRPr="00E02972" w:rsidRDefault="00A457EB" w:rsidP="006E3A87">
            <w:pPr>
              <w:numPr>
                <w:ilvl w:val="0"/>
                <w:numId w:val="9"/>
              </w:numPr>
              <w:spacing w:before="240" w:after="260"/>
              <w:jc w:val="left"/>
              <w:rPr>
                <w:rFonts w:eastAsia="Times New Roman" w:cs="Arial"/>
                <w:sz w:val="16"/>
                <w:szCs w:val="18"/>
              </w:rPr>
            </w:pPr>
            <w:r w:rsidRPr="00E02972">
              <w:rPr>
                <w:rFonts w:eastAsia="Times New Roman" w:cs="Arial"/>
                <w:sz w:val="16"/>
                <w:szCs w:val="18"/>
              </w:rPr>
              <w:t>Best execution policy.</w:t>
            </w:r>
          </w:p>
          <w:p w:rsidR="00A457EB" w:rsidRPr="00E02972" w:rsidRDefault="00A457EB" w:rsidP="006E3A87">
            <w:pPr>
              <w:numPr>
                <w:ilvl w:val="0"/>
                <w:numId w:val="9"/>
              </w:numPr>
              <w:spacing w:before="240" w:after="260"/>
              <w:jc w:val="left"/>
              <w:rPr>
                <w:rFonts w:eastAsia="Times New Roman" w:cs="Arial"/>
                <w:sz w:val="16"/>
                <w:szCs w:val="18"/>
              </w:rPr>
            </w:pPr>
            <w:r w:rsidRPr="00E02972">
              <w:rPr>
                <w:rFonts w:eastAsia="Times New Roman" w:cs="Arial"/>
                <w:sz w:val="16"/>
                <w:szCs w:val="18"/>
              </w:rPr>
              <w:t xml:space="preserve">Client Agreements or Terms of Business. </w:t>
            </w:r>
          </w:p>
          <w:p w:rsidR="00A457EB" w:rsidRPr="00E02972" w:rsidRDefault="00A457EB" w:rsidP="00A457EB">
            <w:pPr>
              <w:numPr>
                <w:ilvl w:val="0"/>
                <w:numId w:val="9"/>
              </w:numPr>
              <w:spacing w:before="240" w:after="260"/>
              <w:jc w:val="left"/>
              <w:rPr>
                <w:rFonts w:eastAsia="Times New Roman" w:cs="Arial"/>
                <w:sz w:val="16"/>
                <w:szCs w:val="18"/>
              </w:rPr>
            </w:pPr>
            <w:r w:rsidRPr="00E02972">
              <w:rPr>
                <w:rFonts w:eastAsia="Times New Roman" w:cs="Arial"/>
                <w:sz w:val="16"/>
                <w:szCs w:val="18"/>
              </w:rPr>
              <w:t>Execution policy for retail client.</w:t>
            </w:r>
          </w:p>
          <w:p w:rsidR="00A457EB" w:rsidRPr="00E02972" w:rsidRDefault="00A457EB" w:rsidP="00A457EB">
            <w:pPr>
              <w:numPr>
                <w:ilvl w:val="0"/>
                <w:numId w:val="9"/>
              </w:numPr>
              <w:spacing w:before="240" w:after="260"/>
              <w:rPr>
                <w:rFonts w:eastAsia="Times New Roman" w:cs="Arial"/>
                <w:sz w:val="16"/>
                <w:szCs w:val="18"/>
              </w:rPr>
            </w:pPr>
            <w:r w:rsidRPr="00E02972">
              <w:rPr>
                <w:rFonts w:eastAsia="Times New Roman" w:cs="Arial"/>
                <w:sz w:val="16"/>
                <w:szCs w:val="18"/>
              </w:rPr>
              <w:t>Top 5 disclosure template (</w:t>
            </w:r>
            <w:r w:rsidRPr="00E02972">
              <w:rPr>
                <w:rFonts w:cs="Arial"/>
                <w:sz w:val="16"/>
                <w:szCs w:val="18"/>
              </w:rPr>
              <w:t xml:space="preserve">Detail/ Format/template to be used set out in </w:t>
            </w:r>
            <w:hyperlink r:id="rId105" w:history="1">
              <w:r w:rsidRPr="00E02972">
                <w:rPr>
                  <w:rStyle w:val="Hyperlink"/>
                  <w:rFonts w:cs="Arial"/>
                  <w:sz w:val="16"/>
                  <w:szCs w:val="18"/>
                </w:rPr>
                <w:t>DR 15 (Final RTS 28)</w:t>
              </w:r>
            </w:hyperlink>
            <w:r w:rsidRPr="00E02972">
              <w:rPr>
                <w:rFonts w:cs="Arial"/>
                <w:sz w:val="16"/>
                <w:szCs w:val="18"/>
              </w:rPr>
              <w:t xml:space="preserve"> and </w:t>
            </w:r>
            <w:hyperlink r:id="rId106" w:history="1">
              <w:r w:rsidRPr="00E02972">
                <w:rPr>
                  <w:rStyle w:val="Hyperlink"/>
                  <w:rFonts w:cs="Arial"/>
                  <w:sz w:val="16"/>
                  <w:szCs w:val="18"/>
                </w:rPr>
                <w:t>Annexes</w:t>
              </w:r>
            </w:hyperlink>
            <w:r w:rsidRPr="00E02972">
              <w:rPr>
                <w:rFonts w:cs="Arial"/>
                <w:sz w:val="16"/>
                <w:szCs w:val="18"/>
              </w:rPr>
              <w:t xml:space="preserve">) </w:t>
            </w:r>
            <w:r w:rsidR="00486A01" w:rsidRPr="00E02972">
              <w:rPr>
                <w:rFonts w:cs="Arial"/>
                <w:sz w:val="16"/>
                <w:szCs w:val="18"/>
              </w:rPr>
              <w:t>t</w:t>
            </w:r>
            <w:r w:rsidRPr="00E02972">
              <w:rPr>
                <w:rFonts w:cs="Arial"/>
                <w:sz w:val="16"/>
                <w:szCs w:val="18"/>
              </w:rPr>
              <w:t>o be published on websites in machine readable electronic format available for download.</w:t>
            </w:r>
          </w:p>
        </w:tc>
        <w:tc>
          <w:tcPr>
            <w:tcW w:w="416" w:type="pct"/>
            <w:tcBorders>
              <w:top w:val="single" w:sz="4" w:space="0" w:color="auto"/>
              <w:left w:val="single" w:sz="4" w:space="0" w:color="auto"/>
              <w:bottom w:val="single" w:sz="4" w:space="0" w:color="auto"/>
              <w:right w:val="single" w:sz="4" w:space="0" w:color="auto"/>
            </w:tcBorders>
          </w:tcPr>
          <w:p w:rsidR="00032535" w:rsidRPr="00E02972" w:rsidRDefault="00032535" w:rsidP="00F44B85">
            <w:pPr>
              <w:spacing w:before="240" w:after="260"/>
              <w:rPr>
                <w:rFonts w:eastAsia="Times New Roman" w:cs="Arial"/>
                <w:sz w:val="16"/>
                <w:szCs w:val="18"/>
              </w:rPr>
            </w:pPr>
            <w:r w:rsidRPr="00E02972">
              <w:rPr>
                <w:rFonts w:eastAsia="Times New Roman" w:cs="Arial"/>
                <w:sz w:val="16"/>
                <w:szCs w:val="18"/>
              </w:rPr>
              <w:t>Prior express consent required from clients with regards to execution policy (existing requirement under MiFID).</w:t>
            </w:r>
          </w:p>
          <w:p w:rsidR="00032535" w:rsidRPr="00E02972" w:rsidRDefault="00032535" w:rsidP="00F44B85">
            <w:pPr>
              <w:spacing w:before="240" w:after="260"/>
              <w:rPr>
                <w:rFonts w:eastAsia="Times New Roman" w:cs="Arial"/>
                <w:sz w:val="16"/>
                <w:szCs w:val="18"/>
              </w:rPr>
            </w:pPr>
            <w:r w:rsidRPr="00E02972">
              <w:rPr>
                <w:rFonts w:eastAsia="Times New Roman" w:cs="Arial"/>
                <w:sz w:val="16"/>
                <w:szCs w:val="18"/>
              </w:rPr>
              <w:t xml:space="preserve">Requirement to disclose the </w:t>
            </w:r>
            <w:r w:rsidRPr="00E02972">
              <w:rPr>
                <w:rFonts w:cs="Arial"/>
                <w:sz w:val="16"/>
                <w:szCs w:val="18"/>
              </w:rPr>
              <w:t xml:space="preserve">top 5” trading venues and </w:t>
            </w:r>
            <w:r w:rsidRPr="00E02972">
              <w:rPr>
                <w:rFonts w:cs="Arial"/>
                <w:bCs/>
                <w:sz w:val="16"/>
                <w:szCs w:val="18"/>
              </w:rPr>
              <w:t>provide</w:t>
            </w:r>
            <w:r w:rsidRPr="00E02972">
              <w:rPr>
                <w:rFonts w:cs="Arial"/>
                <w:sz w:val="16"/>
                <w:szCs w:val="18"/>
              </w:rPr>
              <w:t xml:space="preserve"> information about the quality of execution obtained by those entities who executed the orders.</w:t>
            </w:r>
          </w:p>
          <w:p w:rsidR="00032535" w:rsidRPr="00E02972" w:rsidRDefault="00032535" w:rsidP="00F44B85">
            <w:pPr>
              <w:spacing w:before="240" w:after="260"/>
              <w:rPr>
                <w:rFonts w:eastAsia="Times New Roman" w:cs="Arial"/>
                <w:sz w:val="16"/>
                <w:szCs w:val="18"/>
              </w:rPr>
            </w:pPr>
          </w:p>
        </w:tc>
      </w:tr>
      <w:tr w:rsidR="00032535" w:rsidRPr="00E02972" w:rsidTr="00F44B85">
        <w:tc>
          <w:tcPr>
            <w:tcW w:w="455" w:type="pct"/>
            <w:tcBorders>
              <w:top w:val="single" w:sz="4" w:space="0" w:color="auto"/>
              <w:left w:val="single" w:sz="4" w:space="0" w:color="auto"/>
              <w:bottom w:val="single" w:sz="4" w:space="0" w:color="auto"/>
              <w:right w:val="single" w:sz="4" w:space="0" w:color="auto"/>
            </w:tcBorders>
            <w:shd w:val="clear" w:color="auto" w:fill="69889A"/>
          </w:tcPr>
          <w:p w:rsidR="00032535" w:rsidRPr="00E02972" w:rsidRDefault="00032535" w:rsidP="005B7288">
            <w:pPr>
              <w:spacing w:before="120" w:after="120"/>
              <w:jc w:val="left"/>
              <w:rPr>
                <w:rFonts w:eastAsia="Times New Roman" w:cs="Arial"/>
                <w:b/>
                <w:bCs/>
                <w:color w:val="FFFFFF" w:themeColor="background1"/>
                <w:sz w:val="16"/>
                <w:szCs w:val="18"/>
                <w:lang w:eastAsia="en-GB"/>
              </w:rPr>
            </w:pPr>
            <w:r w:rsidRPr="00E02972">
              <w:rPr>
                <w:rFonts w:eastAsia="Times New Roman" w:cs="Arial"/>
                <w:b/>
                <w:bCs/>
                <w:color w:val="FFFFFF" w:themeColor="background1"/>
                <w:sz w:val="16"/>
                <w:szCs w:val="18"/>
                <w:lang w:eastAsia="en-GB"/>
              </w:rPr>
              <w:t>INDUCEMENTS</w:t>
            </w:r>
          </w:p>
        </w:tc>
        <w:tc>
          <w:tcPr>
            <w:tcW w:w="374" w:type="pct"/>
            <w:tcBorders>
              <w:top w:val="single" w:sz="4" w:space="0" w:color="auto"/>
              <w:left w:val="single" w:sz="4" w:space="0" w:color="auto"/>
              <w:bottom w:val="single" w:sz="4" w:space="0" w:color="auto"/>
              <w:right w:val="single" w:sz="4" w:space="0" w:color="auto"/>
            </w:tcBorders>
          </w:tcPr>
          <w:p w:rsidR="006D10F0" w:rsidRPr="00E02972" w:rsidRDefault="006C2CF1" w:rsidP="006D10F0">
            <w:pPr>
              <w:spacing w:before="120" w:after="120"/>
              <w:jc w:val="left"/>
              <w:rPr>
                <w:rFonts w:eastAsia="Times New Roman" w:cs="Arial"/>
                <w:sz w:val="16"/>
                <w:szCs w:val="18"/>
                <w:lang w:val="de-DE"/>
              </w:rPr>
            </w:pPr>
            <w:hyperlink r:id="rId107" w:history="1">
              <w:r w:rsidR="006D10F0" w:rsidRPr="00E02972">
                <w:rPr>
                  <w:rStyle w:val="Hyperlink"/>
                  <w:rFonts w:cs="Arial"/>
                  <w:sz w:val="16"/>
                  <w:szCs w:val="18"/>
                  <w:lang w:val="de-DE"/>
                </w:rPr>
                <w:t>D</w:t>
              </w:r>
            </w:hyperlink>
            <w:r w:rsidR="006D10F0" w:rsidRPr="00E02972">
              <w:rPr>
                <w:rFonts w:cs="Arial"/>
                <w:sz w:val="16"/>
                <w:szCs w:val="18"/>
                <w:lang w:val="de-DE"/>
              </w:rPr>
              <w:t xml:space="preserve"> </w:t>
            </w:r>
            <w:r w:rsidR="006D10F0" w:rsidRPr="00E02972">
              <w:rPr>
                <w:rFonts w:eastAsia="Times New Roman" w:cs="Arial"/>
                <w:sz w:val="16"/>
                <w:szCs w:val="18"/>
                <w:lang w:val="de-DE"/>
              </w:rPr>
              <w:t xml:space="preserve"> Art 24(7)-(12)</w:t>
            </w:r>
          </w:p>
          <w:p w:rsidR="006D10F0" w:rsidRPr="00E02972" w:rsidRDefault="006D10F0" w:rsidP="006D10F0">
            <w:pPr>
              <w:spacing w:before="120" w:after="120"/>
              <w:jc w:val="left"/>
              <w:rPr>
                <w:rFonts w:cs="Arial"/>
                <w:sz w:val="16"/>
                <w:szCs w:val="18"/>
                <w:lang w:val="de-DE"/>
              </w:rPr>
            </w:pPr>
            <w:r w:rsidRPr="00E02972">
              <w:rPr>
                <w:rFonts w:cs="Arial"/>
                <w:sz w:val="16"/>
                <w:szCs w:val="18"/>
                <w:lang w:val="de-DE"/>
              </w:rPr>
              <w:t>L2: (</w:t>
            </w:r>
            <w:hyperlink r:id="rId108" w:history="1">
              <w:hyperlink r:id="rId109" w:history="1">
                <w:r w:rsidRPr="00E02972">
                  <w:rPr>
                    <w:rStyle w:val="Hyperlink"/>
                    <w:rFonts w:cs="Arial"/>
                    <w:sz w:val="16"/>
                    <w:szCs w:val="18"/>
                    <w:lang w:val="de-DE"/>
                  </w:rPr>
                  <w:t>CP1</w:t>
                </w:r>
              </w:hyperlink>
            </w:hyperlink>
            <w:r w:rsidRPr="00E02972">
              <w:rPr>
                <w:rFonts w:cs="Arial"/>
                <w:b/>
                <w:sz w:val="16"/>
                <w:szCs w:val="18"/>
                <w:lang w:val="de-DE"/>
              </w:rPr>
              <w:t xml:space="preserve">, </w:t>
            </w:r>
            <w:hyperlink r:id="rId110" w:history="1">
              <w:r w:rsidRPr="00E02972">
                <w:rPr>
                  <w:rStyle w:val="Hyperlink"/>
                  <w:rFonts w:cs="Arial"/>
                  <w:sz w:val="16"/>
                  <w:szCs w:val="18"/>
                  <w:lang w:val="de-DE"/>
                </w:rPr>
                <w:t>FR</w:t>
              </w:r>
            </w:hyperlink>
            <w:r w:rsidRPr="00E02972">
              <w:rPr>
                <w:rFonts w:cs="Arial"/>
                <w:sz w:val="16"/>
                <w:szCs w:val="18"/>
              </w:rPr>
              <w:t>)</w:t>
            </w:r>
            <w:r w:rsidRPr="00E02972">
              <w:rPr>
                <w:rFonts w:cs="Arial"/>
                <w:sz w:val="16"/>
                <w:szCs w:val="18"/>
                <w:lang w:val="de-DE"/>
              </w:rPr>
              <w:t xml:space="preserve"> </w:t>
            </w:r>
          </w:p>
          <w:p w:rsidR="006D10F0" w:rsidRPr="00E02972" w:rsidRDefault="006C2CF1" w:rsidP="00D925E0">
            <w:pPr>
              <w:pStyle w:val="ListParagraph"/>
              <w:numPr>
                <w:ilvl w:val="0"/>
                <w:numId w:val="26"/>
              </w:numPr>
              <w:spacing w:before="120" w:after="120" w:line="240" w:lineRule="auto"/>
              <w:rPr>
                <w:rStyle w:val="Hyperlink"/>
                <w:rFonts w:ascii="Arial" w:hAnsi="Arial" w:cs="Arial"/>
                <w:color w:val="0000FF"/>
                <w:sz w:val="16"/>
                <w:szCs w:val="18"/>
                <w:lang w:val="de-DE"/>
              </w:rPr>
            </w:pPr>
            <w:hyperlink r:id="rId111" w:history="1">
              <w:r w:rsidR="006D10F0" w:rsidRPr="00E02972">
                <w:rPr>
                  <w:rStyle w:val="Hyperlink"/>
                  <w:rFonts w:ascii="Arial" w:hAnsi="Arial" w:cs="Arial"/>
                  <w:color w:val="0000FF"/>
                  <w:sz w:val="16"/>
                  <w:szCs w:val="18"/>
                </w:rPr>
                <w:t>DA1</w:t>
              </w:r>
            </w:hyperlink>
            <w:r w:rsidR="00C526AC" w:rsidRPr="00E02972">
              <w:rPr>
                <w:rStyle w:val="Hyperlink"/>
                <w:rFonts w:ascii="Arial" w:hAnsi="Arial" w:cs="Arial"/>
                <w:b/>
                <w:color w:val="0000FF"/>
                <w:sz w:val="16"/>
                <w:szCs w:val="18"/>
                <w:lang w:val="de-DE"/>
              </w:rPr>
              <w:t>(</w:t>
            </w:r>
            <w:r w:rsidR="006D10F0" w:rsidRPr="00E02972">
              <w:rPr>
                <w:rStyle w:val="Hyperlink"/>
                <w:rFonts w:ascii="Arial" w:hAnsi="Arial" w:cs="Arial"/>
                <w:b/>
                <w:color w:val="0000FF"/>
                <w:sz w:val="16"/>
                <w:szCs w:val="18"/>
                <w:lang w:val="de-DE"/>
              </w:rPr>
              <w:t>Art 11-13</w:t>
            </w:r>
            <w:r w:rsidR="006D10F0" w:rsidRPr="00E02972">
              <w:rPr>
                <w:rStyle w:val="Hyperlink"/>
                <w:rFonts w:ascii="Arial" w:hAnsi="Arial" w:cs="Arial"/>
                <w:color w:val="0000FF"/>
                <w:sz w:val="16"/>
                <w:szCs w:val="18"/>
                <w:lang w:val="de-DE"/>
              </w:rPr>
              <w:t>)</w:t>
            </w:r>
          </w:p>
          <w:p w:rsidR="006D10F0" w:rsidRPr="00E02972" w:rsidRDefault="006D10F0" w:rsidP="006D10F0">
            <w:pPr>
              <w:spacing w:before="120" w:after="120"/>
              <w:jc w:val="left"/>
              <w:rPr>
                <w:rStyle w:val="Hyperlink"/>
                <w:rFonts w:cs="Arial"/>
                <w:b/>
                <w:sz w:val="16"/>
                <w:szCs w:val="18"/>
              </w:rPr>
            </w:pPr>
            <w:r w:rsidRPr="00E02972">
              <w:rPr>
                <w:rStyle w:val="Hyperlink"/>
                <w:rFonts w:cs="Arial"/>
                <w:b/>
                <w:sz w:val="16"/>
                <w:szCs w:val="18"/>
              </w:rPr>
              <w:t xml:space="preserve">L3: </w:t>
            </w:r>
          </w:p>
          <w:p w:rsidR="00032535" w:rsidRPr="00E02972" w:rsidRDefault="006C2CF1" w:rsidP="00D925E0">
            <w:pPr>
              <w:numPr>
                <w:ilvl w:val="0"/>
                <w:numId w:val="41"/>
              </w:numPr>
              <w:spacing w:before="240" w:after="260"/>
              <w:jc w:val="left"/>
              <w:rPr>
                <w:rFonts w:eastAsia="Times New Roman" w:cs="Arial"/>
                <w:sz w:val="16"/>
                <w:szCs w:val="18"/>
              </w:rPr>
            </w:pPr>
            <w:hyperlink r:id="rId112" w:history="1">
              <w:r w:rsidR="00494E74" w:rsidRPr="00E02972">
                <w:rPr>
                  <w:rFonts w:eastAsia="Arial" w:cs="Arial"/>
                  <w:b/>
                  <w:color w:val="0000FF"/>
                  <w:sz w:val="16"/>
                  <w:szCs w:val="18"/>
                  <w:u w:val="single"/>
                  <w:lang w:eastAsia="en-GB"/>
                </w:rPr>
                <w:t>Investor Protection Q&amp;A</w:t>
              </w:r>
            </w:hyperlink>
          </w:p>
        </w:tc>
        <w:tc>
          <w:tcPr>
            <w:tcW w:w="1213" w:type="pct"/>
            <w:tcBorders>
              <w:top w:val="single" w:sz="4" w:space="0" w:color="auto"/>
              <w:left w:val="single" w:sz="4" w:space="0" w:color="auto"/>
              <w:bottom w:val="single" w:sz="4" w:space="0" w:color="auto"/>
              <w:right w:val="single" w:sz="4" w:space="0" w:color="auto"/>
            </w:tcBorders>
          </w:tcPr>
          <w:p w:rsidR="00032535" w:rsidRPr="00E02972" w:rsidRDefault="00032535" w:rsidP="00F44B85">
            <w:pPr>
              <w:pStyle w:val="ssPara1"/>
              <w:spacing w:before="240"/>
              <w:rPr>
                <w:rFonts w:cs="Arial"/>
                <w:sz w:val="16"/>
                <w:szCs w:val="18"/>
              </w:rPr>
            </w:pPr>
            <w:r w:rsidRPr="00E02972">
              <w:rPr>
                <w:rFonts w:cs="Arial"/>
                <w:sz w:val="16"/>
                <w:szCs w:val="18"/>
                <w:lang w:val="en-US"/>
              </w:rPr>
              <w:t>MiFID2 will significantly change the rules on inducements and paying for research. These changes include:</w:t>
            </w:r>
          </w:p>
          <w:p w:rsidR="00032535" w:rsidRPr="00E02972" w:rsidRDefault="00032535" w:rsidP="00F44B85">
            <w:pPr>
              <w:pStyle w:val="ssPara1"/>
              <w:numPr>
                <w:ilvl w:val="0"/>
                <w:numId w:val="9"/>
              </w:numPr>
              <w:spacing w:before="240"/>
              <w:rPr>
                <w:rFonts w:cs="Arial"/>
                <w:sz w:val="16"/>
                <w:szCs w:val="18"/>
                <w:lang w:val="en-US"/>
              </w:rPr>
            </w:pPr>
            <w:r w:rsidRPr="00E02972">
              <w:rPr>
                <w:rFonts w:cs="Arial"/>
                <w:sz w:val="16"/>
                <w:szCs w:val="18"/>
                <w:lang w:val="en-US"/>
              </w:rPr>
              <w:t xml:space="preserve">Minor non-monetary benefit exemption significantly </w:t>
            </w:r>
            <w:r w:rsidRPr="00E02972">
              <w:rPr>
                <w:rFonts w:eastAsia="Times New Roman" w:cs="Arial"/>
                <w:sz w:val="16"/>
                <w:szCs w:val="18"/>
              </w:rPr>
              <w:t>narrowed</w:t>
            </w:r>
            <w:r w:rsidRPr="00E02972">
              <w:rPr>
                <w:rFonts w:cs="Arial"/>
                <w:sz w:val="16"/>
                <w:szCs w:val="18"/>
                <w:lang w:val="en-US"/>
              </w:rPr>
              <w:t>;</w:t>
            </w:r>
          </w:p>
          <w:p w:rsidR="00032535" w:rsidRPr="00E02972" w:rsidRDefault="00032535" w:rsidP="00F44B85">
            <w:pPr>
              <w:pStyle w:val="ssPara1"/>
              <w:numPr>
                <w:ilvl w:val="0"/>
                <w:numId w:val="9"/>
              </w:numPr>
              <w:spacing w:before="240"/>
              <w:rPr>
                <w:rFonts w:cs="Arial"/>
                <w:sz w:val="16"/>
                <w:szCs w:val="18"/>
                <w:lang w:val="en-US"/>
              </w:rPr>
            </w:pPr>
            <w:r w:rsidRPr="00E02972">
              <w:rPr>
                <w:rFonts w:cs="Arial"/>
                <w:sz w:val="16"/>
                <w:szCs w:val="18"/>
                <w:lang w:val="en-US"/>
              </w:rPr>
              <w:t>Specific quality enhancement criteria</w:t>
            </w:r>
            <w:r w:rsidR="006D10F0" w:rsidRPr="00E02972">
              <w:rPr>
                <w:rFonts w:cs="Arial"/>
                <w:sz w:val="16"/>
                <w:szCs w:val="18"/>
                <w:lang w:val="en-US"/>
              </w:rPr>
              <w:t>;</w:t>
            </w:r>
          </w:p>
          <w:p w:rsidR="00032535" w:rsidRPr="00E02972" w:rsidRDefault="00032535" w:rsidP="00F44B85">
            <w:pPr>
              <w:pStyle w:val="ssPara1"/>
              <w:numPr>
                <w:ilvl w:val="0"/>
                <w:numId w:val="9"/>
              </w:numPr>
              <w:spacing w:before="240"/>
              <w:rPr>
                <w:rFonts w:cs="Arial"/>
                <w:sz w:val="16"/>
                <w:szCs w:val="18"/>
                <w:lang w:val="en-US"/>
              </w:rPr>
            </w:pPr>
            <w:r w:rsidRPr="00E02972">
              <w:rPr>
                <w:rFonts w:eastAsia="Times New Roman" w:cs="Arial"/>
                <w:sz w:val="16"/>
                <w:szCs w:val="18"/>
              </w:rPr>
              <w:t>Introduction</w:t>
            </w:r>
            <w:r w:rsidRPr="00E02972">
              <w:rPr>
                <w:rFonts w:cs="Arial"/>
                <w:sz w:val="16"/>
                <w:szCs w:val="18"/>
                <w:lang w:val="en-US"/>
              </w:rPr>
              <w:t xml:space="preserve"> of a clear disclosure obligations</w:t>
            </w:r>
            <w:r w:rsidR="006D10F0" w:rsidRPr="00E02972">
              <w:rPr>
                <w:rFonts w:cs="Arial"/>
                <w:sz w:val="16"/>
                <w:szCs w:val="18"/>
                <w:lang w:val="en-US"/>
              </w:rPr>
              <w:t xml:space="preserve"> to clients</w:t>
            </w:r>
            <w:r w:rsidRPr="00E02972">
              <w:rPr>
                <w:rFonts w:cs="Arial"/>
                <w:sz w:val="16"/>
                <w:szCs w:val="18"/>
                <w:lang w:val="en-US"/>
              </w:rPr>
              <w:t>;</w:t>
            </w:r>
          </w:p>
          <w:p w:rsidR="00032535" w:rsidRPr="00E02972" w:rsidRDefault="00032535" w:rsidP="00F44B85">
            <w:pPr>
              <w:pStyle w:val="ssPara1"/>
              <w:numPr>
                <w:ilvl w:val="0"/>
                <w:numId w:val="9"/>
              </w:numPr>
              <w:spacing w:before="240"/>
              <w:rPr>
                <w:rFonts w:cs="Arial"/>
                <w:sz w:val="16"/>
                <w:szCs w:val="18"/>
                <w:lang w:val="en-US"/>
              </w:rPr>
            </w:pPr>
            <w:r w:rsidRPr="00E02972">
              <w:rPr>
                <w:rFonts w:cs="Arial"/>
                <w:sz w:val="16"/>
                <w:szCs w:val="18"/>
                <w:lang w:val="en-US"/>
              </w:rPr>
              <w:t xml:space="preserve">Specific requirements if setting up research payment account </w:t>
            </w:r>
            <w:r w:rsidRPr="00E02972">
              <w:rPr>
                <w:rFonts w:cs="Arial"/>
                <w:sz w:val="16"/>
                <w:szCs w:val="18"/>
                <w:lang w:val="en-US"/>
              </w:rPr>
              <w:lastRenderedPageBreak/>
              <w:t>(RPA’s). and prior agreement required from clients for use of RPA’s</w:t>
            </w:r>
          </w:p>
          <w:p w:rsidR="00032535" w:rsidRPr="00E02972" w:rsidRDefault="00032535" w:rsidP="00F44B85">
            <w:pPr>
              <w:pStyle w:val="ssPara1"/>
              <w:spacing w:before="240"/>
              <w:rPr>
                <w:rFonts w:cs="Arial"/>
                <w:sz w:val="16"/>
                <w:szCs w:val="18"/>
                <w:lang w:val="en-US"/>
              </w:rPr>
            </w:pPr>
          </w:p>
        </w:tc>
        <w:tc>
          <w:tcPr>
            <w:tcW w:w="306" w:type="pct"/>
            <w:tcBorders>
              <w:top w:val="single" w:sz="4" w:space="0" w:color="auto"/>
              <w:left w:val="single" w:sz="4" w:space="0" w:color="auto"/>
              <w:bottom w:val="single" w:sz="4" w:space="0" w:color="auto"/>
              <w:right w:val="single" w:sz="4" w:space="0" w:color="auto"/>
            </w:tcBorders>
          </w:tcPr>
          <w:p w:rsidR="00032535" w:rsidRPr="00E02972" w:rsidRDefault="00032535" w:rsidP="00F44B85">
            <w:pPr>
              <w:pStyle w:val="ssPara1"/>
              <w:spacing w:after="0"/>
              <w:rPr>
                <w:rFonts w:cs="Arial"/>
                <w:sz w:val="16"/>
                <w:szCs w:val="18"/>
              </w:rPr>
            </w:pPr>
          </w:p>
          <w:p w:rsidR="00032535" w:rsidRPr="00E02972" w:rsidRDefault="00032535" w:rsidP="00F44B85">
            <w:pPr>
              <w:pStyle w:val="ssPara1"/>
              <w:spacing w:after="0"/>
              <w:rPr>
                <w:rFonts w:cs="Arial"/>
                <w:sz w:val="16"/>
                <w:szCs w:val="18"/>
              </w:rPr>
            </w:pPr>
            <w:r w:rsidRPr="00E02972">
              <w:rPr>
                <w:rFonts w:cs="Arial"/>
                <w:sz w:val="16"/>
                <w:szCs w:val="18"/>
              </w:rPr>
              <w:t>R</w:t>
            </w:r>
          </w:p>
          <w:p w:rsidR="00032535" w:rsidRPr="00E02972" w:rsidRDefault="00032535" w:rsidP="00F44B85">
            <w:pPr>
              <w:pStyle w:val="ssPara1"/>
              <w:spacing w:after="0"/>
              <w:rPr>
                <w:rFonts w:cs="Arial"/>
                <w:sz w:val="16"/>
                <w:szCs w:val="18"/>
              </w:rPr>
            </w:pPr>
            <w:r w:rsidRPr="00E02972">
              <w:rPr>
                <w:rFonts w:cs="Arial"/>
                <w:sz w:val="16"/>
                <w:szCs w:val="18"/>
              </w:rPr>
              <w:t>EP</w:t>
            </w:r>
          </w:p>
          <w:p w:rsidR="00032535" w:rsidRPr="00E02972" w:rsidRDefault="00032535" w:rsidP="00F44B85">
            <w:pPr>
              <w:pStyle w:val="ssPara1"/>
              <w:spacing w:after="0"/>
              <w:rPr>
                <w:rFonts w:cs="Arial"/>
                <w:sz w:val="16"/>
                <w:szCs w:val="18"/>
              </w:rPr>
            </w:pPr>
            <w:r w:rsidRPr="00E02972">
              <w:rPr>
                <w:rFonts w:cs="Arial"/>
                <w:sz w:val="16"/>
                <w:szCs w:val="18"/>
              </w:rPr>
              <w:t>PSP</w:t>
            </w:r>
          </w:p>
          <w:p w:rsidR="00032535" w:rsidRPr="00E02972" w:rsidRDefault="00032535" w:rsidP="00F44B85">
            <w:pPr>
              <w:pStyle w:val="ssPara1"/>
              <w:spacing w:before="240"/>
              <w:rPr>
                <w:rFonts w:cs="Arial"/>
                <w:i/>
                <w:sz w:val="16"/>
                <w:szCs w:val="18"/>
              </w:rPr>
            </w:pPr>
            <w:r w:rsidRPr="00E02972">
              <w:rPr>
                <w:rFonts w:cs="Arial"/>
                <w:sz w:val="16"/>
                <w:szCs w:val="18"/>
              </w:rPr>
              <w:t>(</w:t>
            </w:r>
            <w:r w:rsidRPr="00E02972">
              <w:rPr>
                <w:rFonts w:cs="Arial"/>
                <w:i/>
                <w:sz w:val="16"/>
                <w:szCs w:val="18"/>
              </w:rPr>
              <w:t xml:space="preserve">Not applicable to eligible counter-parties for firms authorised to execute orders on client behalf, on own </w:t>
            </w:r>
            <w:r w:rsidRPr="00E02972">
              <w:rPr>
                <w:rFonts w:cs="Arial"/>
                <w:i/>
                <w:sz w:val="16"/>
                <w:szCs w:val="18"/>
              </w:rPr>
              <w:lastRenderedPageBreak/>
              <w:t>account  and/or receive and transmit orders- See MiFID Art 30)</w:t>
            </w:r>
          </w:p>
        </w:tc>
        <w:tc>
          <w:tcPr>
            <w:tcW w:w="1611" w:type="pct"/>
            <w:tcBorders>
              <w:top w:val="single" w:sz="4" w:space="0" w:color="auto"/>
              <w:left w:val="single" w:sz="4" w:space="0" w:color="auto"/>
              <w:bottom w:val="single" w:sz="4" w:space="0" w:color="auto"/>
              <w:right w:val="single" w:sz="4" w:space="0" w:color="auto"/>
            </w:tcBorders>
          </w:tcPr>
          <w:p w:rsidR="00032535" w:rsidRPr="00E02972" w:rsidRDefault="00032535" w:rsidP="00F44B85">
            <w:pPr>
              <w:pStyle w:val="ssPara1"/>
              <w:numPr>
                <w:ilvl w:val="0"/>
                <w:numId w:val="9"/>
              </w:numPr>
              <w:spacing w:before="240"/>
              <w:rPr>
                <w:rFonts w:eastAsia="Times New Roman" w:cs="Arial"/>
                <w:sz w:val="16"/>
                <w:szCs w:val="18"/>
              </w:rPr>
            </w:pPr>
            <w:r w:rsidRPr="00E02972">
              <w:rPr>
                <w:rFonts w:eastAsia="Times New Roman" w:cs="Arial"/>
                <w:sz w:val="16"/>
                <w:szCs w:val="18"/>
              </w:rPr>
              <w:lastRenderedPageBreak/>
              <w:t>Review/ amend client agreements to reflect c</w:t>
            </w:r>
            <w:r w:rsidR="0092285C" w:rsidRPr="00E02972">
              <w:rPr>
                <w:rFonts w:eastAsia="Times New Roman" w:cs="Arial"/>
                <w:sz w:val="16"/>
                <w:szCs w:val="18"/>
              </w:rPr>
              <w:t>hanges under inducements regime, setti</w:t>
            </w:r>
            <w:r w:rsidR="006D10F0" w:rsidRPr="00E02972">
              <w:rPr>
                <w:rFonts w:eastAsia="Times New Roman" w:cs="Arial"/>
                <w:sz w:val="16"/>
                <w:szCs w:val="18"/>
              </w:rPr>
              <w:t xml:space="preserve">ng firms obligations to client. </w:t>
            </w:r>
          </w:p>
          <w:p w:rsidR="00032535" w:rsidRPr="00E02972" w:rsidRDefault="00032535" w:rsidP="00F44B85">
            <w:pPr>
              <w:pStyle w:val="ssPara1"/>
              <w:numPr>
                <w:ilvl w:val="0"/>
                <w:numId w:val="9"/>
              </w:numPr>
              <w:spacing w:before="240"/>
              <w:rPr>
                <w:rFonts w:eastAsia="Times New Roman" w:cs="Arial"/>
                <w:sz w:val="16"/>
                <w:szCs w:val="18"/>
              </w:rPr>
            </w:pPr>
            <w:r w:rsidRPr="00E02972">
              <w:rPr>
                <w:rFonts w:eastAsia="Times New Roman" w:cs="Arial"/>
                <w:sz w:val="16"/>
                <w:szCs w:val="18"/>
              </w:rPr>
              <w:t xml:space="preserve">Amend existing client agreements or draft new documentation to comply with clear prior disclosure obligations under the regime, in particular the requirement to disclose to clients in a clear and comprehensible manner the existence, nature and amount of payment or non-monetary benefit concerned. </w:t>
            </w:r>
          </w:p>
          <w:p w:rsidR="00032535" w:rsidRPr="00E02972" w:rsidRDefault="00A457EB" w:rsidP="00F44B85">
            <w:pPr>
              <w:pStyle w:val="BulletPoint1"/>
              <w:numPr>
                <w:ilvl w:val="0"/>
                <w:numId w:val="9"/>
              </w:numPr>
              <w:tabs>
                <w:tab w:val="clear" w:pos="684"/>
              </w:tabs>
              <w:jc w:val="both"/>
              <w:rPr>
                <w:rFonts w:cs="Arial"/>
                <w:sz w:val="16"/>
                <w:szCs w:val="18"/>
              </w:rPr>
            </w:pPr>
            <w:r w:rsidRPr="00E02972">
              <w:rPr>
                <w:rFonts w:cs="Arial"/>
                <w:sz w:val="16"/>
                <w:szCs w:val="18"/>
              </w:rPr>
              <w:t xml:space="preserve">Draw up </w:t>
            </w:r>
            <w:r w:rsidR="0092285C" w:rsidRPr="00E02972">
              <w:rPr>
                <w:rFonts w:cs="Arial"/>
                <w:sz w:val="16"/>
                <w:szCs w:val="18"/>
              </w:rPr>
              <w:t>RPA agreements</w:t>
            </w:r>
            <w:r w:rsidR="006A56B7" w:rsidRPr="00E02972">
              <w:rPr>
                <w:rFonts w:cs="Arial"/>
                <w:sz w:val="16"/>
                <w:szCs w:val="18"/>
              </w:rPr>
              <w:t xml:space="preserve"> </w:t>
            </w:r>
            <w:r w:rsidR="00032535" w:rsidRPr="00E02972">
              <w:rPr>
                <w:rFonts w:cs="Arial"/>
                <w:sz w:val="16"/>
                <w:szCs w:val="18"/>
              </w:rPr>
              <w:t>for clients (if applicable) contain</w:t>
            </w:r>
            <w:r w:rsidR="0092285C" w:rsidRPr="00E02972">
              <w:rPr>
                <w:rFonts w:cs="Arial"/>
                <w:sz w:val="16"/>
                <w:szCs w:val="18"/>
              </w:rPr>
              <w:t>ing requirements set out in DA1 or amend existing CSA agreements (</w:t>
            </w:r>
            <w:r w:rsidR="00486A01" w:rsidRPr="00E02972">
              <w:rPr>
                <w:rFonts w:cs="Arial"/>
                <w:sz w:val="16"/>
                <w:szCs w:val="18"/>
              </w:rPr>
              <w:t>if possible</w:t>
            </w:r>
            <w:r w:rsidR="0092285C" w:rsidRPr="00E02972">
              <w:rPr>
                <w:rFonts w:cs="Arial"/>
                <w:sz w:val="16"/>
                <w:szCs w:val="18"/>
              </w:rPr>
              <w:t xml:space="preserve">). </w:t>
            </w:r>
            <w:r w:rsidR="00032535" w:rsidRPr="00E02972">
              <w:rPr>
                <w:rFonts w:cs="Arial"/>
                <w:sz w:val="16"/>
                <w:szCs w:val="18"/>
              </w:rPr>
              <w:t xml:space="preserve"> </w:t>
            </w:r>
          </w:p>
          <w:p w:rsidR="00032535" w:rsidRPr="00E02972" w:rsidRDefault="00032535" w:rsidP="00F44B85">
            <w:pPr>
              <w:pStyle w:val="ssPara1"/>
              <w:spacing w:before="240"/>
              <w:rPr>
                <w:rFonts w:eastAsia="Times New Roman" w:cs="Arial"/>
                <w:sz w:val="16"/>
                <w:szCs w:val="18"/>
              </w:rPr>
            </w:pPr>
          </w:p>
        </w:tc>
        <w:tc>
          <w:tcPr>
            <w:tcW w:w="625" w:type="pct"/>
            <w:tcBorders>
              <w:top w:val="single" w:sz="4" w:space="0" w:color="auto"/>
              <w:left w:val="single" w:sz="4" w:space="0" w:color="auto"/>
              <w:bottom w:val="single" w:sz="4" w:space="0" w:color="auto"/>
              <w:right w:val="single" w:sz="4" w:space="0" w:color="auto"/>
            </w:tcBorders>
          </w:tcPr>
          <w:p w:rsidR="00032535" w:rsidRPr="00E02972" w:rsidRDefault="00A457EB" w:rsidP="00D925E0">
            <w:pPr>
              <w:numPr>
                <w:ilvl w:val="0"/>
                <w:numId w:val="34"/>
              </w:numPr>
              <w:spacing w:before="240" w:after="260"/>
              <w:jc w:val="left"/>
              <w:rPr>
                <w:rFonts w:eastAsia="Times New Roman" w:cs="Arial"/>
                <w:sz w:val="16"/>
                <w:szCs w:val="18"/>
              </w:rPr>
            </w:pPr>
            <w:r w:rsidRPr="00E02972">
              <w:rPr>
                <w:rFonts w:eastAsia="Times New Roman" w:cs="Arial"/>
                <w:sz w:val="16"/>
                <w:szCs w:val="18"/>
              </w:rPr>
              <w:lastRenderedPageBreak/>
              <w:t>Client Terms of Business</w:t>
            </w:r>
            <w:r w:rsidR="006D10F0" w:rsidRPr="00E02972">
              <w:rPr>
                <w:rFonts w:eastAsia="Times New Roman" w:cs="Arial"/>
                <w:sz w:val="16"/>
                <w:szCs w:val="18"/>
              </w:rPr>
              <w:t>.</w:t>
            </w:r>
          </w:p>
          <w:p w:rsidR="006D10F0" w:rsidRPr="00E02972" w:rsidRDefault="006D10F0" w:rsidP="00D925E0">
            <w:pPr>
              <w:numPr>
                <w:ilvl w:val="0"/>
                <w:numId w:val="34"/>
              </w:numPr>
              <w:spacing w:before="240" w:after="260"/>
              <w:jc w:val="left"/>
              <w:rPr>
                <w:rFonts w:eastAsia="Times New Roman" w:cs="Arial"/>
                <w:sz w:val="16"/>
                <w:szCs w:val="18"/>
              </w:rPr>
            </w:pPr>
            <w:r w:rsidRPr="00E02972">
              <w:rPr>
                <w:rFonts w:eastAsia="Times New Roman" w:cs="Arial"/>
                <w:sz w:val="16"/>
                <w:szCs w:val="18"/>
              </w:rPr>
              <w:t>RPA Agreements.</w:t>
            </w:r>
          </w:p>
          <w:p w:rsidR="006D10F0" w:rsidRPr="00E02972" w:rsidRDefault="006D10F0" w:rsidP="00D925E0">
            <w:pPr>
              <w:numPr>
                <w:ilvl w:val="0"/>
                <w:numId w:val="34"/>
              </w:numPr>
              <w:spacing w:before="240" w:after="260"/>
              <w:jc w:val="left"/>
              <w:rPr>
                <w:rFonts w:eastAsia="Times New Roman" w:cs="Arial"/>
                <w:sz w:val="16"/>
                <w:szCs w:val="18"/>
              </w:rPr>
            </w:pPr>
            <w:r w:rsidRPr="00E02972">
              <w:rPr>
                <w:rFonts w:eastAsia="Times New Roman" w:cs="Arial"/>
                <w:sz w:val="16"/>
                <w:szCs w:val="18"/>
              </w:rPr>
              <w:t>Amended CSA Agreements (</w:t>
            </w:r>
            <w:r w:rsidR="006A56B7" w:rsidRPr="00E02972">
              <w:rPr>
                <w:rFonts w:eastAsia="Times New Roman" w:cs="Arial"/>
                <w:sz w:val="16"/>
                <w:szCs w:val="18"/>
              </w:rPr>
              <w:t>if possible)</w:t>
            </w:r>
          </w:p>
          <w:p w:rsidR="006D10F0" w:rsidRPr="00E02972" w:rsidRDefault="006D10F0" w:rsidP="00D925E0">
            <w:pPr>
              <w:numPr>
                <w:ilvl w:val="0"/>
                <w:numId w:val="34"/>
              </w:numPr>
              <w:spacing w:before="240" w:after="260"/>
              <w:jc w:val="left"/>
              <w:rPr>
                <w:rFonts w:eastAsia="Times New Roman" w:cs="Arial"/>
                <w:sz w:val="16"/>
                <w:szCs w:val="18"/>
              </w:rPr>
            </w:pPr>
            <w:r w:rsidRPr="00E02972">
              <w:rPr>
                <w:rFonts w:eastAsia="Times New Roman" w:cs="Arial"/>
                <w:sz w:val="16"/>
                <w:szCs w:val="18"/>
              </w:rPr>
              <w:t xml:space="preserve">Template disclosure </w:t>
            </w:r>
            <w:r w:rsidRPr="00E02972">
              <w:rPr>
                <w:rFonts w:eastAsia="Times New Roman" w:cs="Arial"/>
                <w:sz w:val="16"/>
                <w:szCs w:val="18"/>
              </w:rPr>
              <w:lastRenderedPageBreak/>
              <w:t xml:space="preserve">documents. </w:t>
            </w:r>
          </w:p>
          <w:p w:rsidR="006D10F0" w:rsidRPr="00E02972" w:rsidRDefault="006D10F0" w:rsidP="006E3A87">
            <w:pPr>
              <w:numPr>
                <w:ilvl w:val="0"/>
                <w:numId w:val="4"/>
              </w:numPr>
              <w:spacing w:before="240" w:after="260"/>
              <w:ind w:left="494" w:hanging="425"/>
              <w:jc w:val="left"/>
              <w:rPr>
                <w:rFonts w:eastAsia="Times New Roman" w:cs="Arial"/>
                <w:sz w:val="16"/>
                <w:szCs w:val="18"/>
              </w:rPr>
            </w:pPr>
          </w:p>
        </w:tc>
        <w:tc>
          <w:tcPr>
            <w:tcW w:w="416" w:type="pct"/>
            <w:tcBorders>
              <w:top w:val="single" w:sz="4" w:space="0" w:color="auto"/>
              <w:left w:val="single" w:sz="4" w:space="0" w:color="auto"/>
              <w:bottom w:val="single" w:sz="4" w:space="0" w:color="auto"/>
              <w:right w:val="single" w:sz="4" w:space="0" w:color="auto"/>
            </w:tcBorders>
          </w:tcPr>
          <w:p w:rsidR="00032535" w:rsidRPr="00E02972" w:rsidRDefault="00032535" w:rsidP="00F44B85">
            <w:pPr>
              <w:numPr>
                <w:ilvl w:val="0"/>
                <w:numId w:val="4"/>
              </w:numPr>
              <w:spacing w:before="240" w:after="260"/>
              <w:ind w:left="494" w:hanging="425"/>
              <w:rPr>
                <w:rFonts w:eastAsia="Times New Roman" w:cs="Arial"/>
                <w:sz w:val="16"/>
                <w:szCs w:val="18"/>
              </w:rPr>
            </w:pPr>
            <w:r w:rsidRPr="00E02972">
              <w:rPr>
                <w:rFonts w:eastAsia="Times New Roman" w:cs="Arial"/>
                <w:sz w:val="16"/>
                <w:szCs w:val="18"/>
              </w:rPr>
              <w:lastRenderedPageBreak/>
              <w:t xml:space="preserve">Prior disclosures required to be made to clients as to any minor non-monetary benefit or enhanced quality before relevant service carried </w:t>
            </w:r>
            <w:r w:rsidRPr="00E02972">
              <w:rPr>
                <w:rFonts w:eastAsia="Times New Roman" w:cs="Arial"/>
                <w:sz w:val="16"/>
                <w:szCs w:val="18"/>
              </w:rPr>
              <w:lastRenderedPageBreak/>
              <w:t xml:space="preserve">out. </w:t>
            </w:r>
          </w:p>
          <w:p w:rsidR="00032535" w:rsidRPr="00E02972" w:rsidRDefault="00032535" w:rsidP="00F44B85">
            <w:pPr>
              <w:numPr>
                <w:ilvl w:val="0"/>
                <w:numId w:val="4"/>
              </w:numPr>
              <w:spacing w:before="240" w:after="260"/>
              <w:ind w:left="494" w:hanging="425"/>
              <w:rPr>
                <w:rFonts w:eastAsia="Times New Roman" w:cs="Arial"/>
                <w:sz w:val="16"/>
                <w:szCs w:val="18"/>
              </w:rPr>
            </w:pPr>
            <w:r w:rsidRPr="00E02972">
              <w:rPr>
                <w:rFonts w:eastAsia="Times New Roman" w:cs="Arial"/>
                <w:sz w:val="16"/>
                <w:szCs w:val="18"/>
              </w:rPr>
              <w:t>Express prior agreement required from clients to use RPAs.</w:t>
            </w:r>
          </w:p>
        </w:tc>
      </w:tr>
      <w:tr w:rsidR="00032535" w:rsidRPr="00E02972" w:rsidTr="00F44B85">
        <w:tc>
          <w:tcPr>
            <w:tcW w:w="455" w:type="pct"/>
            <w:tcBorders>
              <w:top w:val="single" w:sz="4" w:space="0" w:color="auto"/>
              <w:left w:val="single" w:sz="4" w:space="0" w:color="auto"/>
              <w:bottom w:val="single" w:sz="4" w:space="0" w:color="auto"/>
              <w:right w:val="single" w:sz="4" w:space="0" w:color="auto"/>
            </w:tcBorders>
            <w:shd w:val="clear" w:color="auto" w:fill="69889A"/>
          </w:tcPr>
          <w:p w:rsidR="00032535" w:rsidRPr="00E02972" w:rsidRDefault="00032535" w:rsidP="006E3A87">
            <w:pPr>
              <w:spacing w:before="120" w:after="120"/>
              <w:jc w:val="left"/>
              <w:rPr>
                <w:rFonts w:eastAsia="Times New Roman" w:cs="Arial"/>
                <w:b/>
                <w:bCs/>
                <w:color w:val="FFFFFF" w:themeColor="background1"/>
                <w:sz w:val="16"/>
                <w:szCs w:val="18"/>
                <w:lang w:eastAsia="en-GB"/>
              </w:rPr>
            </w:pPr>
            <w:r w:rsidRPr="00E02972">
              <w:rPr>
                <w:rFonts w:eastAsia="Times New Roman" w:cs="Arial"/>
                <w:b/>
                <w:bCs/>
                <w:color w:val="FFFFFF" w:themeColor="background1"/>
                <w:sz w:val="16"/>
                <w:szCs w:val="18"/>
                <w:lang w:eastAsia="en-GB"/>
              </w:rPr>
              <w:lastRenderedPageBreak/>
              <w:t>COMPLAINTS HANDLING</w:t>
            </w:r>
          </w:p>
        </w:tc>
        <w:tc>
          <w:tcPr>
            <w:tcW w:w="374" w:type="pct"/>
            <w:tcBorders>
              <w:top w:val="single" w:sz="4" w:space="0" w:color="auto"/>
              <w:left w:val="single" w:sz="4" w:space="0" w:color="auto"/>
              <w:bottom w:val="single" w:sz="4" w:space="0" w:color="auto"/>
              <w:right w:val="single" w:sz="4" w:space="0" w:color="auto"/>
            </w:tcBorders>
          </w:tcPr>
          <w:p w:rsidR="006D10F0" w:rsidRPr="00E02972" w:rsidRDefault="006C2CF1" w:rsidP="006D10F0">
            <w:pPr>
              <w:pStyle w:val="BodyParagraphText"/>
              <w:rPr>
                <w:rFonts w:cs="Arial"/>
                <w:sz w:val="16"/>
                <w:szCs w:val="18"/>
              </w:rPr>
            </w:pPr>
            <w:hyperlink r:id="rId113" w:history="1">
              <w:r w:rsidR="006D10F0" w:rsidRPr="00E02972">
                <w:rPr>
                  <w:rStyle w:val="Hyperlink"/>
                  <w:rFonts w:cs="Arial"/>
                  <w:sz w:val="16"/>
                  <w:szCs w:val="18"/>
                </w:rPr>
                <w:t>D</w:t>
              </w:r>
            </w:hyperlink>
            <w:r w:rsidR="006D10F0" w:rsidRPr="00E02972">
              <w:rPr>
                <w:rFonts w:cs="Arial"/>
                <w:sz w:val="16"/>
                <w:szCs w:val="18"/>
              </w:rPr>
              <w:t xml:space="preserve">  Art 16: 16(2)-(3), Art 75. </w:t>
            </w:r>
          </w:p>
          <w:p w:rsidR="006D10F0" w:rsidRPr="00E02972" w:rsidRDefault="006D10F0" w:rsidP="006D10F0">
            <w:pPr>
              <w:spacing w:before="120" w:after="120"/>
              <w:jc w:val="left"/>
              <w:rPr>
                <w:rFonts w:cs="Arial"/>
                <w:sz w:val="16"/>
                <w:szCs w:val="18"/>
              </w:rPr>
            </w:pPr>
            <w:r w:rsidRPr="00E02972">
              <w:rPr>
                <w:rFonts w:cs="Arial"/>
                <w:sz w:val="16"/>
                <w:szCs w:val="18"/>
              </w:rPr>
              <w:t>L2: (</w:t>
            </w:r>
            <w:hyperlink r:id="rId114" w:history="1">
              <w:hyperlink r:id="rId115" w:history="1">
                <w:hyperlink r:id="rId116" w:history="1">
                  <w:r w:rsidRPr="00E02972">
                    <w:rPr>
                      <w:rStyle w:val="Hyperlink"/>
                      <w:rFonts w:cs="Arial"/>
                      <w:sz w:val="16"/>
                      <w:szCs w:val="18"/>
                    </w:rPr>
                    <w:t>CP1</w:t>
                  </w:r>
                </w:hyperlink>
              </w:hyperlink>
            </w:hyperlink>
            <w:r w:rsidRPr="00E02972">
              <w:rPr>
                <w:rFonts w:cs="Arial"/>
                <w:b/>
                <w:sz w:val="16"/>
                <w:szCs w:val="18"/>
              </w:rPr>
              <w:t xml:space="preserve">, </w:t>
            </w:r>
            <w:hyperlink r:id="rId117" w:history="1">
              <w:r w:rsidRPr="00E02972">
                <w:rPr>
                  <w:rStyle w:val="Hyperlink"/>
                  <w:rFonts w:cs="Arial"/>
                  <w:sz w:val="16"/>
                  <w:szCs w:val="18"/>
                </w:rPr>
                <w:t>FR</w:t>
              </w:r>
            </w:hyperlink>
            <w:r w:rsidRPr="00E02972">
              <w:rPr>
                <w:rFonts w:cs="Arial"/>
                <w:sz w:val="16"/>
                <w:szCs w:val="18"/>
              </w:rPr>
              <w:t xml:space="preserve">) </w:t>
            </w:r>
          </w:p>
          <w:p w:rsidR="00032535" w:rsidRPr="00E02972" w:rsidRDefault="006C2CF1" w:rsidP="00D925E0">
            <w:pPr>
              <w:numPr>
                <w:ilvl w:val="0"/>
                <w:numId w:val="35"/>
              </w:numPr>
              <w:spacing w:before="240" w:after="260"/>
              <w:jc w:val="left"/>
              <w:rPr>
                <w:rFonts w:eastAsia="Times New Roman" w:cs="Arial"/>
                <w:sz w:val="16"/>
                <w:szCs w:val="18"/>
              </w:rPr>
            </w:pPr>
            <w:hyperlink r:id="rId118" w:history="1">
              <w:r w:rsidR="006D10F0" w:rsidRPr="00E02972">
                <w:rPr>
                  <w:rStyle w:val="Hyperlink"/>
                  <w:rFonts w:cs="Arial"/>
                  <w:color w:val="0000FF"/>
                  <w:sz w:val="16"/>
                  <w:szCs w:val="18"/>
                </w:rPr>
                <w:t>DR1</w:t>
              </w:r>
            </w:hyperlink>
            <w:r w:rsidR="006D10F0" w:rsidRPr="00E02972">
              <w:rPr>
                <w:rStyle w:val="Hyperlink"/>
                <w:rFonts w:cs="Arial"/>
                <w:color w:val="0000FF"/>
                <w:sz w:val="16"/>
                <w:szCs w:val="18"/>
              </w:rPr>
              <w:t>(</w:t>
            </w:r>
            <w:hyperlink r:id="rId119" w:history="1">
              <w:r w:rsidR="006D10F0" w:rsidRPr="00E02972">
                <w:rPr>
                  <w:rStyle w:val="Hyperlink"/>
                  <w:rFonts w:cs="Arial"/>
                  <w:b/>
                  <w:color w:val="0000FF"/>
                  <w:sz w:val="16"/>
                  <w:szCs w:val="18"/>
                </w:rPr>
                <w:t>Art 25</w:t>
              </w:r>
              <w:r w:rsidR="006A56B7" w:rsidRPr="00E02972">
                <w:rPr>
                  <w:rStyle w:val="Hyperlink"/>
                  <w:rFonts w:cs="Arial"/>
                  <w:b/>
                  <w:color w:val="0000FF"/>
                  <w:sz w:val="16"/>
                  <w:szCs w:val="18"/>
                </w:rPr>
                <w:t>)</w:t>
              </w:r>
              <w:r w:rsidR="006D10F0" w:rsidRPr="00E02972">
                <w:rPr>
                  <w:rStyle w:val="Hyperlink"/>
                  <w:rFonts w:cs="Arial"/>
                  <w:b/>
                  <w:color w:val="0000FF"/>
                  <w:sz w:val="16"/>
                  <w:szCs w:val="18"/>
                </w:rPr>
                <w:t xml:space="preserve"> &amp; 26</w:t>
              </w:r>
            </w:hyperlink>
            <w:r w:rsidR="006D10F0" w:rsidRPr="00E02972">
              <w:rPr>
                <w:rStyle w:val="Hyperlink"/>
                <w:rFonts w:cs="Arial"/>
                <w:b/>
                <w:color w:val="0000FF"/>
                <w:sz w:val="16"/>
                <w:szCs w:val="18"/>
              </w:rPr>
              <w:t>)</w:t>
            </w:r>
          </w:p>
        </w:tc>
        <w:tc>
          <w:tcPr>
            <w:tcW w:w="1213" w:type="pct"/>
            <w:tcBorders>
              <w:top w:val="single" w:sz="4" w:space="0" w:color="auto"/>
              <w:left w:val="single" w:sz="4" w:space="0" w:color="auto"/>
              <w:bottom w:val="single" w:sz="4" w:space="0" w:color="auto"/>
              <w:right w:val="single" w:sz="4" w:space="0" w:color="auto"/>
            </w:tcBorders>
          </w:tcPr>
          <w:p w:rsidR="00032535" w:rsidRPr="00E02972" w:rsidRDefault="00032535" w:rsidP="00F44B85">
            <w:pPr>
              <w:pStyle w:val="BulletPoint1"/>
              <w:spacing w:before="240" w:after="260"/>
              <w:jc w:val="both"/>
              <w:rPr>
                <w:rFonts w:cs="Arial"/>
                <w:sz w:val="16"/>
                <w:szCs w:val="18"/>
                <w:lang w:val="en-US" w:eastAsia="en-US"/>
              </w:rPr>
            </w:pPr>
            <w:r w:rsidRPr="00E02972">
              <w:rPr>
                <w:rFonts w:cs="Arial"/>
                <w:sz w:val="16"/>
                <w:szCs w:val="18"/>
              </w:rPr>
              <w:t>Establish and maintain a complaints management policy which is clear, accurate and up to date for clients and potential clients.</w:t>
            </w:r>
          </w:p>
          <w:p w:rsidR="00032535" w:rsidRPr="00E02972" w:rsidRDefault="00032535" w:rsidP="00F44B85">
            <w:pPr>
              <w:pStyle w:val="BulletPoint1"/>
              <w:spacing w:before="240" w:after="260"/>
              <w:jc w:val="both"/>
              <w:rPr>
                <w:rFonts w:cs="Arial"/>
                <w:sz w:val="16"/>
                <w:szCs w:val="18"/>
                <w:lang w:val="en-US" w:eastAsia="en-US"/>
              </w:rPr>
            </w:pPr>
            <w:r w:rsidRPr="00E02972">
              <w:rPr>
                <w:rFonts w:cs="Arial"/>
                <w:sz w:val="16"/>
                <w:szCs w:val="18"/>
              </w:rPr>
              <w:t>Disclose process of complaints handling to clients on request or when acknowledging a complaint.</w:t>
            </w:r>
          </w:p>
          <w:p w:rsidR="00032535" w:rsidRPr="00E02972" w:rsidRDefault="00032535" w:rsidP="00F44B85">
            <w:pPr>
              <w:pStyle w:val="BulletPoint1"/>
              <w:spacing w:before="240" w:after="260"/>
              <w:jc w:val="both"/>
              <w:rPr>
                <w:rFonts w:cs="Arial"/>
                <w:sz w:val="16"/>
                <w:szCs w:val="18"/>
                <w:lang w:val="en-US" w:eastAsia="en-US"/>
              </w:rPr>
            </w:pPr>
            <w:r w:rsidRPr="00E02972">
              <w:rPr>
                <w:rFonts w:cs="Arial"/>
                <w:sz w:val="16"/>
                <w:szCs w:val="18"/>
              </w:rPr>
              <w:t>Ensure clients are advised of their rights to civil action (ADR)</w:t>
            </w:r>
          </w:p>
        </w:tc>
        <w:tc>
          <w:tcPr>
            <w:tcW w:w="306" w:type="pct"/>
            <w:tcBorders>
              <w:top w:val="single" w:sz="4" w:space="0" w:color="auto"/>
              <w:left w:val="single" w:sz="4" w:space="0" w:color="auto"/>
              <w:bottom w:val="single" w:sz="4" w:space="0" w:color="auto"/>
              <w:right w:val="single" w:sz="4" w:space="0" w:color="auto"/>
            </w:tcBorders>
          </w:tcPr>
          <w:p w:rsidR="00032535" w:rsidRPr="00E02972" w:rsidRDefault="00032535" w:rsidP="00F44B85">
            <w:pPr>
              <w:pStyle w:val="BodyParagraphText"/>
              <w:spacing w:line="240" w:lineRule="auto"/>
              <w:jc w:val="both"/>
              <w:rPr>
                <w:rFonts w:cs="Arial"/>
                <w:sz w:val="16"/>
                <w:szCs w:val="18"/>
              </w:rPr>
            </w:pPr>
            <w:r w:rsidRPr="00E02972">
              <w:rPr>
                <w:rFonts w:cs="Arial"/>
                <w:sz w:val="16"/>
                <w:szCs w:val="18"/>
              </w:rPr>
              <w:t>R</w:t>
            </w:r>
            <w:r w:rsidRPr="00E02972">
              <w:rPr>
                <w:rFonts w:cs="Arial"/>
                <w:sz w:val="16"/>
                <w:szCs w:val="18"/>
              </w:rPr>
              <w:br/>
              <w:t>EP</w:t>
            </w:r>
            <w:r w:rsidRPr="00E02972">
              <w:rPr>
                <w:rFonts w:cs="Arial"/>
                <w:sz w:val="16"/>
                <w:szCs w:val="18"/>
              </w:rPr>
              <w:br/>
              <w:t>PSP</w:t>
            </w:r>
            <w:r w:rsidRPr="00E02972">
              <w:rPr>
                <w:rFonts w:cs="Arial"/>
                <w:sz w:val="16"/>
                <w:szCs w:val="18"/>
              </w:rPr>
              <w:br/>
              <w:t>ECP</w:t>
            </w:r>
          </w:p>
        </w:tc>
        <w:tc>
          <w:tcPr>
            <w:tcW w:w="1611" w:type="pct"/>
            <w:tcBorders>
              <w:top w:val="single" w:sz="4" w:space="0" w:color="auto"/>
              <w:left w:val="single" w:sz="4" w:space="0" w:color="auto"/>
              <w:bottom w:val="single" w:sz="4" w:space="0" w:color="auto"/>
              <w:right w:val="single" w:sz="4" w:space="0" w:color="auto"/>
            </w:tcBorders>
          </w:tcPr>
          <w:p w:rsidR="00032535" w:rsidRPr="00E02972" w:rsidRDefault="00032535" w:rsidP="00F44B85">
            <w:pPr>
              <w:pStyle w:val="BulletPoint1"/>
              <w:numPr>
                <w:ilvl w:val="0"/>
                <w:numId w:val="5"/>
              </w:numPr>
              <w:spacing w:before="240" w:after="260"/>
              <w:jc w:val="both"/>
              <w:rPr>
                <w:rFonts w:cs="Arial"/>
                <w:sz w:val="16"/>
                <w:szCs w:val="18"/>
              </w:rPr>
            </w:pPr>
            <w:r w:rsidRPr="00E02972">
              <w:rPr>
                <w:rFonts w:cs="Arial"/>
                <w:sz w:val="16"/>
                <w:szCs w:val="18"/>
              </w:rPr>
              <w:t>Review/amend client agreements to ensure:</w:t>
            </w:r>
          </w:p>
          <w:p w:rsidR="00032535" w:rsidRPr="00E02972" w:rsidRDefault="00032535" w:rsidP="00F44B85">
            <w:pPr>
              <w:pStyle w:val="ssPara1"/>
              <w:numPr>
                <w:ilvl w:val="0"/>
                <w:numId w:val="9"/>
              </w:numPr>
              <w:tabs>
                <w:tab w:val="num" w:pos="360"/>
              </w:tabs>
              <w:spacing w:before="240"/>
              <w:rPr>
                <w:rFonts w:cs="Arial"/>
                <w:sz w:val="16"/>
                <w:szCs w:val="18"/>
              </w:rPr>
            </w:pPr>
            <w:r w:rsidRPr="00E02972">
              <w:rPr>
                <w:rFonts w:cs="Arial"/>
                <w:sz w:val="16"/>
                <w:szCs w:val="18"/>
              </w:rPr>
              <w:t xml:space="preserve">clients </w:t>
            </w:r>
            <w:r w:rsidRPr="00E02972">
              <w:rPr>
                <w:rFonts w:eastAsia="Times New Roman" w:cs="Arial"/>
                <w:sz w:val="16"/>
                <w:szCs w:val="18"/>
              </w:rPr>
              <w:t>are</w:t>
            </w:r>
            <w:r w:rsidRPr="00E02972">
              <w:rPr>
                <w:rFonts w:cs="Arial"/>
                <w:sz w:val="16"/>
                <w:szCs w:val="18"/>
              </w:rPr>
              <w:t xml:space="preserve"> advised of their rights to civil action </w:t>
            </w:r>
            <w:r w:rsidR="00F44B85" w:rsidRPr="00E02972">
              <w:rPr>
                <w:rFonts w:cs="Arial"/>
                <w:sz w:val="16"/>
                <w:szCs w:val="18"/>
              </w:rPr>
              <w:t>(ADR) as well as the ombudsman.</w:t>
            </w:r>
          </w:p>
          <w:p w:rsidR="00032535" w:rsidRPr="00E02972" w:rsidRDefault="00032535" w:rsidP="00F44B85">
            <w:pPr>
              <w:pStyle w:val="ssPara1"/>
              <w:numPr>
                <w:ilvl w:val="0"/>
                <w:numId w:val="9"/>
              </w:numPr>
              <w:tabs>
                <w:tab w:val="num" w:pos="360"/>
              </w:tabs>
              <w:spacing w:before="240"/>
              <w:rPr>
                <w:rFonts w:cs="Arial"/>
                <w:sz w:val="16"/>
                <w:szCs w:val="18"/>
              </w:rPr>
            </w:pPr>
            <w:r w:rsidRPr="00E02972">
              <w:rPr>
                <w:rFonts w:cs="Arial"/>
                <w:sz w:val="16"/>
                <w:szCs w:val="18"/>
              </w:rPr>
              <w:t>relevant disclosures relating to complaints handling are provided (on request or when acknowledging a complaint</w:t>
            </w:r>
            <w:r w:rsidR="00F44B85" w:rsidRPr="00E02972">
              <w:rPr>
                <w:rFonts w:cs="Arial"/>
                <w:sz w:val="16"/>
                <w:szCs w:val="18"/>
              </w:rPr>
              <w:t xml:space="preserve">). </w:t>
            </w:r>
          </w:p>
        </w:tc>
        <w:tc>
          <w:tcPr>
            <w:tcW w:w="625" w:type="pct"/>
            <w:tcBorders>
              <w:top w:val="single" w:sz="4" w:space="0" w:color="auto"/>
              <w:left w:val="single" w:sz="4" w:space="0" w:color="auto"/>
              <w:bottom w:val="single" w:sz="4" w:space="0" w:color="auto"/>
              <w:right w:val="single" w:sz="4" w:space="0" w:color="auto"/>
            </w:tcBorders>
          </w:tcPr>
          <w:p w:rsidR="006D10F0" w:rsidRPr="00E02972" w:rsidRDefault="006D10F0" w:rsidP="006D10F0">
            <w:pPr>
              <w:numPr>
                <w:ilvl w:val="0"/>
                <w:numId w:val="9"/>
              </w:numPr>
              <w:spacing w:before="240" w:after="260"/>
              <w:jc w:val="left"/>
              <w:rPr>
                <w:rFonts w:eastAsia="Times New Roman" w:cs="Arial"/>
                <w:bCs/>
                <w:sz w:val="16"/>
                <w:szCs w:val="18"/>
              </w:rPr>
            </w:pPr>
            <w:r w:rsidRPr="00E02972">
              <w:rPr>
                <w:rFonts w:eastAsia="Times New Roman" w:cs="Arial"/>
                <w:bCs/>
                <w:sz w:val="16"/>
                <w:szCs w:val="18"/>
              </w:rPr>
              <w:t>Client Terms of Business.</w:t>
            </w:r>
          </w:p>
          <w:p w:rsidR="006D10F0" w:rsidRPr="00E02972" w:rsidRDefault="006D10F0" w:rsidP="006D10F0">
            <w:pPr>
              <w:numPr>
                <w:ilvl w:val="0"/>
                <w:numId w:val="9"/>
              </w:numPr>
              <w:spacing w:before="240" w:after="260"/>
              <w:jc w:val="left"/>
              <w:rPr>
                <w:rFonts w:eastAsia="Times New Roman" w:cs="Arial"/>
                <w:bCs/>
                <w:sz w:val="16"/>
                <w:szCs w:val="18"/>
              </w:rPr>
            </w:pPr>
            <w:r w:rsidRPr="00E02972">
              <w:rPr>
                <w:rFonts w:eastAsia="Times New Roman" w:cs="Arial"/>
                <w:bCs/>
                <w:sz w:val="16"/>
                <w:szCs w:val="18"/>
              </w:rPr>
              <w:t>Client covering letters (to send with general terms of business).</w:t>
            </w:r>
          </w:p>
          <w:p w:rsidR="006D10F0" w:rsidRPr="00E02972" w:rsidRDefault="006D10F0" w:rsidP="006D10F0">
            <w:pPr>
              <w:numPr>
                <w:ilvl w:val="0"/>
                <w:numId w:val="9"/>
              </w:numPr>
              <w:spacing w:before="240" w:after="260"/>
              <w:jc w:val="left"/>
              <w:rPr>
                <w:rFonts w:eastAsia="Times New Roman" w:cs="Arial"/>
                <w:bCs/>
                <w:sz w:val="16"/>
                <w:szCs w:val="18"/>
              </w:rPr>
            </w:pPr>
            <w:r w:rsidRPr="00E02972">
              <w:rPr>
                <w:rFonts w:eastAsia="Times New Roman" w:cs="Arial"/>
                <w:bCs/>
                <w:sz w:val="16"/>
                <w:szCs w:val="18"/>
              </w:rPr>
              <w:t>Investment Management Agreements.</w:t>
            </w:r>
          </w:p>
          <w:p w:rsidR="00032535" w:rsidRPr="00E02972" w:rsidRDefault="006D10F0" w:rsidP="006D10F0">
            <w:pPr>
              <w:numPr>
                <w:ilvl w:val="0"/>
                <w:numId w:val="9"/>
              </w:numPr>
              <w:spacing w:before="240" w:after="260"/>
              <w:jc w:val="left"/>
              <w:rPr>
                <w:rFonts w:eastAsia="Times New Roman" w:cs="Arial"/>
                <w:sz w:val="16"/>
                <w:szCs w:val="18"/>
              </w:rPr>
            </w:pPr>
            <w:r w:rsidRPr="00E02972">
              <w:rPr>
                <w:rFonts w:eastAsia="Times New Roman" w:cs="Arial"/>
                <w:bCs/>
                <w:sz w:val="16"/>
                <w:szCs w:val="18"/>
              </w:rPr>
              <w:t>Investment advisory agreements.</w:t>
            </w:r>
          </w:p>
        </w:tc>
        <w:tc>
          <w:tcPr>
            <w:tcW w:w="416" w:type="pct"/>
            <w:tcBorders>
              <w:top w:val="single" w:sz="4" w:space="0" w:color="auto"/>
              <w:left w:val="single" w:sz="4" w:space="0" w:color="auto"/>
              <w:bottom w:val="single" w:sz="4" w:space="0" w:color="auto"/>
              <w:right w:val="single" w:sz="4" w:space="0" w:color="auto"/>
            </w:tcBorders>
          </w:tcPr>
          <w:p w:rsidR="00032535" w:rsidRPr="00E02972" w:rsidRDefault="00032535" w:rsidP="00F44B85">
            <w:pPr>
              <w:numPr>
                <w:ilvl w:val="0"/>
                <w:numId w:val="5"/>
              </w:numPr>
              <w:spacing w:before="240" w:after="260"/>
              <w:rPr>
                <w:rFonts w:eastAsia="Times New Roman" w:cs="Arial"/>
                <w:sz w:val="16"/>
                <w:szCs w:val="18"/>
              </w:rPr>
            </w:pPr>
          </w:p>
        </w:tc>
      </w:tr>
      <w:tr w:rsidR="00032535" w:rsidRPr="00E02972" w:rsidTr="00F44B85">
        <w:tc>
          <w:tcPr>
            <w:tcW w:w="455" w:type="pct"/>
            <w:tcBorders>
              <w:top w:val="single" w:sz="4" w:space="0" w:color="auto"/>
              <w:left w:val="single" w:sz="4" w:space="0" w:color="auto"/>
              <w:bottom w:val="single" w:sz="4" w:space="0" w:color="auto"/>
              <w:right w:val="single" w:sz="4" w:space="0" w:color="auto"/>
            </w:tcBorders>
            <w:shd w:val="clear" w:color="auto" w:fill="69889A"/>
          </w:tcPr>
          <w:p w:rsidR="00032535" w:rsidRPr="00E02972" w:rsidRDefault="00032535" w:rsidP="00C17B99">
            <w:pPr>
              <w:spacing w:before="120" w:after="120"/>
              <w:jc w:val="left"/>
              <w:rPr>
                <w:rFonts w:eastAsia="Times New Roman" w:cs="Arial"/>
                <w:b/>
                <w:bCs/>
                <w:color w:val="FFFFFF" w:themeColor="background1"/>
                <w:sz w:val="16"/>
                <w:szCs w:val="18"/>
                <w:lang w:eastAsia="en-GB"/>
              </w:rPr>
            </w:pPr>
            <w:r w:rsidRPr="00E02972">
              <w:rPr>
                <w:rFonts w:eastAsia="Times New Roman" w:cs="Arial"/>
                <w:b/>
                <w:bCs/>
                <w:color w:val="FFFFFF" w:themeColor="background1"/>
                <w:sz w:val="16"/>
                <w:szCs w:val="18"/>
                <w:lang w:eastAsia="en-GB"/>
              </w:rPr>
              <w:t>CONFLICTS OF INTEREST</w:t>
            </w:r>
          </w:p>
        </w:tc>
        <w:tc>
          <w:tcPr>
            <w:tcW w:w="374" w:type="pct"/>
            <w:tcBorders>
              <w:top w:val="single" w:sz="4" w:space="0" w:color="auto"/>
              <w:left w:val="single" w:sz="4" w:space="0" w:color="auto"/>
              <w:bottom w:val="single" w:sz="4" w:space="0" w:color="auto"/>
              <w:right w:val="single" w:sz="4" w:space="0" w:color="auto"/>
            </w:tcBorders>
          </w:tcPr>
          <w:p w:rsidR="00032535" w:rsidRPr="00E02972" w:rsidRDefault="006C2CF1" w:rsidP="00C17B99">
            <w:pPr>
              <w:spacing w:before="120" w:after="120"/>
              <w:jc w:val="left"/>
              <w:rPr>
                <w:rFonts w:eastAsia="Times New Roman" w:cs="Arial"/>
                <w:sz w:val="16"/>
                <w:szCs w:val="18"/>
              </w:rPr>
            </w:pPr>
            <w:hyperlink r:id="rId120" w:history="1">
              <w:r w:rsidR="00032535" w:rsidRPr="00E02972">
                <w:rPr>
                  <w:rStyle w:val="Hyperlink"/>
                  <w:rFonts w:cs="Arial"/>
                  <w:sz w:val="16"/>
                  <w:szCs w:val="18"/>
                </w:rPr>
                <w:t>D</w:t>
              </w:r>
            </w:hyperlink>
            <w:r w:rsidR="00032535" w:rsidRPr="00E02972">
              <w:rPr>
                <w:rFonts w:cs="Arial"/>
                <w:sz w:val="16"/>
                <w:szCs w:val="18"/>
              </w:rPr>
              <w:t xml:space="preserve"> </w:t>
            </w:r>
            <w:r w:rsidR="00032535" w:rsidRPr="00E02972">
              <w:rPr>
                <w:rFonts w:eastAsia="Times New Roman" w:cs="Arial"/>
                <w:sz w:val="16"/>
                <w:szCs w:val="18"/>
              </w:rPr>
              <w:t xml:space="preserve"> Art 23 and Art 16(3)</w:t>
            </w:r>
          </w:p>
          <w:p w:rsidR="00BE24BA" w:rsidRPr="00E02972" w:rsidRDefault="00032535" w:rsidP="006E3A87">
            <w:pPr>
              <w:spacing w:before="240" w:after="260"/>
              <w:jc w:val="left"/>
              <w:rPr>
                <w:rFonts w:cs="Arial"/>
                <w:sz w:val="16"/>
                <w:szCs w:val="18"/>
              </w:rPr>
            </w:pPr>
            <w:r w:rsidRPr="00E02972">
              <w:rPr>
                <w:rFonts w:cs="Arial"/>
                <w:sz w:val="16"/>
                <w:szCs w:val="18"/>
              </w:rPr>
              <w:t xml:space="preserve">L2: </w:t>
            </w:r>
            <w:r w:rsidR="00BE24BA" w:rsidRPr="00E02972">
              <w:rPr>
                <w:rFonts w:cs="Arial"/>
                <w:sz w:val="16"/>
                <w:szCs w:val="18"/>
              </w:rPr>
              <w:t>(</w:t>
            </w:r>
            <w:hyperlink r:id="rId121" w:history="1">
              <w:hyperlink r:id="rId122" w:history="1">
                <w:r w:rsidRPr="00E02972">
                  <w:rPr>
                    <w:rStyle w:val="Hyperlink"/>
                    <w:rFonts w:cs="Arial"/>
                    <w:sz w:val="16"/>
                    <w:szCs w:val="18"/>
                  </w:rPr>
                  <w:t>CP1</w:t>
                </w:r>
              </w:hyperlink>
            </w:hyperlink>
            <w:r w:rsidRPr="00E02972">
              <w:rPr>
                <w:rFonts w:cs="Arial"/>
                <w:sz w:val="16"/>
                <w:szCs w:val="18"/>
              </w:rPr>
              <w:t xml:space="preserve">, </w:t>
            </w:r>
            <w:hyperlink r:id="rId123" w:history="1">
              <w:r w:rsidRPr="00E02972">
                <w:rPr>
                  <w:rStyle w:val="Hyperlink"/>
                  <w:rFonts w:cs="Arial"/>
                  <w:sz w:val="16"/>
                  <w:szCs w:val="18"/>
                </w:rPr>
                <w:t>FR</w:t>
              </w:r>
            </w:hyperlink>
            <w:r w:rsidR="00BE24BA" w:rsidRPr="00E02972">
              <w:rPr>
                <w:rFonts w:cs="Arial"/>
                <w:sz w:val="16"/>
                <w:szCs w:val="18"/>
              </w:rPr>
              <w:t>)</w:t>
            </w:r>
          </w:p>
          <w:p w:rsidR="00032535" w:rsidRPr="00E02972" w:rsidRDefault="006C2CF1" w:rsidP="00D925E0">
            <w:pPr>
              <w:numPr>
                <w:ilvl w:val="0"/>
                <w:numId w:val="35"/>
              </w:numPr>
              <w:spacing w:before="240" w:after="260"/>
              <w:jc w:val="left"/>
              <w:rPr>
                <w:rFonts w:eastAsia="Times New Roman" w:cs="Arial"/>
                <w:sz w:val="16"/>
                <w:szCs w:val="18"/>
              </w:rPr>
            </w:pPr>
            <w:hyperlink r:id="rId124" w:history="1">
              <w:r w:rsidR="00032535" w:rsidRPr="00E02972">
                <w:rPr>
                  <w:rStyle w:val="Hyperlink"/>
                  <w:rFonts w:cs="Arial"/>
                  <w:sz w:val="16"/>
                  <w:szCs w:val="18"/>
                </w:rPr>
                <w:t>DR1</w:t>
              </w:r>
            </w:hyperlink>
            <w:r w:rsidR="00BE24BA" w:rsidRPr="00E02972">
              <w:rPr>
                <w:rStyle w:val="Hyperlink"/>
                <w:rFonts w:cs="Arial"/>
                <w:sz w:val="16"/>
                <w:szCs w:val="18"/>
              </w:rPr>
              <w:t xml:space="preserve"> (</w:t>
            </w:r>
            <w:hyperlink r:id="rId125" w:history="1">
              <w:r w:rsidR="00032535" w:rsidRPr="00E02972">
                <w:rPr>
                  <w:rStyle w:val="Hyperlink"/>
                  <w:rFonts w:cs="Arial"/>
                  <w:b/>
                  <w:sz w:val="16"/>
                  <w:szCs w:val="18"/>
                </w:rPr>
                <w:t>Art 27,33-35</w:t>
              </w:r>
            </w:hyperlink>
            <w:r w:rsidR="00BE24BA" w:rsidRPr="00E02972">
              <w:rPr>
                <w:rStyle w:val="Hyperlink"/>
                <w:rFonts w:cs="Arial"/>
                <w:b/>
                <w:sz w:val="16"/>
                <w:szCs w:val="18"/>
              </w:rPr>
              <w:t>)</w:t>
            </w:r>
          </w:p>
        </w:tc>
        <w:tc>
          <w:tcPr>
            <w:tcW w:w="1213" w:type="pct"/>
            <w:tcBorders>
              <w:top w:val="single" w:sz="4" w:space="0" w:color="auto"/>
              <w:left w:val="single" w:sz="4" w:space="0" w:color="auto"/>
              <w:bottom w:val="single" w:sz="4" w:space="0" w:color="auto"/>
              <w:right w:val="single" w:sz="4" w:space="0" w:color="auto"/>
            </w:tcBorders>
          </w:tcPr>
          <w:p w:rsidR="00032535" w:rsidRPr="00E02972" w:rsidRDefault="00032535" w:rsidP="00F44B85">
            <w:pPr>
              <w:spacing w:before="240" w:after="260"/>
              <w:rPr>
                <w:rFonts w:cs="Arial"/>
                <w:sz w:val="16"/>
                <w:szCs w:val="18"/>
              </w:rPr>
            </w:pPr>
            <w:r w:rsidRPr="00E02972">
              <w:rPr>
                <w:rFonts w:cs="Arial"/>
                <w:sz w:val="16"/>
                <w:szCs w:val="18"/>
              </w:rPr>
              <w:t>Further requirements in relation to conflicts of interest.</w:t>
            </w:r>
          </w:p>
          <w:p w:rsidR="00032535" w:rsidRPr="00E02972" w:rsidRDefault="00032535" w:rsidP="00F44B85">
            <w:pPr>
              <w:numPr>
                <w:ilvl w:val="0"/>
                <w:numId w:val="5"/>
              </w:numPr>
              <w:spacing w:before="240" w:after="260"/>
              <w:rPr>
                <w:rFonts w:cs="Arial"/>
                <w:sz w:val="16"/>
                <w:szCs w:val="18"/>
              </w:rPr>
            </w:pPr>
            <w:r w:rsidRPr="00E02972">
              <w:rPr>
                <w:rFonts w:cs="Arial"/>
                <w:sz w:val="16"/>
                <w:szCs w:val="18"/>
              </w:rPr>
              <w:t>Requirement to take all reasonable steps to identify and prevent and manage conflict of interests</w:t>
            </w:r>
          </w:p>
          <w:p w:rsidR="00032535" w:rsidRPr="00E02972" w:rsidRDefault="00032535" w:rsidP="00F44B85">
            <w:pPr>
              <w:numPr>
                <w:ilvl w:val="0"/>
                <w:numId w:val="5"/>
              </w:numPr>
              <w:spacing w:before="240" w:after="260"/>
              <w:rPr>
                <w:rFonts w:cs="Arial"/>
                <w:sz w:val="16"/>
                <w:szCs w:val="18"/>
              </w:rPr>
            </w:pPr>
            <w:r w:rsidRPr="00E02972">
              <w:rPr>
                <w:rFonts w:cs="Arial"/>
                <w:sz w:val="16"/>
                <w:szCs w:val="18"/>
              </w:rPr>
              <w:t xml:space="preserve">Clarification that the obligations to disclose to clients the nature of the conflicts which could </w:t>
            </w:r>
            <w:r w:rsidRPr="00E02972">
              <w:rPr>
                <w:rFonts w:eastAsia="Times New Roman" w:cs="Arial"/>
                <w:sz w:val="16"/>
                <w:szCs w:val="18"/>
              </w:rPr>
              <w:t>not</w:t>
            </w:r>
            <w:r w:rsidRPr="00E02972">
              <w:rPr>
                <w:rFonts w:cs="Arial"/>
                <w:sz w:val="16"/>
                <w:szCs w:val="18"/>
              </w:rPr>
              <w:t xml:space="preserve"> be successfully prevented through the firm’s arrangements in place, the measure taking to tackle the conflicts and the reason why these have not worked should be the last resort measure.</w:t>
            </w:r>
          </w:p>
          <w:p w:rsidR="00032535" w:rsidRPr="00E02972" w:rsidRDefault="00032535" w:rsidP="00F44B85">
            <w:pPr>
              <w:numPr>
                <w:ilvl w:val="0"/>
                <w:numId w:val="5"/>
              </w:numPr>
              <w:spacing w:before="240" w:after="260"/>
              <w:rPr>
                <w:rFonts w:cs="Arial"/>
                <w:sz w:val="16"/>
                <w:szCs w:val="18"/>
              </w:rPr>
            </w:pPr>
            <w:r w:rsidRPr="00E02972">
              <w:rPr>
                <w:rFonts w:cs="Arial"/>
                <w:sz w:val="16"/>
                <w:szCs w:val="18"/>
              </w:rPr>
              <w:t>When disclosure is required, firms to: (i) provide it in a durable medium; (ii) explain the nature/source of conflicts in sufficient detail to enable the client to make an informed decision; (iii) highlight the risks for the clients and the measures the firm has taken to mitigate these and why these have not worked.</w:t>
            </w:r>
          </w:p>
        </w:tc>
        <w:tc>
          <w:tcPr>
            <w:tcW w:w="306" w:type="pct"/>
            <w:tcBorders>
              <w:top w:val="single" w:sz="4" w:space="0" w:color="auto"/>
              <w:left w:val="single" w:sz="4" w:space="0" w:color="auto"/>
              <w:bottom w:val="single" w:sz="4" w:space="0" w:color="auto"/>
              <w:right w:val="single" w:sz="4" w:space="0" w:color="auto"/>
            </w:tcBorders>
          </w:tcPr>
          <w:p w:rsidR="00032535" w:rsidRPr="00E02972" w:rsidRDefault="00032535" w:rsidP="00F44B85">
            <w:pPr>
              <w:pStyle w:val="BodyParagraphText"/>
              <w:spacing w:line="240" w:lineRule="auto"/>
              <w:jc w:val="both"/>
              <w:rPr>
                <w:rFonts w:cs="Arial"/>
                <w:sz w:val="16"/>
                <w:szCs w:val="18"/>
              </w:rPr>
            </w:pPr>
            <w:r w:rsidRPr="00E02972">
              <w:rPr>
                <w:rFonts w:cs="Arial"/>
                <w:sz w:val="16"/>
                <w:szCs w:val="18"/>
              </w:rPr>
              <w:t>R</w:t>
            </w:r>
            <w:r w:rsidRPr="00E02972">
              <w:rPr>
                <w:rFonts w:cs="Arial"/>
                <w:sz w:val="16"/>
                <w:szCs w:val="18"/>
              </w:rPr>
              <w:br/>
              <w:t>EP</w:t>
            </w:r>
            <w:r w:rsidRPr="00E02972">
              <w:rPr>
                <w:rFonts w:cs="Arial"/>
                <w:sz w:val="16"/>
                <w:szCs w:val="18"/>
              </w:rPr>
              <w:br/>
              <w:t>PSP</w:t>
            </w:r>
            <w:r w:rsidRPr="00E02972">
              <w:rPr>
                <w:rFonts w:cs="Arial"/>
                <w:sz w:val="16"/>
                <w:szCs w:val="18"/>
              </w:rPr>
              <w:br/>
              <w:t>ECP</w:t>
            </w:r>
          </w:p>
        </w:tc>
        <w:tc>
          <w:tcPr>
            <w:tcW w:w="1611" w:type="pct"/>
            <w:tcBorders>
              <w:top w:val="single" w:sz="4" w:space="0" w:color="auto"/>
              <w:left w:val="single" w:sz="4" w:space="0" w:color="auto"/>
              <w:bottom w:val="single" w:sz="4" w:space="0" w:color="auto"/>
              <w:right w:val="single" w:sz="4" w:space="0" w:color="auto"/>
            </w:tcBorders>
          </w:tcPr>
          <w:p w:rsidR="00032535" w:rsidRPr="00E02972" w:rsidRDefault="00F44B85" w:rsidP="00F44B85">
            <w:pPr>
              <w:numPr>
                <w:ilvl w:val="0"/>
                <w:numId w:val="5"/>
              </w:numPr>
              <w:spacing w:before="240" w:after="260"/>
              <w:rPr>
                <w:rFonts w:eastAsia="Times New Roman" w:cs="Arial"/>
                <w:sz w:val="16"/>
                <w:szCs w:val="18"/>
              </w:rPr>
            </w:pPr>
            <w:r w:rsidRPr="00E02972">
              <w:rPr>
                <w:rFonts w:cs="Arial"/>
                <w:sz w:val="16"/>
                <w:szCs w:val="18"/>
              </w:rPr>
              <w:t>Review and amend client agreements to include wording detailing its conflict of interest requirements and method which it will use to communicate any potential conflict and how it is being managed in accordance with the requirements under MiFID 2.</w:t>
            </w:r>
          </w:p>
          <w:p w:rsidR="00032535" w:rsidRPr="00E02972" w:rsidRDefault="00032535" w:rsidP="00F44B85">
            <w:pPr>
              <w:numPr>
                <w:ilvl w:val="0"/>
                <w:numId w:val="5"/>
              </w:numPr>
              <w:spacing w:before="240" w:after="260"/>
              <w:rPr>
                <w:rFonts w:eastAsia="Times New Roman" w:cs="Arial"/>
                <w:sz w:val="16"/>
                <w:szCs w:val="18"/>
              </w:rPr>
            </w:pPr>
            <w:r w:rsidRPr="00E02972">
              <w:rPr>
                <w:rFonts w:cs="Arial"/>
                <w:sz w:val="16"/>
                <w:szCs w:val="18"/>
              </w:rPr>
              <w:t xml:space="preserve">Draft template format document for disclosure of conflicts which could not be successfully prevented (but note specific requirement at </w:t>
            </w:r>
            <w:hyperlink r:id="rId126" w:history="1">
              <w:r w:rsidRPr="00E02972">
                <w:rPr>
                  <w:rStyle w:val="Hyperlink"/>
                  <w:rFonts w:cs="Arial"/>
                  <w:sz w:val="16"/>
                  <w:szCs w:val="18"/>
                </w:rPr>
                <w:t>DR1</w:t>
              </w:r>
            </w:hyperlink>
            <w:r w:rsidRPr="00E02972">
              <w:rPr>
                <w:rStyle w:val="Hyperlink"/>
                <w:rFonts w:cs="Arial"/>
                <w:b/>
                <w:sz w:val="16"/>
                <w:szCs w:val="18"/>
              </w:rPr>
              <w:t xml:space="preserve"> </w:t>
            </w:r>
            <w:r w:rsidRPr="00E02972">
              <w:rPr>
                <w:rFonts w:cs="Arial"/>
                <w:sz w:val="16"/>
                <w:szCs w:val="18"/>
              </w:rPr>
              <w:t>that such disclosures are specifically tailored and therefore details will need to be drafted specifically at the time).</w:t>
            </w:r>
          </w:p>
        </w:tc>
        <w:tc>
          <w:tcPr>
            <w:tcW w:w="625" w:type="pct"/>
            <w:tcBorders>
              <w:top w:val="single" w:sz="4" w:space="0" w:color="auto"/>
              <w:left w:val="single" w:sz="4" w:space="0" w:color="auto"/>
              <w:bottom w:val="single" w:sz="4" w:space="0" w:color="auto"/>
              <w:right w:val="single" w:sz="4" w:space="0" w:color="auto"/>
            </w:tcBorders>
          </w:tcPr>
          <w:p w:rsidR="006D10F0" w:rsidRPr="00E02972" w:rsidRDefault="006D10F0" w:rsidP="00D925E0">
            <w:pPr>
              <w:numPr>
                <w:ilvl w:val="0"/>
                <w:numId w:val="36"/>
              </w:numPr>
              <w:spacing w:before="240" w:after="260"/>
              <w:jc w:val="left"/>
              <w:rPr>
                <w:rFonts w:eastAsia="Times New Roman" w:cs="Arial"/>
                <w:bCs/>
                <w:sz w:val="16"/>
                <w:szCs w:val="18"/>
              </w:rPr>
            </w:pPr>
            <w:r w:rsidRPr="00E02972">
              <w:rPr>
                <w:rFonts w:eastAsia="Times New Roman" w:cs="Arial"/>
                <w:bCs/>
                <w:sz w:val="16"/>
                <w:szCs w:val="18"/>
              </w:rPr>
              <w:t>Client Terms of Business.</w:t>
            </w:r>
          </w:p>
          <w:p w:rsidR="006D10F0" w:rsidRPr="00E02972" w:rsidRDefault="006D10F0" w:rsidP="00D925E0">
            <w:pPr>
              <w:numPr>
                <w:ilvl w:val="0"/>
                <w:numId w:val="36"/>
              </w:numPr>
              <w:spacing w:before="240" w:after="260"/>
              <w:jc w:val="left"/>
              <w:rPr>
                <w:rFonts w:eastAsia="Times New Roman" w:cs="Arial"/>
                <w:bCs/>
                <w:sz w:val="16"/>
                <w:szCs w:val="18"/>
              </w:rPr>
            </w:pPr>
            <w:r w:rsidRPr="00E02972">
              <w:rPr>
                <w:rFonts w:eastAsia="Times New Roman" w:cs="Arial"/>
                <w:bCs/>
                <w:sz w:val="16"/>
                <w:szCs w:val="18"/>
              </w:rPr>
              <w:t>Client covering letters (to send with general terms of business).</w:t>
            </w:r>
          </w:p>
          <w:p w:rsidR="006A56B7" w:rsidRPr="00E02972" w:rsidRDefault="006A56B7" w:rsidP="00D925E0">
            <w:pPr>
              <w:numPr>
                <w:ilvl w:val="0"/>
                <w:numId w:val="36"/>
              </w:numPr>
              <w:spacing w:before="240" w:after="260"/>
              <w:jc w:val="left"/>
              <w:rPr>
                <w:rFonts w:eastAsia="Times New Roman" w:cs="Arial"/>
                <w:bCs/>
                <w:sz w:val="16"/>
                <w:szCs w:val="18"/>
              </w:rPr>
            </w:pPr>
            <w:r w:rsidRPr="00E02972">
              <w:rPr>
                <w:rFonts w:eastAsia="Times New Roman" w:cs="Arial"/>
                <w:bCs/>
                <w:sz w:val="16"/>
                <w:szCs w:val="18"/>
              </w:rPr>
              <w:t xml:space="preserve">Template disclosure document and procedure for clients. </w:t>
            </w:r>
          </w:p>
          <w:p w:rsidR="006D10F0" w:rsidRPr="00E02972" w:rsidRDefault="006D10F0" w:rsidP="00D925E0">
            <w:pPr>
              <w:numPr>
                <w:ilvl w:val="0"/>
                <w:numId w:val="36"/>
              </w:numPr>
              <w:spacing w:before="240" w:after="260"/>
              <w:jc w:val="left"/>
              <w:rPr>
                <w:rFonts w:eastAsia="Times New Roman" w:cs="Arial"/>
                <w:bCs/>
                <w:sz w:val="16"/>
                <w:szCs w:val="18"/>
              </w:rPr>
            </w:pPr>
            <w:r w:rsidRPr="00E02972">
              <w:rPr>
                <w:rFonts w:eastAsia="Times New Roman" w:cs="Arial"/>
                <w:bCs/>
                <w:sz w:val="16"/>
                <w:szCs w:val="18"/>
              </w:rPr>
              <w:t>Investment Management Agreements.</w:t>
            </w:r>
          </w:p>
          <w:p w:rsidR="00032535" w:rsidRPr="00E02972" w:rsidRDefault="006D10F0" w:rsidP="00D925E0">
            <w:pPr>
              <w:numPr>
                <w:ilvl w:val="0"/>
                <w:numId w:val="36"/>
              </w:numPr>
              <w:spacing w:before="240" w:after="260"/>
              <w:jc w:val="left"/>
              <w:rPr>
                <w:rFonts w:eastAsia="Times New Roman" w:cs="Arial"/>
                <w:sz w:val="16"/>
                <w:szCs w:val="18"/>
              </w:rPr>
            </w:pPr>
            <w:r w:rsidRPr="00E02972">
              <w:rPr>
                <w:rFonts w:eastAsia="Times New Roman" w:cs="Arial"/>
                <w:bCs/>
                <w:sz w:val="16"/>
                <w:szCs w:val="18"/>
              </w:rPr>
              <w:t>Investment advisory agreements.</w:t>
            </w:r>
          </w:p>
          <w:p w:rsidR="006D10F0" w:rsidRPr="00E02972" w:rsidRDefault="006D10F0" w:rsidP="00D925E0">
            <w:pPr>
              <w:numPr>
                <w:ilvl w:val="0"/>
                <w:numId w:val="36"/>
              </w:numPr>
              <w:spacing w:before="240" w:after="260"/>
              <w:jc w:val="left"/>
              <w:rPr>
                <w:rFonts w:eastAsia="Times New Roman" w:cs="Arial"/>
                <w:sz w:val="16"/>
                <w:szCs w:val="18"/>
              </w:rPr>
            </w:pPr>
            <w:r w:rsidRPr="00E02972">
              <w:rPr>
                <w:rFonts w:eastAsia="Times New Roman" w:cs="Arial"/>
                <w:bCs/>
                <w:sz w:val="16"/>
                <w:szCs w:val="18"/>
              </w:rPr>
              <w:t xml:space="preserve">Template conflict disclosure document. </w:t>
            </w:r>
          </w:p>
        </w:tc>
        <w:tc>
          <w:tcPr>
            <w:tcW w:w="416" w:type="pct"/>
            <w:tcBorders>
              <w:top w:val="single" w:sz="4" w:space="0" w:color="auto"/>
              <w:left w:val="single" w:sz="4" w:space="0" w:color="auto"/>
              <w:bottom w:val="single" w:sz="4" w:space="0" w:color="auto"/>
              <w:right w:val="single" w:sz="4" w:space="0" w:color="auto"/>
            </w:tcBorders>
          </w:tcPr>
          <w:p w:rsidR="00032535" w:rsidRPr="00E02972" w:rsidRDefault="00032535" w:rsidP="00F44B85">
            <w:pPr>
              <w:numPr>
                <w:ilvl w:val="0"/>
                <w:numId w:val="5"/>
              </w:numPr>
              <w:spacing w:before="240" w:after="260"/>
              <w:rPr>
                <w:rFonts w:eastAsia="Times New Roman" w:cs="Arial"/>
                <w:sz w:val="16"/>
                <w:szCs w:val="18"/>
              </w:rPr>
            </w:pPr>
          </w:p>
        </w:tc>
      </w:tr>
      <w:tr w:rsidR="00032535" w:rsidRPr="00E02972" w:rsidTr="00F44B85">
        <w:tc>
          <w:tcPr>
            <w:tcW w:w="455" w:type="pct"/>
            <w:tcBorders>
              <w:top w:val="single" w:sz="4" w:space="0" w:color="auto"/>
              <w:left w:val="single" w:sz="4" w:space="0" w:color="auto"/>
              <w:bottom w:val="single" w:sz="4" w:space="0" w:color="auto"/>
              <w:right w:val="single" w:sz="4" w:space="0" w:color="auto"/>
            </w:tcBorders>
            <w:shd w:val="clear" w:color="auto" w:fill="69889A"/>
          </w:tcPr>
          <w:p w:rsidR="00032535" w:rsidRPr="00E02972" w:rsidRDefault="00032535" w:rsidP="00C17B99">
            <w:pPr>
              <w:spacing w:before="120" w:after="120"/>
              <w:jc w:val="left"/>
              <w:rPr>
                <w:rFonts w:eastAsia="Times New Roman" w:cs="Arial"/>
                <w:b/>
                <w:bCs/>
                <w:color w:val="FFFFFF" w:themeColor="background1"/>
                <w:sz w:val="16"/>
                <w:szCs w:val="18"/>
                <w:lang w:eastAsia="en-GB"/>
              </w:rPr>
            </w:pPr>
            <w:r w:rsidRPr="00E02972">
              <w:rPr>
                <w:rFonts w:eastAsia="Times New Roman" w:cs="Arial"/>
                <w:b/>
                <w:bCs/>
                <w:color w:val="FFFFFF" w:themeColor="background1"/>
                <w:sz w:val="16"/>
                <w:szCs w:val="18"/>
                <w:lang w:eastAsia="en-GB"/>
              </w:rPr>
              <w:t>RECORD KEEPING</w:t>
            </w:r>
            <w:r w:rsidRPr="00E02972">
              <w:rPr>
                <w:rFonts w:eastAsia="Times New Roman" w:cs="Arial"/>
                <w:b/>
                <w:bCs/>
                <w:color w:val="FFFFFF" w:themeColor="background1"/>
                <w:sz w:val="16"/>
                <w:szCs w:val="18"/>
                <w:lang w:eastAsia="en-GB"/>
              </w:rPr>
              <w:fldChar w:fldCharType="begin"/>
            </w:r>
            <w:r w:rsidRPr="00E02972">
              <w:rPr>
                <w:rFonts w:eastAsia="Times New Roman" w:cs="Arial"/>
                <w:b/>
                <w:bCs/>
                <w:color w:val="FFFFFF" w:themeColor="background1"/>
                <w:sz w:val="16"/>
                <w:szCs w:val="18"/>
                <w:lang w:eastAsia="en-GB"/>
              </w:rPr>
              <w:instrText xml:space="preserve"> </w:instrText>
            </w:r>
            <w:r w:rsidRPr="00E02972">
              <w:rPr>
                <w:rFonts w:eastAsia="Times New Roman" w:cs="Arial"/>
                <w:b/>
                <w:bCs/>
                <w:color w:val="FFFFFF" w:themeColor="background1"/>
                <w:sz w:val="16"/>
                <w:szCs w:val="18"/>
                <w:lang w:eastAsia="en-GB"/>
              </w:rPr>
              <w:fldChar w:fldCharType="end"/>
            </w:r>
            <w:r w:rsidRPr="00E02972">
              <w:rPr>
                <w:rFonts w:eastAsia="Times New Roman" w:cs="Arial"/>
                <w:b/>
                <w:bCs/>
                <w:color w:val="FFFFFF" w:themeColor="background1"/>
                <w:sz w:val="16"/>
                <w:szCs w:val="18"/>
                <w:lang w:eastAsia="en-GB"/>
              </w:rPr>
              <w:t xml:space="preserve"> (Other than telephone taping)</w:t>
            </w:r>
          </w:p>
        </w:tc>
        <w:tc>
          <w:tcPr>
            <w:tcW w:w="374" w:type="pct"/>
            <w:tcBorders>
              <w:top w:val="single" w:sz="4" w:space="0" w:color="auto"/>
              <w:left w:val="single" w:sz="4" w:space="0" w:color="auto"/>
              <w:bottom w:val="single" w:sz="4" w:space="0" w:color="auto"/>
              <w:right w:val="single" w:sz="4" w:space="0" w:color="auto"/>
            </w:tcBorders>
          </w:tcPr>
          <w:p w:rsidR="006D10F0" w:rsidRPr="00E02972" w:rsidRDefault="006C2CF1" w:rsidP="006D10F0">
            <w:pPr>
              <w:pStyle w:val="BodyParagraphText"/>
              <w:rPr>
                <w:rFonts w:cs="Arial"/>
                <w:sz w:val="16"/>
                <w:szCs w:val="18"/>
                <w:lang w:val="de-DE"/>
              </w:rPr>
            </w:pPr>
            <w:hyperlink r:id="rId127" w:history="1">
              <w:r w:rsidR="006D10F0" w:rsidRPr="00E02972">
                <w:rPr>
                  <w:rStyle w:val="Hyperlink"/>
                  <w:rFonts w:cs="Arial"/>
                  <w:sz w:val="16"/>
                  <w:szCs w:val="18"/>
                  <w:lang w:val="de-DE"/>
                </w:rPr>
                <w:t>D</w:t>
              </w:r>
            </w:hyperlink>
            <w:r w:rsidR="006D10F0" w:rsidRPr="00E02972">
              <w:rPr>
                <w:rFonts w:cs="Arial"/>
                <w:sz w:val="16"/>
                <w:szCs w:val="18"/>
                <w:lang w:val="de-DE"/>
              </w:rPr>
              <w:t xml:space="preserve">  Art 16(6)</w:t>
            </w:r>
          </w:p>
          <w:p w:rsidR="006D10F0" w:rsidRPr="00E02972" w:rsidRDefault="006D10F0" w:rsidP="006D10F0">
            <w:pPr>
              <w:pStyle w:val="BodyParagraphText"/>
              <w:rPr>
                <w:rFonts w:cs="Arial"/>
                <w:sz w:val="16"/>
                <w:szCs w:val="18"/>
                <w:lang w:val="de-DE"/>
              </w:rPr>
            </w:pPr>
            <w:r w:rsidRPr="00E02972">
              <w:rPr>
                <w:rFonts w:cs="Arial"/>
                <w:sz w:val="16"/>
                <w:szCs w:val="18"/>
                <w:lang w:val="de-DE"/>
              </w:rPr>
              <w:t>L2: (</w:t>
            </w:r>
            <w:hyperlink r:id="rId128" w:history="1">
              <w:hyperlink r:id="rId129" w:history="1">
                <w:hyperlink r:id="rId130" w:history="1">
                  <w:r w:rsidRPr="00E02972">
                    <w:rPr>
                      <w:rStyle w:val="Hyperlink"/>
                      <w:rFonts w:cs="Arial"/>
                      <w:sz w:val="16"/>
                      <w:szCs w:val="18"/>
                      <w:lang w:val="de-DE"/>
                    </w:rPr>
                    <w:t>CP1</w:t>
                  </w:r>
                </w:hyperlink>
              </w:hyperlink>
            </w:hyperlink>
            <w:r w:rsidRPr="00E02972">
              <w:rPr>
                <w:rFonts w:cs="Arial"/>
                <w:b/>
                <w:sz w:val="16"/>
                <w:szCs w:val="18"/>
                <w:lang w:val="de-DE"/>
              </w:rPr>
              <w:t xml:space="preserve">, </w:t>
            </w:r>
            <w:hyperlink r:id="rId131" w:history="1">
              <w:r w:rsidRPr="00E02972">
                <w:rPr>
                  <w:rStyle w:val="Hyperlink"/>
                  <w:rFonts w:cs="Arial"/>
                  <w:sz w:val="16"/>
                  <w:szCs w:val="18"/>
                  <w:lang w:val="de-DE"/>
                </w:rPr>
                <w:t>FR</w:t>
              </w:r>
            </w:hyperlink>
            <w:r w:rsidRPr="00E02972">
              <w:rPr>
                <w:rStyle w:val="Hyperlink"/>
                <w:rFonts w:cs="Arial"/>
                <w:sz w:val="16"/>
                <w:szCs w:val="18"/>
                <w:lang w:val="de-DE"/>
              </w:rPr>
              <w:t>)</w:t>
            </w:r>
            <w:r w:rsidRPr="00E02972">
              <w:rPr>
                <w:rFonts w:cs="Arial"/>
                <w:sz w:val="16"/>
                <w:szCs w:val="18"/>
                <w:lang w:val="de-DE"/>
              </w:rPr>
              <w:t>,</w:t>
            </w:r>
          </w:p>
          <w:p w:rsidR="006D10F0" w:rsidRPr="00E02972" w:rsidRDefault="006C2CF1" w:rsidP="00D925E0">
            <w:pPr>
              <w:pStyle w:val="BodyParagraphText"/>
              <w:keepLines w:val="0"/>
              <w:widowControl w:val="0"/>
              <w:numPr>
                <w:ilvl w:val="0"/>
                <w:numId w:val="37"/>
              </w:numPr>
              <w:spacing w:before="120" w:after="40" w:line="240" w:lineRule="auto"/>
              <w:rPr>
                <w:rFonts w:cs="Arial"/>
                <w:color w:val="0000FF"/>
                <w:sz w:val="16"/>
                <w:szCs w:val="18"/>
                <w:lang w:val="de-DE"/>
              </w:rPr>
            </w:pPr>
            <w:hyperlink r:id="rId132" w:history="1">
              <w:r w:rsidR="006D10F0" w:rsidRPr="00E02972">
                <w:rPr>
                  <w:rStyle w:val="Hyperlink"/>
                  <w:rFonts w:cs="Arial"/>
                  <w:color w:val="0000FF"/>
                  <w:sz w:val="16"/>
                  <w:szCs w:val="18"/>
                  <w:lang w:val="de-DE"/>
                </w:rPr>
                <w:t>DR1</w:t>
              </w:r>
            </w:hyperlink>
            <w:hyperlink r:id="rId133" w:history="1">
              <w:r w:rsidR="006D10F0" w:rsidRPr="00E02972">
                <w:rPr>
                  <w:rStyle w:val="Hyperlink"/>
                  <w:rFonts w:cs="Arial"/>
                  <w:color w:val="0000FF"/>
                  <w:sz w:val="16"/>
                  <w:szCs w:val="18"/>
                  <w:lang w:val="de-DE"/>
                </w:rPr>
                <w:t xml:space="preserve"> (Art 72-75</w:t>
              </w:r>
            </w:hyperlink>
            <w:r w:rsidR="006D10F0" w:rsidRPr="00E02972">
              <w:rPr>
                <w:rStyle w:val="Hyperlink"/>
                <w:rFonts w:cs="Arial"/>
                <w:color w:val="0000FF"/>
                <w:sz w:val="16"/>
                <w:szCs w:val="18"/>
                <w:lang w:val="de-DE"/>
              </w:rPr>
              <w:t xml:space="preserve">) </w:t>
            </w:r>
          </w:p>
          <w:p w:rsidR="006D10F0" w:rsidRPr="00E02972" w:rsidRDefault="006D10F0" w:rsidP="006D10F0">
            <w:pPr>
              <w:pStyle w:val="BodyParagraphText"/>
              <w:rPr>
                <w:rStyle w:val="Hyperlink"/>
                <w:rFonts w:cs="Arial"/>
                <w:sz w:val="16"/>
                <w:szCs w:val="18"/>
              </w:rPr>
            </w:pPr>
            <w:r w:rsidRPr="00E02972">
              <w:rPr>
                <w:rFonts w:cs="Arial"/>
                <w:sz w:val="16"/>
                <w:szCs w:val="18"/>
              </w:rPr>
              <w:t>L3: (</w:t>
            </w:r>
            <w:hyperlink r:id="rId134" w:history="1">
              <w:r w:rsidRPr="00E02972">
                <w:rPr>
                  <w:rStyle w:val="Hyperlink"/>
                  <w:rFonts w:cs="Arial"/>
                  <w:sz w:val="16"/>
                  <w:szCs w:val="18"/>
                </w:rPr>
                <w:t>CP8</w:t>
              </w:r>
            </w:hyperlink>
            <w:r w:rsidRPr="00E02972">
              <w:rPr>
                <w:rStyle w:val="Hyperlink"/>
                <w:rFonts w:cs="Arial"/>
                <w:b/>
                <w:sz w:val="16"/>
                <w:szCs w:val="18"/>
              </w:rPr>
              <w:t>)</w:t>
            </w:r>
          </w:p>
          <w:p w:rsidR="006D10F0" w:rsidRPr="00E02972" w:rsidRDefault="006C2CF1" w:rsidP="00D925E0">
            <w:pPr>
              <w:pStyle w:val="BodyParagraphText"/>
              <w:keepLines w:val="0"/>
              <w:widowControl w:val="0"/>
              <w:numPr>
                <w:ilvl w:val="0"/>
                <w:numId w:val="37"/>
              </w:numPr>
              <w:spacing w:before="120" w:after="40" w:line="240" w:lineRule="auto"/>
              <w:rPr>
                <w:rStyle w:val="Hyperlink"/>
                <w:rFonts w:eastAsia="Arial" w:cs="Arial"/>
                <w:sz w:val="16"/>
                <w:szCs w:val="18"/>
              </w:rPr>
            </w:pPr>
            <w:hyperlink r:id="rId135" w:history="1">
              <w:r w:rsidR="006D10F0" w:rsidRPr="00E02972">
                <w:rPr>
                  <w:rStyle w:val="Hyperlink"/>
                  <w:rFonts w:cs="Arial"/>
                  <w:color w:val="0000FF"/>
                  <w:sz w:val="16"/>
                  <w:szCs w:val="18"/>
                </w:rPr>
                <w:t>FR10</w:t>
              </w:r>
            </w:hyperlink>
            <w:r w:rsidR="006D10F0" w:rsidRPr="00E02972">
              <w:rPr>
                <w:rStyle w:val="Hyperlink"/>
                <w:rFonts w:cs="Arial"/>
                <w:color w:val="0000FF"/>
                <w:sz w:val="16"/>
                <w:szCs w:val="18"/>
              </w:rPr>
              <w:t xml:space="preserve"> (Final Guidelines on Transaction Reporting),</w:t>
            </w:r>
          </w:p>
          <w:p w:rsidR="00032535" w:rsidRPr="00E02972" w:rsidRDefault="006C2CF1" w:rsidP="00D925E0">
            <w:pPr>
              <w:numPr>
                <w:ilvl w:val="0"/>
                <w:numId w:val="37"/>
              </w:numPr>
              <w:spacing w:before="240" w:after="260"/>
              <w:jc w:val="left"/>
              <w:rPr>
                <w:rFonts w:eastAsia="Times New Roman" w:cs="Arial"/>
                <w:sz w:val="16"/>
                <w:szCs w:val="18"/>
              </w:rPr>
            </w:pPr>
            <w:hyperlink r:id="rId136" w:history="1">
              <w:r w:rsidR="00494E74" w:rsidRPr="00E02972">
                <w:rPr>
                  <w:rFonts w:eastAsia="Arial" w:cs="Arial"/>
                  <w:b/>
                  <w:color w:val="0000FF"/>
                  <w:sz w:val="16"/>
                  <w:szCs w:val="18"/>
                  <w:u w:val="single"/>
                  <w:lang w:eastAsia="en-GB"/>
                </w:rPr>
                <w:t>Investor Protection Q&amp;A</w:t>
              </w:r>
            </w:hyperlink>
          </w:p>
        </w:tc>
        <w:tc>
          <w:tcPr>
            <w:tcW w:w="1213" w:type="pct"/>
            <w:tcBorders>
              <w:top w:val="single" w:sz="4" w:space="0" w:color="auto"/>
              <w:left w:val="single" w:sz="4" w:space="0" w:color="auto"/>
              <w:bottom w:val="single" w:sz="4" w:space="0" w:color="auto"/>
              <w:right w:val="single" w:sz="4" w:space="0" w:color="auto"/>
            </w:tcBorders>
          </w:tcPr>
          <w:p w:rsidR="00032535" w:rsidRPr="00E02972" w:rsidRDefault="00032535" w:rsidP="00F44B85">
            <w:pPr>
              <w:pStyle w:val="BodyParagraphText"/>
              <w:jc w:val="both"/>
              <w:rPr>
                <w:rFonts w:cs="Arial"/>
                <w:sz w:val="16"/>
                <w:szCs w:val="18"/>
                <w:lang w:val="en-US"/>
              </w:rPr>
            </w:pPr>
            <w:r w:rsidRPr="00E02972">
              <w:rPr>
                <w:rFonts w:cs="Arial"/>
                <w:sz w:val="16"/>
                <w:szCs w:val="18"/>
                <w:lang w:val="en-US"/>
              </w:rPr>
              <w:t xml:space="preserve">Proposed extension of the regime, minimum, non-exhaustive list is set out in </w:t>
            </w:r>
            <w:hyperlink r:id="rId137" w:history="1">
              <w:r w:rsidRPr="00E02972">
                <w:rPr>
                  <w:rStyle w:val="Hyperlink"/>
                  <w:rFonts w:cs="Arial"/>
                  <w:sz w:val="16"/>
                  <w:szCs w:val="18"/>
                  <w:lang w:val="en-US"/>
                </w:rPr>
                <w:t>DR1 Annex 1</w:t>
              </w:r>
            </w:hyperlink>
            <w:r w:rsidRPr="00E02972">
              <w:rPr>
                <w:rFonts w:cs="Arial"/>
                <w:sz w:val="16"/>
                <w:szCs w:val="18"/>
                <w:lang w:val="en-US"/>
              </w:rPr>
              <w:t xml:space="preserve"> of the:</w:t>
            </w:r>
          </w:p>
          <w:p w:rsidR="00032535" w:rsidRPr="00E02972" w:rsidRDefault="00032535" w:rsidP="00F44B85">
            <w:pPr>
              <w:pStyle w:val="BulletPoint1"/>
              <w:numPr>
                <w:ilvl w:val="0"/>
                <w:numId w:val="20"/>
              </w:numPr>
              <w:tabs>
                <w:tab w:val="clear" w:pos="684"/>
                <w:tab w:val="left" w:pos="402"/>
              </w:tabs>
              <w:ind w:left="402" w:hanging="284"/>
              <w:jc w:val="both"/>
              <w:rPr>
                <w:rFonts w:cs="Arial"/>
                <w:sz w:val="16"/>
                <w:szCs w:val="18"/>
              </w:rPr>
            </w:pPr>
            <w:r w:rsidRPr="00E02972">
              <w:rPr>
                <w:rFonts w:cs="Arial"/>
                <w:sz w:val="16"/>
                <w:szCs w:val="18"/>
              </w:rPr>
              <w:t>types of records to be kept;</w:t>
            </w:r>
          </w:p>
          <w:p w:rsidR="00032535" w:rsidRPr="00E02972" w:rsidRDefault="00032535" w:rsidP="00F44B85">
            <w:pPr>
              <w:pStyle w:val="BulletPoint1"/>
              <w:numPr>
                <w:ilvl w:val="0"/>
                <w:numId w:val="20"/>
              </w:numPr>
              <w:tabs>
                <w:tab w:val="clear" w:pos="684"/>
                <w:tab w:val="left" w:pos="402"/>
              </w:tabs>
              <w:ind w:left="402" w:hanging="284"/>
              <w:jc w:val="both"/>
              <w:rPr>
                <w:rFonts w:cs="Arial"/>
                <w:sz w:val="16"/>
                <w:szCs w:val="18"/>
              </w:rPr>
            </w:pPr>
            <w:r w:rsidRPr="00E02972">
              <w:rPr>
                <w:rFonts w:cs="Arial"/>
                <w:sz w:val="16"/>
                <w:szCs w:val="18"/>
              </w:rPr>
              <w:t>content of records;</w:t>
            </w:r>
          </w:p>
          <w:p w:rsidR="00032535" w:rsidRPr="00E02972" w:rsidRDefault="00032535" w:rsidP="00F44B85">
            <w:pPr>
              <w:pStyle w:val="BulletPoint1"/>
              <w:numPr>
                <w:ilvl w:val="0"/>
                <w:numId w:val="20"/>
              </w:numPr>
              <w:tabs>
                <w:tab w:val="clear" w:pos="684"/>
                <w:tab w:val="left" w:pos="402"/>
              </w:tabs>
              <w:ind w:left="402" w:hanging="284"/>
              <w:jc w:val="both"/>
              <w:rPr>
                <w:rFonts w:cs="Arial"/>
                <w:color w:val="0000FF" w:themeColor="hyperlink"/>
                <w:sz w:val="16"/>
                <w:szCs w:val="18"/>
                <w:u w:val="single"/>
              </w:rPr>
            </w:pPr>
            <w:r w:rsidRPr="00E02972">
              <w:rPr>
                <w:rFonts w:cs="Arial"/>
                <w:sz w:val="16"/>
                <w:szCs w:val="18"/>
              </w:rPr>
              <w:t>duration</w:t>
            </w:r>
            <w:r w:rsidRPr="00E02972">
              <w:rPr>
                <w:rFonts w:cs="Arial"/>
                <w:sz w:val="16"/>
                <w:szCs w:val="18"/>
                <w:lang w:val="en-US"/>
              </w:rPr>
              <w:t xml:space="preserve"> of </w:t>
            </w:r>
            <w:r w:rsidRPr="00E02972">
              <w:rPr>
                <w:rFonts w:cs="Arial"/>
                <w:sz w:val="16"/>
                <w:szCs w:val="18"/>
              </w:rPr>
              <w:t>storage</w:t>
            </w:r>
            <w:r w:rsidRPr="00E02972">
              <w:rPr>
                <w:rFonts w:cs="Arial"/>
                <w:sz w:val="16"/>
                <w:szCs w:val="18"/>
                <w:lang w:val="en-US"/>
              </w:rPr>
              <w:t>;</w:t>
            </w:r>
          </w:p>
          <w:p w:rsidR="00032535" w:rsidRPr="00E02972" w:rsidRDefault="00032535" w:rsidP="00F44B85">
            <w:pPr>
              <w:pStyle w:val="BodyParagraphText"/>
              <w:jc w:val="both"/>
              <w:rPr>
                <w:rFonts w:cs="Arial"/>
                <w:sz w:val="16"/>
                <w:szCs w:val="18"/>
                <w:lang w:val="en-US"/>
              </w:rPr>
            </w:pPr>
            <w:r w:rsidRPr="00E02972">
              <w:rPr>
                <w:rFonts w:cs="Arial"/>
                <w:sz w:val="16"/>
                <w:szCs w:val="18"/>
                <w:lang w:val="en-US"/>
              </w:rPr>
              <w:t>Additional requirements states firms must store them in a medium and a way that is accessible so that:</w:t>
            </w:r>
          </w:p>
          <w:p w:rsidR="00032535" w:rsidRPr="00E02972" w:rsidRDefault="00032535" w:rsidP="00F44B85">
            <w:pPr>
              <w:pStyle w:val="BulletPoint1"/>
              <w:numPr>
                <w:ilvl w:val="0"/>
                <w:numId w:val="20"/>
              </w:numPr>
              <w:tabs>
                <w:tab w:val="clear" w:pos="684"/>
                <w:tab w:val="left" w:pos="402"/>
              </w:tabs>
              <w:ind w:left="402" w:hanging="284"/>
              <w:jc w:val="both"/>
              <w:rPr>
                <w:rFonts w:cs="Arial"/>
                <w:sz w:val="16"/>
                <w:szCs w:val="18"/>
              </w:rPr>
            </w:pPr>
            <w:r w:rsidRPr="00E02972">
              <w:rPr>
                <w:rFonts w:cs="Arial"/>
                <w:sz w:val="16"/>
                <w:szCs w:val="18"/>
              </w:rPr>
              <w:t>Competent authorities can review and each stage of transaction can be reconstituted;</w:t>
            </w:r>
          </w:p>
          <w:p w:rsidR="00032535" w:rsidRPr="00E02972" w:rsidRDefault="00032535" w:rsidP="00F44B85">
            <w:pPr>
              <w:pStyle w:val="BulletPoint1"/>
              <w:numPr>
                <w:ilvl w:val="0"/>
                <w:numId w:val="20"/>
              </w:numPr>
              <w:tabs>
                <w:tab w:val="clear" w:pos="684"/>
                <w:tab w:val="left" w:pos="402"/>
              </w:tabs>
              <w:ind w:left="402" w:hanging="284"/>
              <w:jc w:val="both"/>
              <w:rPr>
                <w:rFonts w:cs="Arial"/>
                <w:sz w:val="16"/>
                <w:szCs w:val="18"/>
              </w:rPr>
            </w:pPr>
            <w:r w:rsidRPr="00E02972">
              <w:rPr>
                <w:rFonts w:cs="Arial"/>
                <w:sz w:val="16"/>
                <w:szCs w:val="18"/>
              </w:rPr>
              <w:t>Possible to ascertain any corrections or amendments;</w:t>
            </w:r>
          </w:p>
          <w:p w:rsidR="00032535" w:rsidRPr="00E02972" w:rsidRDefault="00032535" w:rsidP="00F44B85">
            <w:pPr>
              <w:pStyle w:val="BulletPoint1"/>
              <w:numPr>
                <w:ilvl w:val="0"/>
                <w:numId w:val="20"/>
              </w:numPr>
              <w:tabs>
                <w:tab w:val="clear" w:pos="684"/>
                <w:tab w:val="left" w:pos="402"/>
              </w:tabs>
              <w:ind w:left="402" w:hanging="284"/>
              <w:jc w:val="both"/>
              <w:rPr>
                <w:rFonts w:cs="Arial"/>
                <w:sz w:val="16"/>
                <w:szCs w:val="18"/>
              </w:rPr>
            </w:pPr>
            <w:r w:rsidRPr="00E02972">
              <w:rPr>
                <w:rFonts w:cs="Arial"/>
                <w:sz w:val="16"/>
                <w:szCs w:val="18"/>
              </w:rPr>
              <w:t>Not possible for records to be altered or manipulated.</w:t>
            </w:r>
          </w:p>
          <w:p w:rsidR="00032535" w:rsidRPr="00E02972" w:rsidRDefault="00032535" w:rsidP="00F44B85">
            <w:pPr>
              <w:pStyle w:val="BulletPoint1"/>
              <w:numPr>
                <w:ilvl w:val="0"/>
                <w:numId w:val="20"/>
              </w:numPr>
              <w:tabs>
                <w:tab w:val="clear" w:pos="684"/>
                <w:tab w:val="left" w:pos="402"/>
              </w:tabs>
              <w:ind w:left="402" w:hanging="284"/>
              <w:jc w:val="both"/>
              <w:rPr>
                <w:rFonts w:cs="Arial"/>
                <w:sz w:val="16"/>
                <w:szCs w:val="18"/>
              </w:rPr>
            </w:pPr>
            <w:r w:rsidRPr="00E02972">
              <w:rPr>
                <w:rFonts w:cs="Arial"/>
                <w:sz w:val="16"/>
                <w:szCs w:val="18"/>
              </w:rPr>
              <w:t>Allows IT or any other efficient exploitation.</w:t>
            </w:r>
          </w:p>
          <w:p w:rsidR="00032535" w:rsidRPr="00E02972" w:rsidRDefault="00032535" w:rsidP="00F44B85">
            <w:pPr>
              <w:pStyle w:val="BodyParagraphText"/>
              <w:jc w:val="both"/>
              <w:rPr>
                <w:rFonts w:cs="Arial"/>
                <w:sz w:val="16"/>
                <w:szCs w:val="18"/>
                <w:lang w:val="en-US"/>
              </w:rPr>
            </w:pPr>
            <w:r w:rsidRPr="00E02972">
              <w:rPr>
                <w:rFonts w:cs="Arial"/>
                <w:sz w:val="16"/>
                <w:szCs w:val="18"/>
                <w:lang w:val="en-US"/>
              </w:rPr>
              <w:lastRenderedPageBreak/>
              <w:t>Records setting out rights and obligations of firms and clients under agreement shall be retained for at least duration of relationship.</w:t>
            </w:r>
          </w:p>
          <w:p w:rsidR="00032535" w:rsidRPr="00E02972" w:rsidRDefault="00032535" w:rsidP="00F44B85">
            <w:pPr>
              <w:pStyle w:val="BodyParagraphText"/>
              <w:jc w:val="both"/>
              <w:rPr>
                <w:rFonts w:cs="Arial"/>
                <w:sz w:val="16"/>
                <w:szCs w:val="18"/>
              </w:rPr>
            </w:pPr>
            <w:r w:rsidRPr="00E02972">
              <w:rPr>
                <w:rFonts w:cs="Arial"/>
                <w:sz w:val="16"/>
                <w:szCs w:val="18"/>
              </w:rPr>
              <w:t xml:space="preserve">ESMA notes that Member States will have the ability to add additional requirements to the list set out in </w:t>
            </w:r>
            <w:hyperlink r:id="rId138" w:history="1">
              <w:r w:rsidRPr="00E02972">
                <w:rPr>
                  <w:rStyle w:val="Hyperlink"/>
                  <w:rFonts w:cs="Arial"/>
                  <w:sz w:val="16"/>
                  <w:szCs w:val="18"/>
                </w:rPr>
                <w:t>DR1</w:t>
              </w:r>
            </w:hyperlink>
            <w:r w:rsidRPr="00E02972">
              <w:rPr>
                <w:rFonts w:cs="Arial"/>
                <w:sz w:val="16"/>
                <w:szCs w:val="18"/>
              </w:rPr>
              <w:t>.</w:t>
            </w:r>
          </w:p>
          <w:p w:rsidR="00032535" w:rsidRPr="00E02972" w:rsidRDefault="00032535" w:rsidP="00F44B85">
            <w:pPr>
              <w:pStyle w:val="ssPara1"/>
              <w:spacing w:before="240"/>
              <w:rPr>
                <w:rFonts w:eastAsia="Times New Roman" w:cs="Arial"/>
                <w:sz w:val="16"/>
                <w:szCs w:val="18"/>
              </w:rPr>
            </w:pPr>
          </w:p>
        </w:tc>
        <w:tc>
          <w:tcPr>
            <w:tcW w:w="306" w:type="pct"/>
            <w:tcBorders>
              <w:top w:val="single" w:sz="4" w:space="0" w:color="auto"/>
              <w:left w:val="single" w:sz="4" w:space="0" w:color="auto"/>
              <w:bottom w:val="single" w:sz="4" w:space="0" w:color="auto"/>
              <w:right w:val="single" w:sz="4" w:space="0" w:color="auto"/>
            </w:tcBorders>
          </w:tcPr>
          <w:p w:rsidR="00032535" w:rsidRPr="00E02972" w:rsidRDefault="00032535" w:rsidP="00F44B85">
            <w:pPr>
              <w:pStyle w:val="BodyParagraphText"/>
              <w:spacing w:line="240" w:lineRule="auto"/>
              <w:jc w:val="both"/>
              <w:rPr>
                <w:rFonts w:cs="Arial"/>
                <w:sz w:val="16"/>
                <w:szCs w:val="18"/>
              </w:rPr>
            </w:pPr>
            <w:r w:rsidRPr="00E02972">
              <w:rPr>
                <w:rFonts w:cs="Arial"/>
                <w:sz w:val="16"/>
                <w:szCs w:val="18"/>
              </w:rPr>
              <w:lastRenderedPageBreak/>
              <w:t>R</w:t>
            </w:r>
            <w:r w:rsidRPr="00E02972">
              <w:rPr>
                <w:rFonts w:cs="Arial"/>
                <w:sz w:val="16"/>
                <w:szCs w:val="18"/>
              </w:rPr>
              <w:br/>
              <w:t>EP</w:t>
            </w:r>
            <w:r w:rsidRPr="00E02972">
              <w:rPr>
                <w:rFonts w:cs="Arial"/>
                <w:sz w:val="16"/>
                <w:szCs w:val="18"/>
              </w:rPr>
              <w:br/>
              <w:t>PSP</w:t>
            </w:r>
            <w:r w:rsidRPr="00E02972">
              <w:rPr>
                <w:rFonts w:cs="Arial"/>
                <w:sz w:val="16"/>
                <w:szCs w:val="18"/>
              </w:rPr>
              <w:br/>
              <w:t>ECP</w:t>
            </w:r>
          </w:p>
        </w:tc>
        <w:tc>
          <w:tcPr>
            <w:tcW w:w="1611" w:type="pct"/>
            <w:tcBorders>
              <w:top w:val="single" w:sz="4" w:space="0" w:color="auto"/>
              <w:left w:val="single" w:sz="4" w:space="0" w:color="auto"/>
              <w:bottom w:val="single" w:sz="4" w:space="0" w:color="auto"/>
              <w:right w:val="single" w:sz="4" w:space="0" w:color="auto"/>
            </w:tcBorders>
          </w:tcPr>
          <w:p w:rsidR="00032535" w:rsidRPr="00E02972" w:rsidRDefault="00032535" w:rsidP="00F44B85">
            <w:pPr>
              <w:pStyle w:val="ssPara1"/>
              <w:spacing w:before="240"/>
              <w:rPr>
                <w:rFonts w:eastAsia="Times New Roman" w:cs="Arial"/>
                <w:sz w:val="16"/>
                <w:szCs w:val="18"/>
              </w:rPr>
            </w:pPr>
            <w:r w:rsidRPr="00E02972">
              <w:rPr>
                <w:rFonts w:eastAsia="Times New Roman" w:cs="Arial"/>
                <w:sz w:val="16"/>
                <w:szCs w:val="18"/>
              </w:rPr>
              <w:t>Consider data protection and privacy implications of recording and retaining personal data relating to clients. In particular, consider:</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consents or waivers required to be obtained by clients to use any material recorded;</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 xml:space="preserve">disclosures as to how </w:t>
            </w:r>
            <w:r w:rsidR="00F44B85" w:rsidRPr="00E02972">
              <w:rPr>
                <w:rFonts w:cs="Arial"/>
                <w:sz w:val="16"/>
                <w:szCs w:val="18"/>
              </w:rPr>
              <w:t>firm will</w:t>
            </w:r>
            <w:r w:rsidRPr="00E02972">
              <w:rPr>
                <w:rFonts w:cs="Arial"/>
                <w:sz w:val="16"/>
                <w:szCs w:val="18"/>
              </w:rPr>
              <w:t xml:space="preserve"> protect and may use information it has obtained from its clients.</w:t>
            </w:r>
          </w:p>
          <w:p w:rsidR="00032535" w:rsidRPr="00E02972" w:rsidRDefault="00032535" w:rsidP="00F44B85">
            <w:pPr>
              <w:pStyle w:val="ssPara1"/>
              <w:spacing w:before="240"/>
              <w:rPr>
                <w:rFonts w:eastAsia="Times New Roman" w:cs="Arial"/>
                <w:sz w:val="16"/>
                <w:szCs w:val="18"/>
              </w:rPr>
            </w:pPr>
            <w:r w:rsidRPr="00E02972">
              <w:rPr>
                <w:rFonts w:eastAsia="Times New Roman" w:cs="Arial"/>
                <w:sz w:val="16"/>
                <w:szCs w:val="18"/>
              </w:rPr>
              <w:t>Review and amend client agreements /communications, in particular,</w:t>
            </w:r>
          </w:p>
          <w:p w:rsidR="00032535" w:rsidRPr="00E02972" w:rsidRDefault="00032535" w:rsidP="00F44B85">
            <w:pPr>
              <w:pStyle w:val="BulletPoint1"/>
              <w:numPr>
                <w:ilvl w:val="0"/>
                <w:numId w:val="9"/>
              </w:numPr>
              <w:tabs>
                <w:tab w:val="clear" w:pos="684"/>
              </w:tabs>
              <w:jc w:val="both"/>
              <w:rPr>
                <w:rFonts w:cs="Arial"/>
                <w:sz w:val="16"/>
                <w:szCs w:val="18"/>
                <w:lang w:val="en-US" w:eastAsia="en-US"/>
              </w:rPr>
            </w:pPr>
            <w:r w:rsidRPr="00E02972">
              <w:rPr>
                <w:rFonts w:cs="Arial"/>
                <w:sz w:val="16"/>
                <w:szCs w:val="18"/>
              </w:rPr>
              <w:t xml:space="preserve">Consider </w:t>
            </w:r>
            <w:r w:rsidRPr="00E02972">
              <w:rPr>
                <w:rFonts w:eastAsia="Arial" w:cs="Arial"/>
                <w:sz w:val="16"/>
                <w:szCs w:val="18"/>
                <w:lang w:val="en-US"/>
              </w:rPr>
              <w:t>consents</w:t>
            </w:r>
            <w:r w:rsidRPr="00E02972">
              <w:rPr>
                <w:rFonts w:cs="Arial"/>
                <w:sz w:val="16"/>
                <w:szCs w:val="18"/>
              </w:rPr>
              <w:t xml:space="preserve"> required to be obtained from clients; and</w:t>
            </w:r>
          </w:p>
          <w:p w:rsidR="00032535" w:rsidRPr="00E02972" w:rsidRDefault="00032535" w:rsidP="00F44B85">
            <w:pPr>
              <w:pStyle w:val="BulletPoint1"/>
              <w:numPr>
                <w:ilvl w:val="0"/>
                <w:numId w:val="9"/>
              </w:numPr>
              <w:tabs>
                <w:tab w:val="clear" w:pos="684"/>
              </w:tabs>
              <w:jc w:val="both"/>
              <w:rPr>
                <w:rFonts w:cs="Arial"/>
                <w:sz w:val="16"/>
                <w:szCs w:val="18"/>
                <w:lang w:val="en-US" w:eastAsia="en-US"/>
              </w:rPr>
            </w:pPr>
            <w:r w:rsidRPr="00E02972">
              <w:rPr>
                <w:rFonts w:cs="Arial"/>
                <w:sz w:val="16"/>
                <w:szCs w:val="18"/>
              </w:rPr>
              <w:t>Informing clients how records will be stored and used;</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 xml:space="preserve">Any </w:t>
            </w:r>
            <w:r w:rsidRPr="00E02972">
              <w:rPr>
                <w:rFonts w:cs="Arial"/>
                <w:iCs/>
                <w:sz w:val="16"/>
                <w:szCs w:val="18"/>
              </w:rPr>
              <w:t>rights</w:t>
            </w:r>
            <w:r w:rsidRPr="00E02972">
              <w:rPr>
                <w:rFonts w:cs="Arial"/>
                <w:sz w:val="16"/>
                <w:szCs w:val="18"/>
              </w:rPr>
              <w:t xml:space="preserve"> clients may have over d</w:t>
            </w:r>
            <w:r w:rsidR="006D10F0" w:rsidRPr="00E02972">
              <w:rPr>
                <w:rFonts w:cs="Arial"/>
                <w:sz w:val="16"/>
                <w:szCs w:val="18"/>
              </w:rPr>
              <w:t xml:space="preserve">ata or records and rights to request records. </w:t>
            </w:r>
            <w:r w:rsidRPr="00E02972">
              <w:rPr>
                <w:rFonts w:cs="Arial"/>
                <w:sz w:val="16"/>
                <w:szCs w:val="18"/>
              </w:rPr>
              <w:t xml:space="preserve"> </w:t>
            </w:r>
          </w:p>
        </w:tc>
        <w:tc>
          <w:tcPr>
            <w:tcW w:w="625" w:type="pct"/>
            <w:tcBorders>
              <w:top w:val="single" w:sz="4" w:space="0" w:color="auto"/>
              <w:left w:val="single" w:sz="4" w:space="0" w:color="auto"/>
              <w:bottom w:val="single" w:sz="4" w:space="0" w:color="auto"/>
              <w:right w:val="single" w:sz="4" w:space="0" w:color="auto"/>
            </w:tcBorders>
          </w:tcPr>
          <w:p w:rsidR="006D10F0" w:rsidRPr="00E02972" w:rsidRDefault="006D10F0" w:rsidP="006D10F0">
            <w:pPr>
              <w:numPr>
                <w:ilvl w:val="0"/>
                <w:numId w:val="9"/>
              </w:numPr>
              <w:spacing w:before="240" w:after="260"/>
              <w:jc w:val="left"/>
              <w:rPr>
                <w:rFonts w:eastAsia="Times New Roman" w:cs="Arial"/>
                <w:bCs/>
                <w:sz w:val="16"/>
                <w:szCs w:val="18"/>
              </w:rPr>
            </w:pPr>
            <w:r w:rsidRPr="00E02972">
              <w:rPr>
                <w:rFonts w:eastAsia="Times New Roman" w:cs="Arial"/>
                <w:bCs/>
                <w:sz w:val="16"/>
                <w:szCs w:val="18"/>
              </w:rPr>
              <w:t>Client Terms of Business.</w:t>
            </w:r>
          </w:p>
          <w:p w:rsidR="006D10F0" w:rsidRPr="00E02972" w:rsidRDefault="006D10F0" w:rsidP="006D10F0">
            <w:pPr>
              <w:numPr>
                <w:ilvl w:val="0"/>
                <w:numId w:val="9"/>
              </w:numPr>
              <w:spacing w:before="240" w:after="260"/>
              <w:jc w:val="left"/>
              <w:rPr>
                <w:rFonts w:eastAsia="Times New Roman" w:cs="Arial"/>
                <w:bCs/>
                <w:sz w:val="16"/>
                <w:szCs w:val="18"/>
              </w:rPr>
            </w:pPr>
            <w:r w:rsidRPr="00E02972">
              <w:rPr>
                <w:rFonts w:eastAsia="Times New Roman" w:cs="Arial"/>
                <w:bCs/>
                <w:sz w:val="16"/>
                <w:szCs w:val="18"/>
              </w:rPr>
              <w:t>Client covering letters (to send with general terms of business).</w:t>
            </w:r>
          </w:p>
          <w:p w:rsidR="006D10F0" w:rsidRPr="00E02972" w:rsidRDefault="006D10F0" w:rsidP="006D10F0">
            <w:pPr>
              <w:numPr>
                <w:ilvl w:val="0"/>
                <w:numId w:val="9"/>
              </w:numPr>
              <w:spacing w:before="240" w:after="260"/>
              <w:jc w:val="left"/>
              <w:rPr>
                <w:rFonts w:eastAsia="Times New Roman" w:cs="Arial"/>
                <w:bCs/>
                <w:sz w:val="16"/>
                <w:szCs w:val="18"/>
              </w:rPr>
            </w:pPr>
            <w:r w:rsidRPr="00E02972">
              <w:rPr>
                <w:rFonts w:eastAsia="Times New Roman" w:cs="Arial"/>
                <w:bCs/>
                <w:sz w:val="16"/>
                <w:szCs w:val="18"/>
              </w:rPr>
              <w:t>Investment Management Agreements.</w:t>
            </w:r>
          </w:p>
          <w:p w:rsidR="00032535" w:rsidRPr="00E02972" w:rsidRDefault="006D10F0" w:rsidP="006D10F0">
            <w:pPr>
              <w:numPr>
                <w:ilvl w:val="0"/>
                <w:numId w:val="9"/>
              </w:numPr>
              <w:spacing w:before="240" w:after="260"/>
              <w:jc w:val="left"/>
              <w:rPr>
                <w:rFonts w:eastAsia="Times New Roman" w:cs="Arial"/>
                <w:sz w:val="16"/>
                <w:szCs w:val="18"/>
              </w:rPr>
            </w:pPr>
            <w:r w:rsidRPr="00E02972">
              <w:rPr>
                <w:rFonts w:eastAsia="Times New Roman" w:cs="Arial"/>
                <w:bCs/>
                <w:sz w:val="16"/>
                <w:szCs w:val="18"/>
              </w:rPr>
              <w:t>Investment advisory agreements.</w:t>
            </w:r>
          </w:p>
          <w:p w:rsidR="006D10F0" w:rsidRPr="00E02972" w:rsidRDefault="006D10F0" w:rsidP="006A56B7">
            <w:pPr>
              <w:numPr>
                <w:ilvl w:val="0"/>
                <w:numId w:val="9"/>
              </w:numPr>
              <w:spacing w:before="240" w:after="260"/>
              <w:jc w:val="left"/>
              <w:rPr>
                <w:rFonts w:eastAsia="Times New Roman" w:cs="Arial"/>
                <w:sz w:val="16"/>
                <w:szCs w:val="18"/>
              </w:rPr>
            </w:pPr>
            <w:r w:rsidRPr="00E02972">
              <w:rPr>
                <w:rFonts w:eastAsia="Times New Roman" w:cs="Arial"/>
                <w:bCs/>
                <w:sz w:val="16"/>
                <w:szCs w:val="18"/>
              </w:rPr>
              <w:t>Written express consents.</w:t>
            </w:r>
          </w:p>
          <w:p w:rsidR="006A56B7" w:rsidRPr="00E02972" w:rsidRDefault="006A56B7" w:rsidP="006A56B7">
            <w:pPr>
              <w:numPr>
                <w:ilvl w:val="0"/>
                <w:numId w:val="9"/>
              </w:numPr>
              <w:spacing w:before="240" w:after="260"/>
              <w:jc w:val="left"/>
              <w:rPr>
                <w:rFonts w:eastAsia="Times New Roman" w:cs="Arial"/>
                <w:sz w:val="16"/>
                <w:szCs w:val="18"/>
              </w:rPr>
            </w:pPr>
            <w:r w:rsidRPr="00E02972">
              <w:rPr>
                <w:rFonts w:eastAsia="Times New Roman" w:cs="Arial"/>
                <w:bCs/>
                <w:sz w:val="16"/>
                <w:szCs w:val="18"/>
              </w:rPr>
              <w:t xml:space="preserve">Data protection and privacy wording in client </w:t>
            </w:r>
            <w:r w:rsidRPr="00E02972">
              <w:rPr>
                <w:rFonts w:eastAsia="Times New Roman" w:cs="Arial"/>
                <w:bCs/>
                <w:sz w:val="16"/>
                <w:szCs w:val="18"/>
              </w:rPr>
              <w:lastRenderedPageBreak/>
              <w:t xml:space="preserve">documentation. </w:t>
            </w:r>
          </w:p>
        </w:tc>
        <w:tc>
          <w:tcPr>
            <w:tcW w:w="416" w:type="pct"/>
            <w:tcBorders>
              <w:top w:val="single" w:sz="4" w:space="0" w:color="auto"/>
              <w:left w:val="single" w:sz="4" w:space="0" w:color="auto"/>
              <w:bottom w:val="single" w:sz="4" w:space="0" w:color="auto"/>
              <w:right w:val="single" w:sz="4" w:space="0" w:color="auto"/>
            </w:tcBorders>
          </w:tcPr>
          <w:p w:rsidR="00032535" w:rsidRPr="00E02972" w:rsidRDefault="00032535" w:rsidP="00F44B85">
            <w:pPr>
              <w:pStyle w:val="ssPara1"/>
              <w:spacing w:before="240"/>
              <w:rPr>
                <w:rFonts w:eastAsia="Times New Roman" w:cs="Arial"/>
                <w:sz w:val="16"/>
                <w:szCs w:val="18"/>
              </w:rPr>
            </w:pPr>
            <w:r w:rsidRPr="00E02972">
              <w:rPr>
                <w:rFonts w:eastAsia="Times New Roman" w:cs="Arial"/>
                <w:sz w:val="16"/>
                <w:szCs w:val="18"/>
              </w:rPr>
              <w:lastRenderedPageBreak/>
              <w:t>Consider any consents or waivers required to be obtained from clients for data protection and/or privacy purposes.</w:t>
            </w:r>
          </w:p>
        </w:tc>
      </w:tr>
      <w:tr w:rsidR="00032535" w:rsidRPr="00E02972" w:rsidTr="00F44B85">
        <w:tc>
          <w:tcPr>
            <w:tcW w:w="455" w:type="pct"/>
            <w:tcBorders>
              <w:top w:val="single" w:sz="4" w:space="0" w:color="auto"/>
              <w:left w:val="single" w:sz="4" w:space="0" w:color="auto"/>
              <w:bottom w:val="single" w:sz="4" w:space="0" w:color="auto"/>
              <w:right w:val="single" w:sz="4" w:space="0" w:color="auto"/>
            </w:tcBorders>
            <w:shd w:val="clear" w:color="auto" w:fill="69889A"/>
          </w:tcPr>
          <w:p w:rsidR="00032535" w:rsidRPr="00E02972" w:rsidRDefault="00032535" w:rsidP="00C17B99">
            <w:pPr>
              <w:spacing w:before="120" w:after="120"/>
              <w:jc w:val="left"/>
              <w:rPr>
                <w:rFonts w:eastAsia="Times New Roman" w:cs="Arial"/>
                <w:b/>
                <w:bCs/>
                <w:color w:val="FFFFFF" w:themeColor="background1"/>
                <w:sz w:val="16"/>
                <w:szCs w:val="18"/>
                <w:lang w:eastAsia="en-GB"/>
              </w:rPr>
            </w:pPr>
            <w:r w:rsidRPr="00E02972">
              <w:rPr>
                <w:rFonts w:eastAsia="Times New Roman" w:cs="Arial"/>
                <w:b/>
                <w:bCs/>
                <w:color w:val="FFFFFF" w:themeColor="background1"/>
                <w:sz w:val="16"/>
                <w:szCs w:val="18"/>
                <w:lang w:eastAsia="en-GB"/>
              </w:rPr>
              <w:t>TELEPHONE TAPING AND RECORD KEEPING</w:t>
            </w:r>
          </w:p>
        </w:tc>
        <w:tc>
          <w:tcPr>
            <w:tcW w:w="374" w:type="pct"/>
            <w:tcBorders>
              <w:top w:val="single" w:sz="4" w:space="0" w:color="auto"/>
              <w:left w:val="single" w:sz="4" w:space="0" w:color="auto"/>
              <w:bottom w:val="single" w:sz="4" w:space="0" w:color="auto"/>
              <w:right w:val="single" w:sz="4" w:space="0" w:color="auto"/>
            </w:tcBorders>
          </w:tcPr>
          <w:p w:rsidR="00032535" w:rsidRPr="00E02972" w:rsidRDefault="006C2CF1" w:rsidP="00C17B99">
            <w:pPr>
              <w:pStyle w:val="BodyParagraphText"/>
              <w:rPr>
                <w:rFonts w:cs="Arial"/>
                <w:sz w:val="16"/>
                <w:szCs w:val="18"/>
              </w:rPr>
            </w:pPr>
            <w:hyperlink r:id="rId139" w:history="1">
              <w:r w:rsidR="00032535" w:rsidRPr="00E02972">
                <w:rPr>
                  <w:rStyle w:val="Hyperlink"/>
                  <w:rFonts w:cs="Arial"/>
                  <w:sz w:val="16"/>
                  <w:szCs w:val="18"/>
                </w:rPr>
                <w:t>D</w:t>
              </w:r>
            </w:hyperlink>
            <w:r w:rsidR="00032535" w:rsidRPr="00E02972">
              <w:rPr>
                <w:rFonts w:cs="Arial"/>
                <w:sz w:val="16"/>
                <w:szCs w:val="18"/>
              </w:rPr>
              <w:t xml:space="preserve"> Art 16(7)</w:t>
            </w:r>
          </w:p>
          <w:p w:rsidR="00BE24BA" w:rsidRPr="00E02972" w:rsidRDefault="00032535" w:rsidP="006E3A87">
            <w:pPr>
              <w:spacing w:before="240" w:after="260"/>
              <w:jc w:val="left"/>
              <w:rPr>
                <w:rFonts w:cs="Arial"/>
                <w:sz w:val="16"/>
                <w:szCs w:val="18"/>
              </w:rPr>
            </w:pPr>
            <w:r w:rsidRPr="00E02972">
              <w:rPr>
                <w:rFonts w:cs="Arial"/>
                <w:sz w:val="16"/>
                <w:szCs w:val="18"/>
              </w:rPr>
              <w:t xml:space="preserve">L2: </w:t>
            </w:r>
            <w:r w:rsidR="00BE24BA" w:rsidRPr="00E02972">
              <w:rPr>
                <w:rFonts w:cs="Arial"/>
                <w:sz w:val="16"/>
                <w:szCs w:val="18"/>
              </w:rPr>
              <w:t>(</w:t>
            </w:r>
            <w:hyperlink r:id="rId140" w:history="1">
              <w:hyperlink r:id="rId141" w:history="1">
                <w:hyperlink r:id="rId142" w:history="1">
                  <w:r w:rsidRPr="00E02972">
                    <w:rPr>
                      <w:rStyle w:val="Hyperlink"/>
                      <w:rFonts w:cs="Arial"/>
                      <w:sz w:val="16"/>
                      <w:szCs w:val="18"/>
                    </w:rPr>
                    <w:t>CP1</w:t>
                  </w:r>
                </w:hyperlink>
              </w:hyperlink>
            </w:hyperlink>
            <w:r w:rsidRPr="00E02972">
              <w:rPr>
                <w:rFonts w:cs="Arial"/>
                <w:sz w:val="16"/>
                <w:szCs w:val="18"/>
              </w:rPr>
              <w:t xml:space="preserve">, </w:t>
            </w:r>
            <w:hyperlink r:id="rId143" w:history="1">
              <w:r w:rsidRPr="00E02972">
                <w:rPr>
                  <w:rStyle w:val="Hyperlink"/>
                  <w:rFonts w:cs="Arial"/>
                  <w:sz w:val="16"/>
                  <w:szCs w:val="18"/>
                </w:rPr>
                <w:t>FR</w:t>
              </w:r>
            </w:hyperlink>
            <w:r w:rsidR="00BE24BA" w:rsidRPr="00E02972">
              <w:rPr>
                <w:rFonts w:cs="Arial"/>
                <w:sz w:val="16"/>
                <w:szCs w:val="18"/>
              </w:rPr>
              <w:t>)</w:t>
            </w:r>
          </w:p>
          <w:p w:rsidR="00BE24BA" w:rsidRPr="00E02972" w:rsidRDefault="006C2CF1" w:rsidP="00BE24BA">
            <w:pPr>
              <w:numPr>
                <w:ilvl w:val="0"/>
                <w:numId w:val="20"/>
              </w:numPr>
              <w:spacing w:before="240" w:after="260"/>
              <w:jc w:val="left"/>
              <w:rPr>
                <w:rStyle w:val="Hyperlink"/>
                <w:rFonts w:cs="Arial"/>
                <w:b/>
                <w:sz w:val="16"/>
                <w:szCs w:val="18"/>
              </w:rPr>
            </w:pPr>
            <w:hyperlink r:id="rId144" w:history="1">
              <w:r w:rsidR="00032535" w:rsidRPr="00E02972">
                <w:rPr>
                  <w:rStyle w:val="Hyperlink"/>
                  <w:rFonts w:cs="Arial"/>
                  <w:sz w:val="16"/>
                  <w:szCs w:val="18"/>
                </w:rPr>
                <w:t>DR1</w:t>
              </w:r>
            </w:hyperlink>
            <w:r w:rsidR="00032535" w:rsidRPr="00E02972">
              <w:rPr>
                <w:rStyle w:val="Hyperlink"/>
                <w:rFonts w:cs="Arial"/>
                <w:sz w:val="16"/>
                <w:szCs w:val="18"/>
              </w:rPr>
              <w:t>,</w:t>
            </w:r>
            <w:r w:rsidR="00032535" w:rsidRPr="00E02972">
              <w:rPr>
                <w:rStyle w:val="Hyperlink"/>
                <w:rFonts w:cs="Arial"/>
                <w:b/>
                <w:sz w:val="16"/>
                <w:szCs w:val="18"/>
              </w:rPr>
              <w:t xml:space="preserve"> </w:t>
            </w:r>
            <w:hyperlink r:id="rId145" w:history="1">
              <w:r w:rsidR="00032535" w:rsidRPr="00E02972">
                <w:rPr>
                  <w:rStyle w:val="Hyperlink"/>
                  <w:rFonts w:cs="Arial"/>
                  <w:b/>
                  <w:sz w:val="16"/>
                  <w:szCs w:val="18"/>
                </w:rPr>
                <w:t>Art 76</w:t>
              </w:r>
            </w:hyperlink>
          </w:p>
          <w:p w:rsidR="00BE24BA" w:rsidRPr="00E02972" w:rsidRDefault="00BE24BA" w:rsidP="00BE24BA">
            <w:pPr>
              <w:spacing w:before="240" w:after="260"/>
              <w:jc w:val="left"/>
              <w:rPr>
                <w:rStyle w:val="Hyperlink"/>
                <w:rFonts w:cs="Arial"/>
                <w:color w:val="auto"/>
                <w:sz w:val="16"/>
                <w:szCs w:val="18"/>
                <w:u w:val="none"/>
              </w:rPr>
            </w:pPr>
            <w:r w:rsidRPr="00E02972">
              <w:rPr>
                <w:rStyle w:val="Hyperlink"/>
                <w:rFonts w:cs="Arial"/>
                <w:color w:val="auto"/>
                <w:sz w:val="16"/>
                <w:szCs w:val="18"/>
                <w:u w:val="none"/>
              </w:rPr>
              <w:t xml:space="preserve">L3: </w:t>
            </w:r>
          </w:p>
          <w:p w:rsidR="00032535" w:rsidRPr="00E02972" w:rsidRDefault="006C2CF1" w:rsidP="006A56B7">
            <w:pPr>
              <w:numPr>
                <w:ilvl w:val="0"/>
                <w:numId w:val="20"/>
              </w:numPr>
              <w:spacing w:before="240" w:after="260"/>
              <w:jc w:val="left"/>
              <w:rPr>
                <w:rFonts w:eastAsia="Times New Roman" w:cs="Arial"/>
                <w:sz w:val="16"/>
                <w:szCs w:val="18"/>
              </w:rPr>
            </w:pPr>
            <w:hyperlink r:id="rId146" w:history="1">
              <w:r w:rsidR="00494E74" w:rsidRPr="00E02972">
                <w:rPr>
                  <w:rFonts w:eastAsia="Arial" w:cs="Arial"/>
                  <w:b/>
                  <w:color w:val="0000FF"/>
                  <w:sz w:val="16"/>
                  <w:szCs w:val="18"/>
                  <w:u w:val="single"/>
                  <w:lang w:eastAsia="en-GB"/>
                </w:rPr>
                <w:t>Investor Protection Q&amp;A</w:t>
              </w:r>
            </w:hyperlink>
          </w:p>
        </w:tc>
        <w:tc>
          <w:tcPr>
            <w:tcW w:w="1213" w:type="pct"/>
            <w:tcBorders>
              <w:top w:val="single" w:sz="4" w:space="0" w:color="auto"/>
              <w:left w:val="single" w:sz="4" w:space="0" w:color="auto"/>
              <w:bottom w:val="single" w:sz="4" w:space="0" w:color="auto"/>
              <w:right w:val="single" w:sz="4" w:space="0" w:color="auto"/>
            </w:tcBorders>
          </w:tcPr>
          <w:p w:rsidR="00032535" w:rsidRPr="00E02972" w:rsidRDefault="00032535" w:rsidP="00F44B85">
            <w:pPr>
              <w:spacing w:before="240" w:after="260"/>
              <w:rPr>
                <w:rFonts w:cs="Arial"/>
                <w:sz w:val="16"/>
                <w:szCs w:val="18"/>
              </w:rPr>
            </w:pPr>
            <w:r w:rsidRPr="00E02972">
              <w:rPr>
                <w:rFonts w:cs="Arial"/>
                <w:sz w:val="16"/>
                <w:szCs w:val="18"/>
              </w:rPr>
              <w:t>MiFID2 will require all MiFID investment firms to reco</w:t>
            </w:r>
            <w:r w:rsidR="006A56B7" w:rsidRPr="00E02972">
              <w:rPr>
                <w:rFonts w:cs="Arial"/>
                <w:sz w:val="16"/>
                <w:szCs w:val="18"/>
              </w:rPr>
              <w:t xml:space="preserve">rd telephone conversations and </w:t>
            </w:r>
            <w:r w:rsidRPr="00E02972">
              <w:rPr>
                <w:rFonts w:cs="Arial"/>
                <w:sz w:val="16"/>
                <w:szCs w:val="18"/>
              </w:rPr>
              <w:t>electronic communications relating to the following services:</w:t>
            </w:r>
          </w:p>
          <w:p w:rsidR="00032535" w:rsidRPr="00E02972" w:rsidRDefault="00032535" w:rsidP="00F44B85">
            <w:pPr>
              <w:pStyle w:val="ssPara1"/>
              <w:numPr>
                <w:ilvl w:val="0"/>
                <w:numId w:val="9"/>
              </w:numPr>
              <w:tabs>
                <w:tab w:val="num" w:pos="360"/>
              </w:tabs>
              <w:spacing w:before="240"/>
              <w:rPr>
                <w:rFonts w:cs="Arial"/>
                <w:sz w:val="16"/>
                <w:szCs w:val="18"/>
              </w:rPr>
            </w:pPr>
            <w:r w:rsidRPr="00E02972">
              <w:rPr>
                <w:rFonts w:cs="Arial"/>
                <w:bCs/>
                <w:sz w:val="16"/>
                <w:szCs w:val="18"/>
              </w:rPr>
              <w:t>Reception</w:t>
            </w:r>
            <w:r w:rsidRPr="00E02972">
              <w:rPr>
                <w:rFonts w:cs="Arial"/>
                <w:sz w:val="16"/>
                <w:szCs w:val="18"/>
              </w:rPr>
              <w:t xml:space="preserve"> and transmission of orders;</w:t>
            </w:r>
          </w:p>
          <w:p w:rsidR="00032535" w:rsidRPr="00E02972" w:rsidRDefault="00032535" w:rsidP="00F44B85">
            <w:pPr>
              <w:pStyle w:val="ssPara1"/>
              <w:numPr>
                <w:ilvl w:val="0"/>
                <w:numId w:val="9"/>
              </w:numPr>
              <w:tabs>
                <w:tab w:val="num" w:pos="360"/>
              </w:tabs>
              <w:spacing w:before="240"/>
              <w:rPr>
                <w:rFonts w:cs="Arial"/>
                <w:sz w:val="16"/>
                <w:szCs w:val="18"/>
              </w:rPr>
            </w:pPr>
            <w:r w:rsidRPr="00E02972">
              <w:rPr>
                <w:rFonts w:cs="Arial"/>
                <w:sz w:val="16"/>
                <w:szCs w:val="18"/>
              </w:rPr>
              <w:t xml:space="preserve">Execution of orders on behalf of clients; and </w:t>
            </w:r>
          </w:p>
          <w:p w:rsidR="00032535" w:rsidRPr="00E02972" w:rsidRDefault="00032535" w:rsidP="00F44B85">
            <w:pPr>
              <w:pStyle w:val="ssPara1"/>
              <w:numPr>
                <w:ilvl w:val="0"/>
                <w:numId w:val="9"/>
              </w:numPr>
              <w:tabs>
                <w:tab w:val="num" w:pos="360"/>
              </w:tabs>
              <w:spacing w:before="240"/>
              <w:rPr>
                <w:rFonts w:cs="Arial"/>
                <w:sz w:val="16"/>
                <w:szCs w:val="18"/>
              </w:rPr>
            </w:pPr>
            <w:r w:rsidRPr="00E02972">
              <w:rPr>
                <w:rFonts w:cs="Arial"/>
                <w:sz w:val="16"/>
                <w:szCs w:val="18"/>
              </w:rPr>
              <w:t>Dealing on own account.</w:t>
            </w:r>
          </w:p>
          <w:p w:rsidR="00032535" w:rsidRPr="00E02972" w:rsidRDefault="00032535" w:rsidP="00F44B85">
            <w:pPr>
              <w:spacing w:before="240" w:after="260"/>
              <w:rPr>
                <w:rFonts w:cs="Arial"/>
                <w:sz w:val="16"/>
                <w:szCs w:val="18"/>
              </w:rPr>
            </w:pPr>
            <w:r w:rsidRPr="00E02972">
              <w:rPr>
                <w:rFonts w:cs="Arial"/>
                <w:sz w:val="16"/>
                <w:szCs w:val="18"/>
              </w:rPr>
              <w:t>The obligation applies to conversations and electronic communications relating to transactions that are concluded and to those which intend to result in a concluded transaction (even if not ultimately concluded). The recording obligation is not therefore intended to capture general conversations about market conditions.</w:t>
            </w:r>
          </w:p>
          <w:p w:rsidR="00032535" w:rsidRPr="00E02972" w:rsidRDefault="00032535" w:rsidP="00F44B85">
            <w:pPr>
              <w:pStyle w:val="ssPara1"/>
              <w:spacing w:before="240"/>
              <w:rPr>
                <w:rFonts w:cs="Arial"/>
                <w:sz w:val="16"/>
                <w:szCs w:val="18"/>
              </w:rPr>
            </w:pPr>
            <w:r w:rsidRPr="00E02972">
              <w:rPr>
                <w:rFonts w:cs="Arial"/>
                <w:sz w:val="16"/>
                <w:szCs w:val="18"/>
              </w:rPr>
              <w:t>MiFID2 requires that MiFID firms must inform clients that their telephone communications will be recorded before they are able to carry out any services that fall within the telephone recording requirement.  Copies shall be available to client on request for 5 years. .</w:t>
            </w:r>
          </w:p>
          <w:p w:rsidR="00032535" w:rsidRPr="00E02972" w:rsidRDefault="00032535" w:rsidP="00F44B85">
            <w:pPr>
              <w:autoSpaceDE w:val="0"/>
              <w:autoSpaceDN w:val="0"/>
              <w:adjustRightInd w:val="0"/>
              <w:rPr>
                <w:rFonts w:cs="Arial"/>
                <w:sz w:val="16"/>
                <w:szCs w:val="18"/>
              </w:rPr>
            </w:pPr>
            <w:r w:rsidRPr="00E02972">
              <w:rPr>
                <w:rFonts w:cs="Arial"/>
                <w:sz w:val="16"/>
                <w:szCs w:val="18"/>
              </w:rPr>
              <w:t>ESMA’s Investor Protection Q&amp;A</w:t>
            </w:r>
            <w:r w:rsidR="00494E74" w:rsidRPr="00E02972">
              <w:rPr>
                <w:rStyle w:val="Hyperlink"/>
                <w:rFonts w:cs="Arial"/>
                <w:b/>
                <w:sz w:val="16"/>
                <w:szCs w:val="18"/>
                <w:u w:val="none"/>
              </w:rPr>
              <w:t xml:space="preserve"> </w:t>
            </w:r>
            <w:r w:rsidRPr="00E02972">
              <w:rPr>
                <w:rFonts w:cs="Arial"/>
                <w:sz w:val="16"/>
                <w:szCs w:val="18"/>
              </w:rPr>
              <w:t xml:space="preserve">notes that although firms may charge for clients to access they must check whether this is permissible under national laws (data protection/privacy). Data Protection Directive provides right of access should be without excessive delays or expense. </w:t>
            </w:r>
          </w:p>
          <w:p w:rsidR="00032535" w:rsidRPr="00E02972" w:rsidRDefault="00032535" w:rsidP="00F44B85">
            <w:pPr>
              <w:pStyle w:val="ssPara1"/>
              <w:spacing w:before="240"/>
              <w:rPr>
                <w:rFonts w:cs="Arial"/>
                <w:sz w:val="16"/>
                <w:szCs w:val="18"/>
              </w:rPr>
            </w:pPr>
          </w:p>
        </w:tc>
        <w:tc>
          <w:tcPr>
            <w:tcW w:w="306" w:type="pct"/>
            <w:tcBorders>
              <w:top w:val="single" w:sz="4" w:space="0" w:color="auto"/>
              <w:left w:val="single" w:sz="4" w:space="0" w:color="auto"/>
              <w:bottom w:val="single" w:sz="4" w:space="0" w:color="auto"/>
              <w:right w:val="single" w:sz="4" w:space="0" w:color="auto"/>
            </w:tcBorders>
          </w:tcPr>
          <w:p w:rsidR="00032535" w:rsidRPr="00E02972" w:rsidRDefault="00032535" w:rsidP="00F44B85">
            <w:pPr>
              <w:pStyle w:val="BodyParagraphText"/>
              <w:spacing w:line="240" w:lineRule="auto"/>
              <w:jc w:val="both"/>
              <w:rPr>
                <w:rFonts w:cs="Arial"/>
                <w:sz w:val="16"/>
                <w:szCs w:val="18"/>
              </w:rPr>
            </w:pPr>
            <w:r w:rsidRPr="00E02972">
              <w:rPr>
                <w:rFonts w:cs="Arial"/>
                <w:sz w:val="16"/>
                <w:szCs w:val="18"/>
              </w:rPr>
              <w:t>R</w:t>
            </w:r>
            <w:r w:rsidRPr="00E02972">
              <w:rPr>
                <w:rFonts w:cs="Arial"/>
                <w:sz w:val="16"/>
                <w:szCs w:val="18"/>
              </w:rPr>
              <w:br/>
              <w:t>EP</w:t>
            </w:r>
            <w:r w:rsidRPr="00E02972">
              <w:rPr>
                <w:rFonts w:cs="Arial"/>
                <w:sz w:val="16"/>
                <w:szCs w:val="18"/>
              </w:rPr>
              <w:br/>
              <w:t>PSP</w:t>
            </w:r>
            <w:r w:rsidRPr="00E02972">
              <w:rPr>
                <w:rFonts w:cs="Arial"/>
                <w:sz w:val="16"/>
                <w:szCs w:val="18"/>
              </w:rPr>
              <w:br/>
              <w:t>ECP</w:t>
            </w:r>
          </w:p>
        </w:tc>
        <w:tc>
          <w:tcPr>
            <w:tcW w:w="1611" w:type="pct"/>
            <w:tcBorders>
              <w:top w:val="single" w:sz="4" w:space="0" w:color="auto"/>
              <w:left w:val="single" w:sz="4" w:space="0" w:color="auto"/>
              <w:bottom w:val="single" w:sz="4" w:space="0" w:color="auto"/>
              <w:right w:val="single" w:sz="4" w:space="0" w:color="auto"/>
            </w:tcBorders>
          </w:tcPr>
          <w:p w:rsidR="00032535" w:rsidRPr="00E02972" w:rsidRDefault="00032535" w:rsidP="00F44B85">
            <w:pPr>
              <w:pStyle w:val="ssPara1"/>
              <w:spacing w:before="240"/>
              <w:rPr>
                <w:rFonts w:eastAsia="Times New Roman" w:cs="Arial"/>
                <w:sz w:val="16"/>
                <w:szCs w:val="18"/>
              </w:rPr>
            </w:pPr>
            <w:r w:rsidRPr="00E02972">
              <w:rPr>
                <w:rFonts w:eastAsia="Times New Roman" w:cs="Arial"/>
                <w:sz w:val="16"/>
                <w:szCs w:val="18"/>
              </w:rPr>
              <w:t>Consider data protection and privacy implications of telephone taping and retaining personal data relating to clients. In particular, consider:</w:t>
            </w:r>
          </w:p>
          <w:p w:rsidR="00032535" w:rsidRPr="00E02972" w:rsidRDefault="00032535" w:rsidP="00F44B85">
            <w:pPr>
              <w:pStyle w:val="ssPara1"/>
              <w:numPr>
                <w:ilvl w:val="0"/>
                <w:numId w:val="9"/>
              </w:numPr>
              <w:tabs>
                <w:tab w:val="num" w:pos="360"/>
              </w:tabs>
              <w:spacing w:before="240"/>
              <w:rPr>
                <w:rFonts w:eastAsia="Times New Roman" w:cs="Arial"/>
                <w:sz w:val="16"/>
                <w:szCs w:val="18"/>
              </w:rPr>
            </w:pPr>
            <w:r w:rsidRPr="00E02972">
              <w:rPr>
                <w:rFonts w:eastAsia="Times New Roman" w:cs="Arial"/>
                <w:sz w:val="16"/>
                <w:szCs w:val="18"/>
              </w:rPr>
              <w:t xml:space="preserve">consents or waivers required to be obtained by clients to use any material </w:t>
            </w:r>
            <w:r w:rsidRPr="00E02972">
              <w:rPr>
                <w:rFonts w:cs="Arial"/>
                <w:bCs/>
                <w:sz w:val="16"/>
                <w:szCs w:val="18"/>
              </w:rPr>
              <w:t>recorded</w:t>
            </w:r>
            <w:r w:rsidRPr="00E02972">
              <w:rPr>
                <w:rFonts w:eastAsia="Times New Roman" w:cs="Arial"/>
                <w:sz w:val="16"/>
                <w:szCs w:val="18"/>
              </w:rPr>
              <w:t>;</w:t>
            </w:r>
          </w:p>
          <w:p w:rsidR="00032535" w:rsidRPr="00E02972" w:rsidRDefault="00032535" w:rsidP="00F44B85">
            <w:pPr>
              <w:pStyle w:val="ssPara1"/>
              <w:numPr>
                <w:ilvl w:val="0"/>
                <w:numId w:val="9"/>
              </w:numPr>
              <w:tabs>
                <w:tab w:val="num" w:pos="360"/>
              </w:tabs>
              <w:spacing w:before="240"/>
              <w:rPr>
                <w:rFonts w:eastAsia="Times New Roman" w:cs="Arial"/>
                <w:sz w:val="16"/>
                <w:szCs w:val="18"/>
              </w:rPr>
            </w:pPr>
            <w:r w:rsidRPr="00E02972">
              <w:rPr>
                <w:rFonts w:cs="Arial"/>
                <w:sz w:val="16"/>
                <w:szCs w:val="18"/>
              </w:rPr>
              <w:t xml:space="preserve">disclosures as to how </w:t>
            </w:r>
            <w:r w:rsidR="00F44B85" w:rsidRPr="00E02972">
              <w:rPr>
                <w:rFonts w:cs="Arial"/>
                <w:sz w:val="16"/>
                <w:szCs w:val="18"/>
              </w:rPr>
              <w:t>firm will</w:t>
            </w:r>
            <w:r w:rsidRPr="00E02972">
              <w:rPr>
                <w:rFonts w:cs="Arial"/>
                <w:sz w:val="16"/>
                <w:szCs w:val="18"/>
              </w:rPr>
              <w:t xml:space="preserve"> protect and may use information it has obtained from </w:t>
            </w:r>
            <w:r w:rsidRPr="00E02972">
              <w:rPr>
                <w:rFonts w:cs="Arial"/>
                <w:bCs/>
                <w:sz w:val="16"/>
                <w:szCs w:val="18"/>
              </w:rPr>
              <w:t>its</w:t>
            </w:r>
            <w:r w:rsidRPr="00E02972">
              <w:rPr>
                <w:rFonts w:cs="Arial"/>
                <w:sz w:val="16"/>
                <w:szCs w:val="18"/>
              </w:rPr>
              <w:t xml:space="preserve"> clients.</w:t>
            </w:r>
          </w:p>
          <w:p w:rsidR="00032535" w:rsidRPr="00E02972" w:rsidRDefault="00032535" w:rsidP="00F44B85">
            <w:pPr>
              <w:pStyle w:val="ssPara1"/>
              <w:spacing w:before="240"/>
              <w:rPr>
                <w:rFonts w:eastAsia="Times New Roman" w:cs="Arial"/>
                <w:sz w:val="16"/>
                <w:szCs w:val="18"/>
              </w:rPr>
            </w:pPr>
            <w:r w:rsidRPr="00E02972">
              <w:rPr>
                <w:rFonts w:eastAsia="Times New Roman" w:cs="Arial"/>
                <w:sz w:val="16"/>
                <w:szCs w:val="18"/>
              </w:rPr>
              <w:t>Review and amend client agreements /communications, in particular,</w:t>
            </w:r>
          </w:p>
          <w:p w:rsidR="00032535" w:rsidRPr="00E02972" w:rsidRDefault="00032535" w:rsidP="00F44B85">
            <w:pPr>
              <w:pStyle w:val="ssPara1"/>
              <w:numPr>
                <w:ilvl w:val="0"/>
                <w:numId w:val="9"/>
              </w:numPr>
              <w:tabs>
                <w:tab w:val="num" w:pos="360"/>
              </w:tabs>
              <w:spacing w:before="240"/>
              <w:rPr>
                <w:rFonts w:eastAsia="Times New Roman" w:cs="Arial"/>
                <w:sz w:val="16"/>
                <w:szCs w:val="18"/>
                <w:lang w:val="en-US" w:eastAsia="en-US"/>
              </w:rPr>
            </w:pPr>
            <w:r w:rsidRPr="00E02972">
              <w:rPr>
                <w:rFonts w:eastAsia="Times New Roman" w:cs="Arial"/>
                <w:iCs/>
                <w:sz w:val="16"/>
                <w:szCs w:val="18"/>
              </w:rPr>
              <w:t>Consider</w:t>
            </w:r>
            <w:r w:rsidRPr="00E02972">
              <w:rPr>
                <w:rFonts w:eastAsia="Times New Roman" w:cs="Arial"/>
                <w:sz w:val="16"/>
                <w:szCs w:val="18"/>
              </w:rPr>
              <w:t xml:space="preserve"> </w:t>
            </w:r>
            <w:r w:rsidRPr="00E02972">
              <w:rPr>
                <w:rFonts w:cs="Arial"/>
                <w:sz w:val="16"/>
                <w:szCs w:val="18"/>
              </w:rPr>
              <w:t>consents</w:t>
            </w:r>
            <w:r w:rsidRPr="00E02972">
              <w:rPr>
                <w:rFonts w:eastAsia="Times New Roman" w:cs="Arial"/>
                <w:sz w:val="16"/>
                <w:szCs w:val="18"/>
              </w:rPr>
              <w:t xml:space="preserve"> required to be obtained from clients; </w:t>
            </w:r>
          </w:p>
          <w:p w:rsidR="00032535" w:rsidRPr="00E02972" w:rsidRDefault="00032535" w:rsidP="00F44B85">
            <w:pPr>
              <w:pStyle w:val="ssPara1"/>
              <w:numPr>
                <w:ilvl w:val="0"/>
                <w:numId w:val="9"/>
              </w:numPr>
              <w:tabs>
                <w:tab w:val="num" w:pos="360"/>
              </w:tabs>
              <w:spacing w:before="240"/>
              <w:rPr>
                <w:rFonts w:eastAsia="Times New Roman" w:cs="Arial"/>
                <w:sz w:val="16"/>
                <w:szCs w:val="18"/>
                <w:lang w:val="en-US" w:eastAsia="en-US"/>
              </w:rPr>
            </w:pPr>
            <w:r w:rsidRPr="00E02972">
              <w:rPr>
                <w:rFonts w:eastAsia="Times New Roman" w:cs="Arial"/>
                <w:sz w:val="16"/>
                <w:szCs w:val="18"/>
              </w:rPr>
              <w:t xml:space="preserve">Informing </w:t>
            </w:r>
            <w:r w:rsidRPr="00E02972">
              <w:rPr>
                <w:rFonts w:cs="Arial"/>
                <w:sz w:val="16"/>
                <w:szCs w:val="18"/>
              </w:rPr>
              <w:t>clients</w:t>
            </w:r>
            <w:r w:rsidRPr="00E02972">
              <w:rPr>
                <w:rFonts w:eastAsia="Times New Roman" w:cs="Arial"/>
                <w:sz w:val="16"/>
                <w:szCs w:val="18"/>
              </w:rPr>
              <w:t xml:space="preserve"> how records will be stored and used</w:t>
            </w:r>
            <w:r w:rsidR="006A56B7" w:rsidRPr="00E02972">
              <w:rPr>
                <w:rFonts w:eastAsia="Times New Roman" w:cs="Arial"/>
                <w:sz w:val="16"/>
                <w:szCs w:val="18"/>
              </w:rPr>
              <w:t xml:space="preserve"> any details about the firms telecommunications policy</w:t>
            </w:r>
            <w:r w:rsidRPr="00E02972">
              <w:rPr>
                <w:rFonts w:eastAsia="Times New Roman" w:cs="Arial"/>
                <w:sz w:val="16"/>
                <w:szCs w:val="18"/>
              </w:rPr>
              <w:t>;</w:t>
            </w:r>
          </w:p>
          <w:p w:rsidR="00032535" w:rsidRPr="00E02972" w:rsidRDefault="00032535" w:rsidP="00F44B85">
            <w:pPr>
              <w:pStyle w:val="ssPara1"/>
              <w:numPr>
                <w:ilvl w:val="0"/>
                <w:numId w:val="9"/>
              </w:numPr>
              <w:tabs>
                <w:tab w:val="num" w:pos="360"/>
              </w:tabs>
              <w:spacing w:before="240"/>
              <w:rPr>
                <w:rFonts w:eastAsia="Times New Roman" w:cs="Arial"/>
                <w:sz w:val="16"/>
                <w:szCs w:val="18"/>
                <w:lang w:val="en-US" w:eastAsia="en-US"/>
              </w:rPr>
            </w:pPr>
            <w:r w:rsidRPr="00E02972">
              <w:rPr>
                <w:rFonts w:eastAsia="Times New Roman" w:cs="Arial"/>
                <w:sz w:val="16"/>
                <w:szCs w:val="18"/>
              </w:rPr>
              <w:t>Making clients aware that they are able to request copies of both internal and external r</w:t>
            </w:r>
            <w:r w:rsidR="00BE24BA" w:rsidRPr="00E02972">
              <w:rPr>
                <w:rFonts w:eastAsia="Times New Roman" w:cs="Arial"/>
                <w:sz w:val="16"/>
                <w:szCs w:val="18"/>
              </w:rPr>
              <w:t>ecords;</w:t>
            </w:r>
          </w:p>
          <w:p w:rsidR="00BE24BA" w:rsidRPr="00E02972" w:rsidRDefault="00BE24BA" w:rsidP="00F44B85">
            <w:pPr>
              <w:pStyle w:val="ssPara1"/>
              <w:numPr>
                <w:ilvl w:val="0"/>
                <w:numId w:val="9"/>
              </w:numPr>
              <w:tabs>
                <w:tab w:val="num" w:pos="360"/>
              </w:tabs>
              <w:spacing w:before="240"/>
              <w:rPr>
                <w:rFonts w:eastAsia="Times New Roman" w:cs="Arial"/>
                <w:sz w:val="16"/>
                <w:szCs w:val="18"/>
              </w:rPr>
            </w:pPr>
            <w:r w:rsidRPr="00E02972">
              <w:rPr>
                <w:rFonts w:eastAsia="Times New Roman" w:cs="Arial"/>
                <w:sz w:val="16"/>
                <w:szCs w:val="18"/>
              </w:rPr>
              <w:t>Informing clients calls will be recorded;</w:t>
            </w:r>
          </w:p>
          <w:p w:rsidR="00032535" w:rsidRPr="00E02972" w:rsidRDefault="00032535" w:rsidP="00F44B85">
            <w:pPr>
              <w:pStyle w:val="ssPara1"/>
              <w:numPr>
                <w:ilvl w:val="0"/>
                <w:numId w:val="9"/>
              </w:numPr>
              <w:tabs>
                <w:tab w:val="num" w:pos="360"/>
              </w:tabs>
              <w:spacing w:before="240"/>
              <w:rPr>
                <w:rFonts w:eastAsia="Times New Roman" w:cs="Arial"/>
                <w:sz w:val="16"/>
                <w:szCs w:val="18"/>
              </w:rPr>
            </w:pPr>
            <w:r w:rsidRPr="00E02972">
              <w:rPr>
                <w:rFonts w:eastAsia="Times New Roman" w:cs="Arial"/>
                <w:sz w:val="16"/>
                <w:szCs w:val="18"/>
              </w:rPr>
              <w:t xml:space="preserve">Any other </w:t>
            </w:r>
            <w:r w:rsidRPr="00E02972">
              <w:rPr>
                <w:rFonts w:eastAsia="Times New Roman" w:cs="Arial"/>
                <w:iCs/>
                <w:sz w:val="16"/>
                <w:szCs w:val="18"/>
              </w:rPr>
              <w:t>rights</w:t>
            </w:r>
            <w:r w:rsidRPr="00E02972">
              <w:rPr>
                <w:rFonts w:eastAsia="Times New Roman" w:cs="Arial"/>
                <w:sz w:val="16"/>
                <w:szCs w:val="18"/>
              </w:rPr>
              <w:t xml:space="preserve"> clients may have over data or records</w:t>
            </w:r>
            <w:r w:rsidR="00BE24BA" w:rsidRPr="00E02972">
              <w:rPr>
                <w:rFonts w:eastAsia="Times New Roman" w:cs="Arial"/>
                <w:sz w:val="16"/>
                <w:szCs w:val="18"/>
              </w:rPr>
              <w:t xml:space="preserve"> inc</w:t>
            </w:r>
            <w:r w:rsidR="006A56B7" w:rsidRPr="00E02972">
              <w:rPr>
                <w:rFonts w:eastAsia="Times New Roman" w:cs="Arial"/>
                <w:sz w:val="16"/>
                <w:szCs w:val="18"/>
              </w:rPr>
              <w:t xml:space="preserve">luding right to request copies. </w:t>
            </w:r>
          </w:p>
          <w:p w:rsidR="00032535" w:rsidRPr="00E02972" w:rsidRDefault="00032535" w:rsidP="00F44B85">
            <w:pPr>
              <w:pStyle w:val="ssPara1"/>
              <w:spacing w:before="240"/>
              <w:rPr>
                <w:rFonts w:cs="Arial"/>
                <w:sz w:val="16"/>
                <w:szCs w:val="18"/>
              </w:rPr>
            </w:pPr>
          </w:p>
        </w:tc>
        <w:tc>
          <w:tcPr>
            <w:tcW w:w="625" w:type="pct"/>
            <w:tcBorders>
              <w:top w:val="single" w:sz="4" w:space="0" w:color="auto"/>
              <w:left w:val="single" w:sz="4" w:space="0" w:color="auto"/>
              <w:bottom w:val="single" w:sz="4" w:space="0" w:color="auto"/>
              <w:right w:val="single" w:sz="4" w:space="0" w:color="auto"/>
            </w:tcBorders>
          </w:tcPr>
          <w:p w:rsidR="00BE24BA" w:rsidRPr="00E02972" w:rsidRDefault="00BE24BA" w:rsidP="00BE24BA">
            <w:pPr>
              <w:numPr>
                <w:ilvl w:val="0"/>
                <w:numId w:val="9"/>
              </w:numPr>
              <w:spacing w:before="240" w:after="260"/>
              <w:jc w:val="left"/>
              <w:rPr>
                <w:rFonts w:eastAsia="Times New Roman" w:cs="Arial"/>
                <w:bCs/>
                <w:sz w:val="16"/>
                <w:szCs w:val="18"/>
              </w:rPr>
            </w:pPr>
            <w:r w:rsidRPr="00E02972">
              <w:rPr>
                <w:rFonts w:eastAsia="Times New Roman" w:cs="Arial"/>
                <w:bCs/>
                <w:sz w:val="16"/>
                <w:szCs w:val="18"/>
              </w:rPr>
              <w:t>Client Terms of Business.</w:t>
            </w:r>
          </w:p>
          <w:p w:rsidR="00BE24BA" w:rsidRPr="00E02972" w:rsidRDefault="00BE24BA" w:rsidP="00BE24BA">
            <w:pPr>
              <w:numPr>
                <w:ilvl w:val="0"/>
                <w:numId w:val="9"/>
              </w:numPr>
              <w:spacing w:before="240" w:after="260"/>
              <w:jc w:val="left"/>
              <w:rPr>
                <w:rFonts w:eastAsia="Times New Roman" w:cs="Arial"/>
                <w:bCs/>
                <w:sz w:val="16"/>
                <w:szCs w:val="18"/>
              </w:rPr>
            </w:pPr>
            <w:r w:rsidRPr="00E02972">
              <w:rPr>
                <w:rFonts w:eastAsia="Times New Roman" w:cs="Arial"/>
                <w:bCs/>
                <w:sz w:val="16"/>
                <w:szCs w:val="18"/>
              </w:rPr>
              <w:t>Client covering letters (to send with general terms of business).</w:t>
            </w:r>
          </w:p>
          <w:p w:rsidR="00BE24BA" w:rsidRPr="00E02972" w:rsidRDefault="00BE24BA" w:rsidP="00BE24BA">
            <w:pPr>
              <w:numPr>
                <w:ilvl w:val="0"/>
                <w:numId w:val="9"/>
              </w:numPr>
              <w:spacing w:before="240" w:after="260"/>
              <w:jc w:val="left"/>
              <w:rPr>
                <w:rFonts w:eastAsia="Times New Roman" w:cs="Arial"/>
                <w:bCs/>
                <w:sz w:val="16"/>
                <w:szCs w:val="18"/>
              </w:rPr>
            </w:pPr>
            <w:r w:rsidRPr="00E02972">
              <w:rPr>
                <w:rFonts w:eastAsia="Times New Roman" w:cs="Arial"/>
                <w:bCs/>
                <w:sz w:val="16"/>
                <w:szCs w:val="18"/>
              </w:rPr>
              <w:t>Investment Management Agreements.</w:t>
            </w:r>
          </w:p>
          <w:p w:rsidR="00BE24BA" w:rsidRPr="00E02972" w:rsidRDefault="00BE24BA" w:rsidP="00BE24BA">
            <w:pPr>
              <w:numPr>
                <w:ilvl w:val="0"/>
                <w:numId w:val="9"/>
              </w:numPr>
              <w:spacing w:before="240" w:after="260"/>
              <w:jc w:val="left"/>
              <w:rPr>
                <w:rFonts w:eastAsia="Times New Roman" w:cs="Arial"/>
                <w:sz w:val="16"/>
                <w:szCs w:val="18"/>
              </w:rPr>
            </w:pPr>
            <w:r w:rsidRPr="00E02972">
              <w:rPr>
                <w:rFonts w:eastAsia="Times New Roman" w:cs="Arial"/>
                <w:bCs/>
                <w:sz w:val="16"/>
                <w:szCs w:val="18"/>
              </w:rPr>
              <w:t>Investment advisory agreements.</w:t>
            </w:r>
          </w:p>
          <w:p w:rsidR="00032535" w:rsidRPr="00E02972" w:rsidRDefault="006A56B7" w:rsidP="00BE24BA">
            <w:pPr>
              <w:numPr>
                <w:ilvl w:val="0"/>
                <w:numId w:val="9"/>
              </w:numPr>
              <w:spacing w:before="240" w:after="260"/>
              <w:jc w:val="left"/>
              <w:rPr>
                <w:rFonts w:eastAsia="Times New Roman" w:cs="Arial"/>
                <w:sz w:val="16"/>
                <w:szCs w:val="18"/>
              </w:rPr>
            </w:pPr>
            <w:r w:rsidRPr="00E02972">
              <w:rPr>
                <w:rFonts w:eastAsia="Times New Roman" w:cs="Arial"/>
                <w:bCs/>
                <w:sz w:val="16"/>
                <w:szCs w:val="18"/>
              </w:rPr>
              <w:t>Any w</w:t>
            </w:r>
            <w:r w:rsidR="00BE24BA" w:rsidRPr="00E02972">
              <w:rPr>
                <w:rFonts w:eastAsia="Times New Roman" w:cs="Arial"/>
                <w:bCs/>
                <w:sz w:val="16"/>
                <w:szCs w:val="18"/>
              </w:rPr>
              <w:t>ritten express consents</w:t>
            </w:r>
            <w:r w:rsidRPr="00E02972">
              <w:rPr>
                <w:rFonts w:eastAsia="Times New Roman" w:cs="Arial"/>
                <w:bCs/>
                <w:sz w:val="16"/>
                <w:szCs w:val="18"/>
              </w:rPr>
              <w:t xml:space="preserve"> required under local data protection and privacy laws. </w:t>
            </w:r>
          </w:p>
        </w:tc>
        <w:tc>
          <w:tcPr>
            <w:tcW w:w="416" w:type="pct"/>
            <w:tcBorders>
              <w:top w:val="single" w:sz="4" w:space="0" w:color="auto"/>
              <w:left w:val="single" w:sz="4" w:space="0" w:color="auto"/>
              <w:bottom w:val="single" w:sz="4" w:space="0" w:color="auto"/>
              <w:right w:val="single" w:sz="4" w:space="0" w:color="auto"/>
            </w:tcBorders>
          </w:tcPr>
          <w:p w:rsidR="00032535" w:rsidRPr="00E02972" w:rsidRDefault="00032535" w:rsidP="00F44B85">
            <w:pPr>
              <w:pStyle w:val="ssPara1"/>
              <w:spacing w:before="240"/>
              <w:rPr>
                <w:rFonts w:eastAsia="Times New Roman" w:cs="Arial"/>
                <w:b/>
                <w:sz w:val="16"/>
                <w:szCs w:val="18"/>
              </w:rPr>
            </w:pPr>
            <w:r w:rsidRPr="00E02972">
              <w:rPr>
                <w:rFonts w:eastAsia="Times New Roman" w:cs="Arial"/>
                <w:sz w:val="16"/>
                <w:szCs w:val="18"/>
              </w:rPr>
              <w:t>Consider any consents or waivers required to be obtained from clients for data protection and/or privacy purposes.</w:t>
            </w:r>
          </w:p>
          <w:p w:rsidR="00032535" w:rsidRPr="00E02972" w:rsidRDefault="00032535" w:rsidP="00F44B85">
            <w:pPr>
              <w:pStyle w:val="ssPara1"/>
              <w:spacing w:before="240"/>
              <w:rPr>
                <w:rFonts w:eastAsia="Times New Roman" w:cs="Arial"/>
                <w:sz w:val="16"/>
                <w:szCs w:val="18"/>
                <w:lang w:val="en-US" w:eastAsia="en-US"/>
              </w:rPr>
            </w:pPr>
            <w:r w:rsidRPr="00E02972">
              <w:rPr>
                <w:rFonts w:eastAsia="Times New Roman" w:cs="Arial"/>
                <w:sz w:val="16"/>
                <w:szCs w:val="18"/>
                <w:lang w:val="en-US" w:eastAsia="en-US"/>
              </w:rPr>
              <w:t xml:space="preserve">Clients to be informed that telephone communications are to be recorded </w:t>
            </w:r>
            <w:r w:rsidRPr="00E02972">
              <w:rPr>
                <w:rFonts w:eastAsia="Times New Roman" w:cs="Arial"/>
                <w:b/>
                <w:sz w:val="16"/>
                <w:szCs w:val="18"/>
                <w:lang w:val="en-US" w:eastAsia="en-US"/>
              </w:rPr>
              <w:t>prior to</w:t>
            </w:r>
            <w:r w:rsidRPr="00E02972">
              <w:rPr>
                <w:rFonts w:eastAsia="Times New Roman" w:cs="Arial"/>
                <w:sz w:val="16"/>
                <w:szCs w:val="18"/>
                <w:lang w:val="en-US" w:eastAsia="en-US"/>
              </w:rPr>
              <w:t xml:space="preserve"> carrying out any service.</w:t>
            </w:r>
          </w:p>
          <w:p w:rsidR="00032535" w:rsidRPr="00E02972" w:rsidRDefault="00032535" w:rsidP="00F44B85">
            <w:pPr>
              <w:pStyle w:val="ssPara1"/>
              <w:spacing w:before="240"/>
              <w:rPr>
                <w:rFonts w:eastAsia="Times New Roman" w:cs="Arial"/>
                <w:sz w:val="16"/>
                <w:szCs w:val="18"/>
                <w:lang w:val="en-US" w:eastAsia="en-US"/>
              </w:rPr>
            </w:pPr>
          </w:p>
        </w:tc>
      </w:tr>
      <w:tr w:rsidR="00032535" w:rsidRPr="00E02972" w:rsidTr="00F44B85">
        <w:tc>
          <w:tcPr>
            <w:tcW w:w="455" w:type="pct"/>
            <w:tcBorders>
              <w:top w:val="single" w:sz="4" w:space="0" w:color="auto"/>
              <w:left w:val="single" w:sz="4" w:space="0" w:color="auto"/>
              <w:bottom w:val="single" w:sz="4" w:space="0" w:color="auto"/>
              <w:right w:val="single" w:sz="4" w:space="0" w:color="auto"/>
            </w:tcBorders>
            <w:shd w:val="clear" w:color="auto" w:fill="69889A"/>
          </w:tcPr>
          <w:p w:rsidR="00032535" w:rsidRPr="00E02972" w:rsidRDefault="00032535" w:rsidP="00C17B99">
            <w:pPr>
              <w:spacing w:before="120" w:after="120"/>
              <w:jc w:val="left"/>
              <w:rPr>
                <w:rFonts w:eastAsia="Times New Roman" w:cs="Arial"/>
                <w:b/>
                <w:bCs/>
                <w:color w:val="FFFFFF" w:themeColor="background1"/>
                <w:sz w:val="16"/>
                <w:szCs w:val="18"/>
                <w:lang w:eastAsia="en-GB"/>
              </w:rPr>
            </w:pPr>
            <w:r w:rsidRPr="00E02972">
              <w:rPr>
                <w:rFonts w:eastAsia="Times New Roman" w:cs="Arial"/>
                <w:b/>
                <w:bCs/>
                <w:color w:val="FFFFFF" w:themeColor="background1"/>
                <w:sz w:val="16"/>
                <w:szCs w:val="18"/>
                <w:lang w:eastAsia="en-GB"/>
              </w:rPr>
              <w:t>CLIENT ASSETS AND TITLE TRANSFER COLLATERAL ARRANGEMENTS</w:t>
            </w:r>
          </w:p>
        </w:tc>
        <w:tc>
          <w:tcPr>
            <w:tcW w:w="374" w:type="pct"/>
            <w:tcBorders>
              <w:top w:val="single" w:sz="4" w:space="0" w:color="auto"/>
              <w:left w:val="single" w:sz="4" w:space="0" w:color="auto"/>
              <w:bottom w:val="single" w:sz="4" w:space="0" w:color="auto"/>
              <w:right w:val="single" w:sz="4" w:space="0" w:color="auto"/>
            </w:tcBorders>
          </w:tcPr>
          <w:p w:rsidR="00BE24BA" w:rsidRPr="00E02972" w:rsidRDefault="006C2CF1" w:rsidP="00BE24BA">
            <w:pPr>
              <w:spacing w:before="120" w:after="120"/>
              <w:jc w:val="left"/>
              <w:rPr>
                <w:rFonts w:eastAsia="Times New Roman" w:cs="Arial"/>
                <w:sz w:val="16"/>
                <w:szCs w:val="18"/>
              </w:rPr>
            </w:pPr>
            <w:hyperlink r:id="rId147" w:history="1">
              <w:r w:rsidR="00BE24BA" w:rsidRPr="00E02972">
                <w:rPr>
                  <w:rStyle w:val="Hyperlink"/>
                  <w:rFonts w:cs="Arial"/>
                  <w:sz w:val="16"/>
                  <w:szCs w:val="18"/>
                </w:rPr>
                <w:t>D</w:t>
              </w:r>
            </w:hyperlink>
            <w:r w:rsidR="00BE24BA" w:rsidRPr="00E02972">
              <w:rPr>
                <w:rFonts w:cs="Arial"/>
                <w:sz w:val="16"/>
                <w:szCs w:val="18"/>
              </w:rPr>
              <w:t xml:space="preserve"> </w:t>
            </w:r>
            <w:r w:rsidR="00BE24BA" w:rsidRPr="00E02972">
              <w:rPr>
                <w:rFonts w:eastAsia="Times New Roman" w:cs="Arial"/>
                <w:sz w:val="16"/>
                <w:szCs w:val="18"/>
              </w:rPr>
              <w:t xml:space="preserve"> Art 16(8)-(10)</w:t>
            </w:r>
          </w:p>
          <w:p w:rsidR="00BE24BA" w:rsidRPr="00E02972" w:rsidRDefault="00BE24BA" w:rsidP="00BE24BA">
            <w:pPr>
              <w:spacing w:before="120" w:after="120"/>
              <w:jc w:val="left"/>
              <w:rPr>
                <w:rFonts w:cs="Arial"/>
                <w:sz w:val="16"/>
                <w:szCs w:val="18"/>
              </w:rPr>
            </w:pPr>
            <w:r w:rsidRPr="00E02972">
              <w:rPr>
                <w:rFonts w:cs="Arial"/>
                <w:sz w:val="16"/>
                <w:szCs w:val="18"/>
              </w:rPr>
              <w:t>L2: (</w:t>
            </w:r>
            <w:hyperlink r:id="rId148" w:history="1">
              <w:hyperlink r:id="rId149" w:history="1">
                <w:r w:rsidRPr="00E02972">
                  <w:rPr>
                    <w:rStyle w:val="Hyperlink"/>
                    <w:rFonts w:cs="Arial"/>
                    <w:sz w:val="16"/>
                    <w:szCs w:val="18"/>
                  </w:rPr>
                  <w:t>CP1</w:t>
                </w:r>
              </w:hyperlink>
            </w:hyperlink>
            <w:r w:rsidRPr="00E02972">
              <w:rPr>
                <w:rFonts w:cs="Arial"/>
                <w:b/>
                <w:sz w:val="16"/>
                <w:szCs w:val="18"/>
              </w:rPr>
              <w:t xml:space="preserve">, </w:t>
            </w:r>
            <w:hyperlink r:id="rId150" w:history="1">
              <w:r w:rsidRPr="00E02972">
                <w:rPr>
                  <w:rStyle w:val="Hyperlink"/>
                  <w:rFonts w:cs="Arial"/>
                  <w:sz w:val="16"/>
                  <w:szCs w:val="18"/>
                </w:rPr>
                <w:t>FR</w:t>
              </w:r>
            </w:hyperlink>
            <w:r w:rsidRPr="00E02972">
              <w:rPr>
                <w:rFonts w:cs="Arial"/>
                <w:sz w:val="16"/>
                <w:szCs w:val="18"/>
              </w:rPr>
              <w:t xml:space="preserve">) </w:t>
            </w:r>
          </w:p>
          <w:p w:rsidR="00032535" w:rsidRPr="00E02972" w:rsidRDefault="006C2CF1" w:rsidP="00BE24BA">
            <w:pPr>
              <w:numPr>
                <w:ilvl w:val="0"/>
                <w:numId w:val="20"/>
              </w:numPr>
              <w:spacing w:before="240" w:after="260"/>
              <w:jc w:val="left"/>
              <w:rPr>
                <w:rFonts w:eastAsia="Times New Roman" w:cs="Arial"/>
                <w:sz w:val="16"/>
                <w:szCs w:val="18"/>
              </w:rPr>
            </w:pPr>
            <w:hyperlink r:id="rId151" w:history="1">
              <w:r w:rsidR="00BE24BA" w:rsidRPr="00E02972">
                <w:rPr>
                  <w:rStyle w:val="Hyperlink"/>
                  <w:rFonts w:cs="Arial"/>
                  <w:color w:val="0000FF"/>
                  <w:sz w:val="16"/>
                  <w:szCs w:val="18"/>
                </w:rPr>
                <w:t>DA1</w:t>
              </w:r>
            </w:hyperlink>
            <w:r w:rsidR="00BE24BA" w:rsidRPr="00E02972">
              <w:rPr>
                <w:rStyle w:val="Hyperlink"/>
                <w:rFonts w:cs="Arial"/>
                <w:color w:val="0000FF"/>
                <w:sz w:val="16"/>
                <w:szCs w:val="18"/>
              </w:rPr>
              <w:t xml:space="preserve"> (</w:t>
            </w:r>
            <w:r w:rsidR="00BE24BA" w:rsidRPr="00E02972">
              <w:rPr>
                <w:rStyle w:val="Hyperlink"/>
                <w:rFonts w:cs="Arial"/>
                <w:b/>
                <w:color w:val="0000FF"/>
                <w:sz w:val="16"/>
                <w:szCs w:val="18"/>
              </w:rPr>
              <w:t>Art 2</w:t>
            </w:r>
            <w:r w:rsidR="00BE24BA" w:rsidRPr="00E02972">
              <w:rPr>
                <w:rStyle w:val="Hyperlink"/>
                <w:rFonts w:cs="Arial"/>
                <w:color w:val="0000FF"/>
                <w:sz w:val="16"/>
                <w:szCs w:val="18"/>
              </w:rPr>
              <w:t>)</w:t>
            </w:r>
          </w:p>
        </w:tc>
        <w:tc>
          <w:tcPr>
            <w:tcW w:w="1213" w:type="pct"/>
            <w:tcBorders>
              <w:top w:val="single" w:sz="4" w:space="0" w:color="auto"/>
              <w:left w:val="single" w:sz="4" w:space="0" w:color="auto"/>
              <w:bottom w:val="single" w:sz="4" w:space="0" w:color="auto"/>
              <w:right w:val="single" w:sz="4" w:space="0" w:color="auto"/>
            </w:tcBorders>
          </w:tcPr>
          <w:p w:rsidR="00032535" w:rsidRPr="00E02972" w:rsidRDefault="00032535" w:rsidP="00F44B85">
            <w:pPr>
              <w:spacing w:before="240" w:after="260"/>
              <w:rPr>
                <w:rFonts w:cs="Arial"/>
                <w:sz w:val="16"/>
                <w:szCs w:val="18"/>
              </w:rPr>
            </w:pPr>
            <w:r w:rsidRPr="00E02972">
              <w:rPr>
                <w:rFonts w:cs="Arial"/>
                <w:sz w:val="16"/>
                <w:szCs w:val="18"/>
              </w:rPr>
              <w:t>Firms required to make adequate arrangements for the safeguard the ownership rights of clients and to prevent the use of client assets on own account except with:</w:t>
            </w:r>
          </w:p>
          <w:p w:rsidR="00032535" w:rsidRPr="00E02972" w:rsidRDefault="00032535" w:rsidP="00D925E0">
            <w:pPr>
              <w:numPr>
                <w:ilvl w:val="0"/>
                <w:numId w:val="24"/>
              </w:numPr>
              <w:spacing w:before="240" w:after="260"/>
              <w:rPr>
                <w:rFonts w:cs="Arial"/>
                <w:sz w:val="16"/>
                <w:szCs w:val="18"/>
              </w:rPr>
            </w:pPr>
            <w:r w:rsidRPr="00E02972">
              <w:rPr>
                <w:rFonts w:cs="Arial"/>
                <w:sz w:val="16"/>
                <w:szCs w:val="18"/>
              </w:rPr>
              <w:t>express, prior consent, evidenced in writing and affirmatively executed by signature or equivalent; and</w:t>
            </w:r>
          </w:p>
          <w:p w:rsidR="00032535" w:rsidRPr="00E02972" w:rsidRDefault="00032535" w:rsidP="00D925E0">
            <w:pPr>
              <w:numPr>
                <w:ilvl w:val="0"/>
                <w:numId w:val="24"/>
              </w:numPr>
              <w:spacing w:before="240" w:after="260"/>
              <w:rPr>
                <w:rFonts w:cs="Arial"/>
                <w:sz w:val="16"/>
                <w:szCs w:val="18"/>
              </w:rPr>
            </w:pPr>
            <w:r w:rsidRPr="00E02972">
              <w:rPr>
                <w:rFonts w:cs="Arial"/>
                <w:sz w:val="16"/>
                <w:szCs w:val="18"/>
              </w:rPr>
              <w:t>the use of that client’s financial instruments is restricted to the specified terms to which the client consents.</w:t>
            </w:r>
          </w:p>
          <w:p w:rsidR="00032535" w:rsidRPr="00E02972" w:rsidRDefault="00032535" w:rsidP="00F44B85">
            <w:pPr>
              <w:spacing w:before="240" w:after="260"/>
              <w:rPr>
                <w:rFonts w:cs="Arial"/>
                <w:sz w:val="16"/>
                <w:szCs w:val="18"/>
              </w:rPr>
            </w:pPr>
            <w:r w:rsidRPr="00E02972">
              <w:rPr>
                <w:rFonts w:cs="Arial"/>
                <w:sz w:val="16"/>
                <w:szCs w:val="18"/>
              </w:rPr>
              <w:t>Restrictions on title transfer collateral arrangements:</w:t>
            </w:r>
          </w:p>
          <w:p w:rsidR="00032535" w:rsidRPr="00E02972" w:rsidRDefault="00032535" w:rsidP="00D925E0">
            <w:pPr>
              <w:numPr>
                <w:ilvl w:val="0"/>
                <w:numId w:val="23"/>
              </w:numPr>
              <w:spacing w:before="240" w:after="260"/>
              <w:rPr>
                <w:rFonts w:cs="Arial"/>
                <w:sz w:val="16"/>
                <w:szCs w:val="18"/>
              </w:rPr>
            </w:pPr>
            <w:r w:rsidRPr="00E02972">
              <w:rPr>
                <w:rFonts w:cs="Arial"/>
                <w:sz w:val="16"/>
                <w:szCs w:val="18"/>
              </w:rPr>
              <w:t>prohibited with retail clients for the purpose of securing or covering present or future, actual or contin</w:t>
            </w:r>
            <w:r w:rsidR="006A56B7" w:rsidRPr="00E02972">
              <w:rPr>
                <w:rFonts w:cs="Arial"/>
                <w:sz w:val="16"/>
                <w:szCs w:val="18"/>
              </w:rPr>
              <w:t>gent or prospective obligations</w:t>
            </w:r>
          </w:p>
          <w:p w:rsidR="00032535" w:rsidRPr="00E02972" w:rsidRDefault="00032535" w:rsidP="00D925E0">
            <w:pPr>
              <w:numPr>
                <w:ilvl w:val="0"/>
                <w:numId w:val="23"/>
              </w:numPr>
              <w:spacing w:before="240" w:after="260"/>
              <w:rPr>
                <w:rFonts w:cs="Arial"/>
                <w:sz w:val="16"/>
                <w:szCs w:val="18"/>
              </w:rPr>
            </w:pPr>
            <w:r w:rsidRPr="00E02972">
              <w:rPr>
                <w:rFonts w:cs="Arial"/>
                <w:sz w:val="16"/>
                <w:szCs w:val="18"/>
              </w:rPr>
              <w:t>non-retail clients required to perform and document appropriateness assessment taking into consideration key factors set out in DA1 and highlight risks involved and the effect of any TTC arrangements on client assets.</w:t>
            </w:r>
          </w:p>
          <w:p w:rsidR="00032535" w:rsidRPr="00E02972" w:rsidRDefault="00032535" w:rsidP="00F44B85">
            <w:pPr>
              <w:spacing w:before="240" w:after="260"/>
              <w:rPr>
                <w:rFonts w:cs="Arial"/>
                <w:sz w:val="16"/>
                <w:szCs w:val="18"/>
              </w:rPr>
            </w:pPr>
            <w:r w:rsidRPr="00E02972">
              <w:rPr>
                <w:rFonts w:cs="Arial"/>
                <w:sz w:val="16"/>
                <w:szCs w:val="18"/>
              </w:rPr>
              <w:t xml:space="preserve">Firms to ensure clients give explicit consent to the placements of their </w:t>
            </w:r>
            <w:r w:rsidRPr="00E02972">
              <w:rPr>
                <w:rFonts w:cs="Arial"/>
                <w:sz w:val="16"/>
                <w:szCs w:val="18"/>
              </w:rPr>
              <w:lastRenderedPageBreak/>
              <w:t xml:space="preserve">funds in qualifying money market funds. </w:t>
            </w:r>
          </w:p>
          <w:p w:rsidR="00032535" w:rsidRPr="00E02972" w:rsidRDefault="00032535" w:rsidP="00F44B85">
            <w:pPr>
              <w:spacing w:before="240" w:after="260"/>
              <w:rPr>
                <w:rFonts w:cs="Arial"/>
                <w:sz w:val="16"/>
                <w:szCs w:val="18"/>
              </w:rPr>
            </w:pPr>
            <w:r w:rsidRPr="00E02972">
              <w:rPr>
                <w:rFonts w:cs="Arial"/>
                <w:sz w:val="16"/>
                <w:szCs w:val="18"/>
              </w:rPr>
              <w:t>Requirements for securities financing transactions:</w:t>
            </w:r>
          </w:p>
          <w:p w:rsidR="00032535" w:rsidRPr="00E02972" w:rsidRDefault="00F44B85" w:rsidP="00D925E0">
            <w:pPr>
              <w:numPr>
                <w:ilvl w:val="0"/>
                <w:numId w:val="22"/>
              </w:numPr>
              <w:spacing w:before="240" w:after="260"/>
              <w:rPr>
                <w:rFonts w:cs="Arial"/>
                <w:sz w:val="16"/>
                <w:szCs w:val="18"/>
              </w:rPr>
            </w:pPr>
            <w:r w:rsidRPr="00E02972">
              <w:rPr>
                <w:rFonts w:cs="Arial"/>
                <w:sz w:val="16"/>
                <w:szCs w:val="18"/>
              </w:rPr>
              <w:t>on-going</w:t>
            </w:r>
            <w:r w:rsidR="00032535" w:rsidRPr="00E02972">
              <w:rPr>
                <w:rFonts w:cs="Arial"/>
                <w:sz w:val="16"/>
                <w:szCs w:val="18"/>
              </w:rPr>
              <w:t xml:space="preserve"> monitoring of appropriateness of collateral;</w:t>
            </w:r>
          </w:p>
          <w:p w:rsidR="00032535" w:rsidRPr="00E02972" w:rsidRDefault="00032535" w:rsidP="00D925E0">
            <w:pPr>
              <w:numPr>
                <w:ilvl w:val="0"/>
                <w:numId w:val="22"/>
              </w:numPr>
              <w:rPr>
                <w:rFonts w:cs="Arial"/>
                <w:sz w:val="16"/>
                <w:szCs w:val="18"/>
              </w:rPr>
            </w:pPr>
            <w:r w:rsidRPr="00E02972">
              <w:rPr>
                <w:rFonts w:cs="Arial"/>
                <w:sz w:val="16"/>
                <w:szCs w:val="18"/>
              </w:rPr>
              <w:t xml:space="preserve">express, prior consent, evidenced in writing and affirmatively executed by signature or equivalent; </w:t>
            </w:r>
          </w:p>
          <w:p w:rsidR="00032535" w:rsidRPr="00E02972" w:rsidRDefault="00032535" w:rsidP="00F44B85">
            <w:pPr>
              <w:rPr>
                <w:rFonts w:cs="Arial"/>
                <w:sz w:val="16"/>
                <w:szCs w:val="18"/>
              </w:rPr>
            </w:pPr>
          </w:p>
          <w:p w:rsidR="00032535" w:rsidRPr="00E02972" w:rsidRDefault="00032535" w:rsidP="00D925E0">
            <w:pPr>
              <w:numPr>
                <w:ilvl w:val="0"/>
                <w:numId w:val="22"/>
              </w:numPr>
              <w:rPr>
                <w:rFonts w:cs="Arial"/>
                <w:sz w:val="16"/>
                <w:szCs w:val="18"/>
              </w:rPr>
            </w:pPr>
            <w:r w:rsidRPr="00E02972">
              <w:rPr>
                <w:rFonts w:cs="Arial"/>
                <w:sz w:val="16"/>
                <w:szCs w:val="18"/>
              </w:rPr>
              <w:t>the use of that client’s financial instruments is restricted to the specified terms to which the client consents</w:t>
            </w:r>
          </w:p>
          <w:p w:rsidR="00032535" w:rsidRPr="00E02972" w:rsidRDefault="00032535" w:rsidP="00F44B85">
            <w:pPr>
              <w:rPr>
                <w:rFonts w:cs="Arial"/>
                <w:sz w:val="16"/>
                <w:szCs w:val="18"/>
              </w:rPr>
            </w:pPr>
          </w:p>
          <w:p w:rsidR="00032535" w:rsidRPr="00E02972" w:rsidRDefault="00032535" w:rsidP="00D925E0">
            <w:pPr>
              <w:numPr>
                <w:ilvl w:val="0"/>
                <w:numId w:val="22"/>
              </w:numPr>
              <w:rPr>
                <w:sz w:val="16"/>
              </w:rPr>
            </w:pPr>
            <w:r w:rsidRPr="00E02972">
              <w:rPr>
                <w:rFonts w:cs="Arial"/>
                <w:sz w:val="16"/>
                <w:szCs w:val="18"/>
              </w:rPr>
              <w:t>systems and controls are in place to ensure only financial instruments where clients have given consent are used and to prevent any unauthorised use.</w:t>
            </w:r>
          </w:p>
        </w:tc>
        <w:tc>
          <w:tcPr>
            <w:tcW w:w="306" w:type="pct"/>
            <w:tcBorders>
              <w:top w:val="single" w:sz="4" w:space="0" w:color="auto"/>
              <w:left w:val="single" w:sz="4" w:space="0" w:color="auto"/>
              <w:bottom w:val="single" w:sz="4" w:space="0" w:color="auto"/>
              <w:right w:val="single" w:sz="4" w:space="0" w:color="auto"/>
            </w:tcBorders>
          </w:tcPr>
          <w:p w:rsidR="00032535" w:rsidRPr="00E02972" w:rsidRDefault="00032535" w:rsidP="00F44B85">
            <w:pPr>
              <w:pStyle w:val="BodyParagraphText"/>
              <w:spacing w:line="240" w:lineRule="auto"/>
              <w:jc w:val="both"/>
              <w:rPr>
                <w:rFonts w:cs="Arial"/>
                <w:sz w:val="16"/>
                <w:szCs w:val="18"/>
              </w:rPr>
            </w:pPr>
            <w:r w:rsidRPr="00E02972">
              <w:rPr>
                <w:rFonts w:cs="Arial"/>
                <w:sz w:val="16"/>
                <w:szCs w:val="18"/>
              </w:rPr>
              <w:lastRenderedPageBreak/>
              <w:t>R</w:t>
            </w:r>
            <w:r w:rsidRPr="00E02972">
              <w:rPr>
                <w:rFonts w:cs="Arial"/>
                <w:sz w:val="16"/>
                <w:szCs w:val="18"/>
              </w:rPr>
              <w:br/>
              <w:t>EP</w:t>
            </w:r>
            <w:r w:rsidRPr="00E02972">
              <w:rPr>
                <w:rFonts w:cs="Arial"/>
                <w:sz w:val="16"/>
                <w:szCs w:val="18"/>
              </w:rPr>
              <w:br/>
              <w:t>PSP</w:t>
            </w:r>
            <w:r w:rsidRPr="00E02972">
              <w:rPr>
                <w:rFonts w:cs="Arial"/>
                <w:sz w:val="16"/>
                <w:szCs w:val="18"/>
              </w:rPr>
              <w:br/>
              <w:t>ECP</w:t>
            </w:r>
          </w:p>
        </w:tc>
        <w:tc>
          <w:tcPr>
            <w:tcW w:w="1611" w:type="pct"/>
            <w:tcBorders>
              <w:top w:val="single" w:sz="4" w:space="0" w:color="auto"/>
              <w:left w:val="single" w:sz="4" w:space="0" w:color="auto"/>
              <w:bottom w:val="single" w:sz="4" w:space="0" w:color="auto"/>
              <w:right w:val="single" w:sz="4" w:space="0" w:color="auto"/>
            </w:tcBorders>
          </w:tcPr>
          <w:p w:rsidR="00032535" w:rsidRPr="00E02972" w:rsidRDefault="00032535" w:rsidP="00F44B85">
            <w:pPr>
              <w:pStyle w:val="ssPara1"/>
              <w:numPr>
                <w:ilvl w:val="0"/>
                <w:numId w:val="9"/>
              </w:numPr>
              <w:tabs>
                <w:tab w:val="num" w:pos="360"/>
              </w:tabs>
              <w:spacing w:before="240"/>
              <w:rPr>
                <w:rFonts w:eastAsia="Times New Roman" w:cs="Arial"/>
                <w:iCs/>
                <w:sz w:val="16"/>
                <w:szCs w:val="18"/>
              </w:rPr>
            </w:pPr>
            <w:r w:rsidRPr="00E02972">
              <w:rPr>
                <w:rFonts w:eastAsia="Times New Roman" w:cs="Arial"/>
                <w:iCs/>
                <w:sz w:val="16"/>
                <w:szCs w:val="18"/>
              </w:rPr>
              <w:t xml:space="preserve">Review and amend client agreements to meet </w:t>
            </w:r>
            <w:r w:rsidRPr="00E02972">
              <w:rPr>
                <w:rFonts w:cs="Arial"/>
                <w:bCs/>
                <w:sz w:val="16"/>
                <w:szCs w:val="18"/>
              </w:rPr>
              <w:t>disclosure</w:t>
            </w:r>
            <w:r w:rsidRPr="00E02972">
              <w:rPr>
                <w:rFonts w:eastAsia="Times New Roman" w:cs="Arial"/>
                <w:iCs/>
                <w:sz w:val="16"/>
                <w:szCs w:val="18"/>
              </w:rPr>
              <w:t>, consent and appropriateness requirements are incorporated.</w:t>
            </w:r>
          </w:p>
          <w:p w:rsidR="00032535" w:rsidRPr="00E02972" w:rsidRDefault="00032535" w:rsidP="00F44B85">
            <w:pPr>
              <w:pStyle w:val="ssPara1"/>
              <w:numPr>
                <w:ilvl w:val="0"/>
                <w:numId w:val="9"/>
              </w:numPr>
              <w:tabs>
                <w:tab w:val="num" w:pos="360"/>
              </w:tabs>
              <w:spacing w:before="240"/>
              <w:rPr>
                <w:rFonts w:eastAsia="Times New Roman" w:cs="Arial"/>
                <w:iCs/>
                <w:sz w:val="16"/>
                <w:szCs w:val="18"/>
              </w:rPr>
            </w:pPr>
            <w:r w:rsidRPr="00E02972">
              <w:rPr>
                <w:rFonts w:eastAsia="Times New Roman" w:cs="Arial"/>
                <w:iCs/>
                <w:sz w:val="16"/>
                <w:szCs w:val="18"/>
              </w:rPr>
              <w:t xml:space="preserve">Ensure relevant express prior consents are obtained from the client. </w:t>
            </w:r>
          </w:p>
          <w:p w:rsidR="00032535" w:rsidRPr="00E02972" w:rsidRDefault="00032535" w:rsidP="00F44B85">
            <w:pPr>
              <w:pStyle w:val="ssPara1"/>
              <w:numPr>
                <w:ilvl w:val="0"/>
                <w:numId w:val="9"/>
              </w:numPr>
              <w:tabs>
                <w:tab w:val="num" w:pos="360"/>
              </w:tabs>
              <w:spacing w:before="240"/>
              <w:rPr>
                <w:rFonts w:eastAsia="Times New Roman" w:cs="Arial"/>
                <w:iCs/>
                <w:sz w:val="16"/>
                <w:szCs w:val="18"/>
              </w:rPr>
            </w:pPr>
            <w:r w:rsidRPr="00E02972">
              <w:rPr>
                <w:rFonts w:eastAsia="Times New Roman" w:cs="Arial"/>
                <w:iCs/>
                <w:sz w:val="16"/>
                <w:szCs w:val="18"/>
              </w:rPr>
              <w:t xml:space="preserve">For SFT Transactions draft or incorporate into agreements express prior </w:t>
            </w:r>
            <w:r w:rsidRPr="00E02972">
              <w:rPr>
                <w:rFonts w:cs="Arial"/>
                <w:bCs/>
                <w:sz w:val="16"/>
                <w:szCs w:val="18"/>
              </w:rPr>
              <w:t>consent</w:t>
            </w:r>
            <w:r w:rsidRPr="00E02972">
              <w:rPr>
                <w:rFonts w:eastAsia="Times New Roman" w:cs="Arial"/>
                <w:iCs/>
                <w:sz w:val="16"/>
                <w:szCs w:val="18"/>
              </w:rPr>
              <w:t xml:space="preserve"> required. </w:t>
            </w:r>
          </w:p>
        </w:tc>
        <w:tc>
          <w:tcPr>
            <w:tcW w:w="625" w:type="pct"/>
            <w:tcBorders>
              <w:top w:val="single" w:sz="4" w:space="0" w:color="auto"/>
              <w:left w:val="single" w:sz="4" w:space="0" w:color="auto"/>
              <w:bottom w:val="single" w:sz="4" w:space="0" w:color="auto"/>
              <w:right w:val="single" w:sz="4" w:space="0" w:color="auto"/>
            </w:tcBorders>
          </w:tcPr>
          <w:p w:rsidR="00BE24BA" w:rsidRPr="00E02972" w:rsidRDefault="00BE24BA" w:rsidP="00BE24BA">
            <w:pPr>
              <w:numPr>
                <w:ilvl w:val="0"/>
                <w:numId w:val="9"/>
              </w:numPr>
              <w:spacing w:before="240" w:after="260"/>
              <w:jc w:val="left"/>
              <w:rPr>
                <w:rFonts w:eastAsia="Times New Roman" w:cs="Arial"/>
                <w:bCs/>
                <w:sz w:val="16"/>
                <w:szCs w:val="18"/>
              </w:rPr>
            </w:pPr>
            <w:r w:rsidRPr="00E02972">
              <w:rPr>
                <w:rFonts w:eastAsia="Times New Roman" w:cs="Arial"/>
                <w:bCs/>
                <w:sz w:val="16"/>
                <w:szCs w:val="18"/>
              </w:rPr>
              <w:t>Client Terms of Business.</w:t>
            </w:r>
          </w:p>
          <w:p w:rsidR="00BE24BA" w:rsidRPr="00E02972" w:rsidRDefault="00BE24BA" w:rsidP="00BE24BA">
            <w:pPr>
              <w:numPr>
                <w:ilvl w:val="0"/>
                <w:numId w:val="9"/>
              </w:numPr>
              <w:spacing w:before="240" w:after="260"/>
              <w:jc w:val="left"/>
              <w:rPr>
                <w:rFonts w:eastAsia="Times New Roman" w:cs="Arial"/>
                <w:bCs/>
                <w:sz w:val="16"/>
                <w:szCs w:val="18"/>
              </w:rPr>
            </w:pPr>
            <w:r w:rsidRPr="00E02972">
              <w:rPr>
                <w:rFonts w:eastAsia="Times New Roman" w:cs="Arial"/>
                <w:bCs/>
                <w:sz w:val="16"/>
                <w:szCs w:val="18"/>
              </w:rPr>
              <w:t>Client covering letters (to send with general terms of business).</w:t>
            </w:r>
          </w:p>
          <w:p w:rsidR="00BE24BA" w:rsidRPr="00E02972" w:rsidRDefault="00BE24BA" w:rsidP="00BE24BA">
            <w:pPr>
              <w:numPr>
                <w:ilvl w:val="0"/>
                <w:numId w:val="9"/>
              </w:numPr>
              <w:spacing w:before="240" w:after="260"/>
              <w:jc w:val="left"/>
              <w:rPr>
                <w:rFonts w:eastAsia="Times New Roman" w:cs="Arial"/>
                <w:bCs/>
                <w:sz w:val="16"/>
                <w:szCs w:val="18"/>
              </w:rPr>
            </w:pPr>
            <w:r w:rsidRPr="00E02972">
              <w:rPr>
                <w:rFonts w:eastAsia="Times New Roman" w:cs="Arial"/>
                <w:bCs/>
                <w:sz w:val="16"/>
                <w:szCs w:val="18"/>
              </w:rPr>
              <w:t>Collateral Management Agreement.</w:t>
            </w:r>
          </w:p>
          <w:p w:rsidR="00BE24BA" w:rsidRPr="00E02972" w:rsidRDefault="00BE24BA" w:rsidP="00BE24BA">
            <w:pPr>
              <w:numPr>
                <w:ilvl w:val="0"/>
                <w:numId w:val="9"/>
              </w:numPr>
              <w:spacing w:before="240" w:after="260"/>
              <w:jc w:val="left"/>
              <w:rPr>
                <w:rFonts w:eastAsia="Times New Roman" w:cs="Arial"/>
                <w:bCs/>
                <w:sz w:val="16"/>
                <w:szCs w:val="18"/>
              </w:rPr>
            </w:pPr>
            <w:r w:rsidRPr="00E02972">
              <w:rPr>
                <w:rFonts w:eastAsia="Times New Roman" w:cs="Arial"/>
                <w:bCs/>
                <w:sz w:val="16"/>
                <w:szCs w:val="18"/>
              </w:rPr>
              <w:t xml:space="preserve">Collateral Custody Agreement; </w:t>
            </w:r>
          </w:p>
          <w:p w:rsidR="00BE24BA" w:rsidRPr="00E02972" w:rsidRDefault="00BE24BA" w:rsidP="00BE24BA">
            <w:pPr>
              <w:numPr>
                <w:ilvl w:val="0"/>
                <w:numId w:val="9"/>
              </w:numPr>
              <w:spacing w:before="240" w:after="260"/>
              <w:jc w:val="left"/>
              <w:rPr>
                <w:rFonts w:eastAsia="Times New Roman" w:cs="Arial"/>
                <w:bCs/>
                <w:sz w:val="16"/>
                <w:szCs w:val="18"/>
              </w:rPr>
            </w:pPr>
            <w:r w:rsidRPr="00E02972">
              <w:rPr>
                <w:rFonts w:eastAsia="Times New Roman" w:cs="Arial"/>
                <w:bCs/>
                <w:sz w:val="16"/>
                <w:szCs w:val="18"/>
              </w:rPr>
              <w:t>Client Asset Custody Agreements;</w:t>
            </w:r>
          </w:p>
          <w:p w:rsidR="00BE24BA" w:rsidRPr="00E02972" w:rsidRDefault="00BE24BA" w:rsidP="00BE24BA">
            <w:pPr>
              <w:numPr>
                <w:ilvl w:val="0"/>
                <w:numId w:val="9"/>
              </w:numPr>
              <w:spacing w:before="240" w:after="260"/>
              <w:jc w:val="left"/>
              <w:rPr>
                <w:rFonts w:eastAsia="Times New Roman" w:cs="Arial"/>
                <w:bCs/>
                <w:sz w:val="16"/>
                <w:szCs w:val="18"/>
              </w:rPr>
            </w:pPr>
            <w:r w:rsidRPr="00E02972">
              <w:rPr>
                <w:rFonts w:eastAsia="Times New Roman" w:cs="Arial"/>
                <w:bCs/>
                <w:sz w:val="16"/>
                <w:szCs w:val="18"/>
              </w:rPr>
              <w:t>Placing and Underwriting Agreements;</w:t>
            </w:r>
          </w:p>
          <w:p w:rsidR="00BE24BA" w:rsidRPr="00E02972" w:rsidRDefault="00BE24BA" w:rsidP="00BE24BA">
            <w:pPr>
              <w:numPr>
                <w:ilvl w:val="0"/>
                <w:numId w:val="9"/>
              </w:numPr>
              <w:spacing w:before="240" w:after="260"/>
              <w:jc w:val="left"/>
              <w:rPr>
                <w:rFonts w:eastAsia="Times New Roman" w:cs="Arial"/>
                <w:sz w:val="16"/>
                <w:szCs w:val="18"/>
              </w:rPr>
            </w:pPr>
            <w:r w:rsidRPr="00E02972">
              <w:rPr>
                <w:rFonts w:eastAsia="Times New Roman" w:cs="Arial"/>
                <w:bCs/>
                <w:sz w:val="16"/>
                <w:szCs w:val="18"/>
              </w:rPr>
              <w:t>Investment advisory agreements.</w:t>
            </w:r>
          </w:p>
          <w:p w:rsidR="00032535" w:rsidRPr="00E02972" w:rsidRDefault="00BE24BA" w:rsidP="00BE24BA">
            <w:pPr>
              <w:numPr>
                <w:ilvl w:val="0"/>
                <w:numId w:val="9"/>
              </w:numPr>
              <w:spacing w:before="240" w:after="260"/>
              <w:jc w:val="left"/>
              <w:rPr>
                <w:rFonts w:eastAsia="Times New Roman" w:cs="Arial"/>
                <w:sz w:val="16"/>
                <w:szCs w:val="18"/>
              </w:rPr>
            </w:pPr>
            <w:r w:rsidRPr="00E02972">
              <w:rPr>
                <w:rFonts w:eastAsia="Times New Roman" w:cs="Arial"/>
                <w:bCs/>
                <w:sz w:val="16"/>
                <w:szCs w:val="18"/>
              </w:rPr>
              <w:lastRenderedPageBreak/>
              <w:t>Written express consents</w:t>
            </w:r>
            <w:r w:rsidR="006A56B7" w:rsidRPr="00E02972">
              <w:rPr>
                <w:rFonts w:eastAsia="Times New Roman" w:cs="Arial"/>
                <w:bCs/>
                <w:sz w:val="16"/>
                <w:szCs w:val="18"/>
              </w:rPr>
              <w:t>.</w:t>
            </w:r>
          </w:p>
        </w:tc>
        <w:tc>
          <w:tcPr>
            <w:tcW w:w="416" w:type="pct"/>
            <w:tcBorders>
              <w:top w:val="single" w:sz="4" w:space="0" w:color="auto"/>
              <w:left w:val="single" w:sz="4" w:space="0" w:color="auto"/>
              <w:bottom w:val="single" w:sz="4" w:space="0" w:color="auto"/>
              <w:right w:val="single" w:sz="4" w:space="0" w:color="auto"/>
            </w:tcBorders>
          </w:tcPr>
          <w:p w:rsidR="00032535" w:rsidRPr="00E02972" w:rsidRDefault="00032535" w:rsidP="00F44B85">
            <w:pPr>
              <w:pStyle w:val="ssPara1"/>
              <w:spacing w:before="240"/>
              <w:rPr>
                <w:rFonts w:cs="Arial"/>
                <w:sz w:val="16"/>
                <w:szCs w:val="18"/>
              </w:rPr>
            </w:pPr>
            <w:r w:rsidRPr="00E02972">
              <w:rPr>
                <w:rFonts w:cs="Arial"/>
                <w:sz w:val="16"/>
                <w:szCs w:val="18"/>
              </w:rPr>
              <w:lastRenderedPageBreak/>
              <w:t xml:space="preserve">Express, prior consent from client recorded in </w:t>
            </w:r>
            <w:r w:rsidRPr="00E02972">
              <w:rPr>
                <w:rFonts w:eastAsia="Times New Roman" w:cs="Arial"/>
                <w:sz w:val="16"/>
                <w:szCs w:val="18"/>
              </w:rPr>
              <w:t xml:space="preserve">writing for SFT transactions and deal on own account exception and to place funds in qualifying money market funds. </w:t>
            </w:r>
          </w:p>
        </w:tc>
      </w:tr>
      <w:tr w:rsidR="00032535" w:rsidRPr="00E02972" w:rsidTr="00F44B85">
        <w:tc>
          <w:tcPr>
            <w:tcW w:w="455" w:type="pct"/>
            <w:tcBorders>
              <w:top w:val="single" w:sz="4" w:space="0" w:color="auto"/>
              <w:left w:val="single" w:sz="4" w:space="0" w:color="auto"/>
              <w:bottom w:val="single" w:sz="4" w:space="0" w:color="auto"/>
              <w:right w:val="single" w:sz="4" w:space="0" w:color="auto"/>
            </w:tcBorders>
            <w:shd w:val="clear" w:color="auto" w:fill="69889A"/>
          </w:tcPr>
          <w:p w:rsidR="00032535" w:rsidRPr="00E02972" w:rsidRDefault="00032535" w:rsidP="006E3A87">
            <w:pPr>
              <w:spacing w:before="120" w:after="120"/>
              <w:jc w:val="left"/>
              <w:rPr>
                <w:rFonts w:eastAsia="Times New Roman" w:cs="Arial"/>
                <w:b/>
                <w:bCs/>
                <w:color w:val="FFFFFF" w:themeColor="background1"/>
                <w:sz w:val="16"/>
                <w:szCs w:val="18"/>
                <w:lang w:eastAsia="en-GB"/>
              </w:rPr>
            </w:pPr>
            <w:r w:rsidRPr="00E02972">
              <w:rPr>
                <w:rFonts w:eastAsia="Times New Roman" w:cs="Arial"/>
                <w:b/>
                <w:bCs/>
                <w:color w:val="FFFFFF" w:themeColor="background1"/>
                <w:sz w:val="16"/>
                <w:szCs w:val="18"/>
                <w:lang w:eastAsia="en-GB"/>
              </w:rPr>
              <w:t>TRANSACTION REPORTING</w:t>
            </w:r>
          </w:p>
        </w:tc>
        <w:tc>
          <w:tcPr>
            <w:tcW w:w="374" w:type="pct"/>
            <w:tcBorders>
              <w:top w:val="single" w:sz="4" w:space="0" w:color="auto"/>
              <w:left w:val="single" w:sz="4" w:space="0" w:color="auto"/>
              <w:bottom w:val="single" w:sz="4" w:space="0" w:color="auto"/>
              <w:right w:val="single" w:sz="4" w:space="0" w:color="auto"/>
            </w:tcBorders>
          </w:tcPr>
          <w:p w:rsidR="00BE24BA" w:rsidRPr="00E02972" w:rsidRDefault="006C2CF1" w:rsidP="00BE24BA">
            <w:pPr>
              <w:spacing w:before="120" w:after="120"/>
              <w:jc w:val="left"/>
              <w:rPr>
                <w:rFonts w:eastAsia="Times New Roman" w:cs="Arial"/>
                <w:sz w:val="16"/>
                <w:szCs w:val="18"/>
              </w:rPr>
            </w:pPr>
            <w:hyperlink r:id="rId152" w:history="1">
              <w:r w:rsidR="00BE24BA" w:rsidRPr="00E02972">
                <w:rPr>
                  <w:rStyle w:val="Hyperlink"/>
                  <w:rFonts w:eastAsia="Times New Roman" w:cs="Arial"/>
                  <w:sz w:val="16"/>
                  <w:szCs w:val="18"/>
                </w:rPr>
                <w:t>R</w:t>
              </w:r>
            </w:hyperlink>
            <w:r w:rsidR="00BE24BA" w:rsidRPr="00E02972">
              <w:rPr>
                <w:rFonts w:eastAsia="Times New Roman" w:cs="Arial"/>
                <w:sz w:val="16"/>
                <w:szCs w:val="18"/>
              </w:rPr>
              <w:t xml:space="preserve">  Art 24,  Art 25,  Art  26,  </w:t>
            </w:r>
          </w:p>
          <w:p w:rsidR="00BE24BA" w:rsidRPr="00E02972" w:rsidRDefault="00BE24BA" w:rsidP="00BE24BA">
            <w:pPr>
              <w:spacing w:before="120" w:after="120"/>
              <w:jc w:val="left"/>
              <w:rPr>
                <w:rFonts w:eastAsia="Times New Roman" w:cs="Arial"/>
                <w:sz w:val="16"/>
                <w:szCs w:val="18"/>
              </w:rPr>
            </w:pPr>
            <w:r w:rsidRPr="00E02972">
              <w:rPr>
                <w:rFonts w:eastAsia="Times New Roman" w:cs="Arial"/>
                <w:sz w:val="16"/>
                <w:szCs w:val="18"/>
              </w:rPr>
              <w:t>L2: (</w:t>
            </w:r>
            <w:hyperlink r:id="rId153" w:history="1">
              <w:r w:rsidRPr="00E02972">
                <w:rPr>
                  <w:rStyle w:val="Hyperlink"/>
                  <w:rFonts w:eastAsia="Times New Roman" w:cs="Arial"/>
                  <w:sz w:val="16"/>
                  <w:szCs w:val="18"/>
                </w:rPr>
                <w:t>DP</w:t>
              </w:r>
            </w:hyperlink>
            <w:r w:rsidRPr="00E02972">
              <w:rPr>
                <w:rFonts w:eastAsia="Times New Roman" w:cs="Arial"/>
                <w:sz w:val="16"/>
                <w:szCs w:val="18"/>
              </w:rPr>
              <w:t xml:space="preserve">, </w:t>
            </w:r>
            <w:hyperlink r:id="rId154" w:history="1">
              <w:r w:rsidRPr="00E02972">
                <w:rPr>
                  <w:rStyle w:val="Hyperlink"/>
                  <w:rFonts w:cs="Arial"/>
                  <w:sz w:val="16"/>
                  <w:szCs w:val="18"/>
                </w:rPr>
                <w:t>CP2</w:t>
              </w:r>
            </w:hyperlink>
            <w:r w:rsidRPr="00E02972">
              <w:rPr>
                <w:rFonts w:eastAsia="Times New Roman" w:cs="Arial"/>
                <w:sz w:val="16"/>
                <w:szCs w:val="18"/>
              </w:rPr>
              <w:t xml:space="preserve">, </w:t>
            </w:r>
            <w:hyperlink r:id="rId155" w:history="1">
              <w:r w:rsidRPr="00E02972">
                <w:rPr>
                  <w:rStyle w:val="Hyperlink"/>
                  <w:rFonts w:cs="Arial"/>
                  <w:sz w:val="16"/>
                  <w:szCs w:val="18"/>
                </w:rPr>
                <w:t>FR3</w:t>
              </w:r>
            </w:hyperlink>
            <w:r w:rsidRPr="00E02972">
              <w:rPr>
                <w:rStyle w:val="Hyperlink"/>
                <w:rFonts w:cs="Arial"/>
                <w:sz w:val="16"/>
                <w:szCs w:val="18"/>
              </w:rPr>
              <w:t xml:space="preserve">) </w:t>
            </w:r>
          </w:p>
          <w:p w:rsidR="006A56B7" w:rsidRPr="00E02972" w:rsidRDefault="006C2CF1" w:rsidP="00D925E0">
            <w:pPr>
              <w:pStyle w:val="ListParagraph"/>
              <w:numPr>
                <w:ilvl w:val="0"/>
                <w:numId w:val="22"/>
              </w:numPr>
              <w:spacing w:before="120" w:after="120" w:line="240" w:lineRule="auto"/>
              <w:rPr>
                <w:rFonts w:ascii="Arial" w:eastAsia="Times New Roman" w:hAnsi="Arial" w:cs="Arial"/>
                <w:color w:val="0000FF"/>
                <w:sz w:val="16"/>
                <w:szCs w:val="18"/>
              </w:rPr>
            </w:pPr>
            <w:hyperlink r:id="rId156" w:history="1">
              <w:r w:rsidR="00BE24BA" w:rsidRPr="00E02972">
                <w:rPr>
                  <w:rStyle w:val="Hyperlink"/>
                  <w:rFonts w:ascii="Arial" w:eastAsia="Times New Roman" w:hAnsi="Arial" w:cs="Arial"/>
                  <w:color w:val="0000FF"/>
                  <w:sz w:val="16"/>
                  <w:szCs w:val="18"/>
                </w:rPr>
                <w:t>FR8</w:t>
              </w:r>
            </w:hyperlink>
            <w:r w:rsidR="00BE24BA" w:rsidRPr="00E02972">
              <w:rPr>
                <w:rFonts w:ascii="Arial" w:eastAsia="Times New Roman" w:hAnsi="Arial" w:cs="Arial"/>
                <w:color w:val="0000FF"/>
                <w:sz w:val="16"/>
                <w:szCs w:val="18"/>
              </w:rPr>
              <w:t xml:space="preserve"> amended </w:t>
            </w:r>
            <w:hyperlink r:id="rId157" w:history="1">
              <w:r w:rsidR="00BE24BA" w:rsidRPr="00E02972">
                <w:rPr>
                  <w:rStyle w:val="Hyperlink"/>
                  <w:rFonts w:ascii="Arial" w:eastAsia="Times New Roman" w:hAnsi="Arial" w:cs="Arial"/>
                  <w:color w:val="0000FF"/>
                  <w:sz w:val="16"/>
                  <w:szCs w:val="18"/>
                </w:rPr>
                <w:t>RTS 22</w:t>
              </w:r>
            </w:hyperlink>
            <w:r w:rsidR="00BE24BA" w:rsidRPr="00E02972">
              <w:rPr>
                <w:rFonts w:ascii="Arial" w:eastAsia="Times New Roman" w:hAnsi="Arial" w:cs="Arial"/>
                <w:color w:val="0000FF"/>
                <w:sz w:val="16"/>
                <w:szCs w:val="18"/>
              </w:rPr>
              <w:t xml:space="preserve"> </w:t>
            </w:r>
          </w:p>
          <w:p w:rsidR="00BE24BA" w:rsidRPr="00E02972" w:rsidRDefault="006C2CF1" w:rsidP="00D925E0">
            <w:pPr>
              <w:pStyle w:val="ListParagraph"/>
              <w:numPr>
                <w:ilvl w:val="0"/>
                <w:numId w:val="22"/>
              </w:numPr>
              <w:spacing w:before="120" w:after="120" w:line="240" w:lineRule="auto"/>
              <w:rPr>
                <w:rStyle w:val="Hyperlink"/>
                <w:rFonts w:ascii="Arial" w:eastAsia="Times New Roman" w:hAnsi="Arial" w:cs="Arial"/>
                <w:color w:val="0000FF"/>
                <w:sz w:val="16"/>
                <w:szCs w:val="18"/>
                <w:u w:val="none"/>
              </w:rPr>
            </w:pPr>
            <w:hyperlink r:id="rId158" w:history="1">
              <w:r w:rsidR="00BE24BA" w:rsidRPr="00E02972">
                <w:rPr>
                  <w:rStyle w:val="Hyperlink"/>
                  <w:rFonts w:ascii="Arial" w:hAnsi="Arial" w:cs="Arial"/>
                  <w:color w:val="0000FF"/>
                  <w:sz w:val="16"/>
                  <w:szCs w:val="18"/>
                </w:rPr>
                <w:t>DR32</w:t>
              </w:r>
            </w:hyperlink>
            <w:r w:rsidR="00BE24BA" w:rsidRPr="00E02972">
              <w:rPr>
                <w:rStyle w:val="Hyperlink"/>
                <w:rFonts w:ascii="Arial" w:hAnsi="Arial" w:cs="Arial"/>
                <w:color w:val="0000FF"/>
                <w:sz w:val="16"/>
                <w:szCs w:val="18"/>
              </w:rPr>
              <w:t xml:space="preserve"> (</w:t>
            </w:r>
            <w:hyperlink r:id="rId159" w:history="1">
              <w:r w:rsidR="00BE24BA" w:rsidRPr="00E02972">
                <w:rPr>
                  <w:rStyle w:val="Hyperlink"/>
                  <w:rFonts w:ascii="Arial" w:hAnsi="Arial" w:cs="Arial"/>
                  <w:sz w:val="16"/>
                  <w:szCs w:val="18"/>
                </w:rPr>
                <w:t>Final RTS 22</w:t>
              </w:r>
            </w:hyperlink>
            <w:r w:rsidR="00BE24BA" w:rsidRPr="00E02972">
              <w:rPr>
                <w:rStyle w:val="Hyperlink"/>
                <w:rFonts w:ascii="Arial" w:hAnsi="Arial" w:cs="Arial"/>
                <w:color w:val="0000FF"/>
                <w:sz w:val="16"/>
                <w:szCs w:val="18"/>
              </w:rPr>
              <w:t xml:space="preserve">) with </w:t>
            </w:r>
            <w:hyperlink r:id="rId160" w:history="1">
              <w:r w:rsidR="00BE24BA" w:rsidRPr="00E02972">
                <w:rPr>
                  <w:rStyle w:val="Hyperlink"/>
                  <w:rFonts w:ascii="Arial" w:hAnsi="Arial" w:cs="Arial"/>
                  <w:color w:val="0000FF"/>
                  <w:sz w:val="16"/>
                  <w:szCs w:val="18"/>
                </w:rPr>
                <w:t>Annex</w:t>
              </w:r>
            </w:hyperlink>
          </w:p>
          <w:p w:rsidR="00BE24BA" w:rsidRPr="00E02972" w:rsidRDefault="00BE24BA" w:rsidP="00BE24BA">
            <w:pPr>
              <w:spacing w:before="120" w:after="120"/>
              <w:jc w:val="left"/>
              <w:rPr>
                <w:rFonts w:eastAsia="Times New Roman" w:cs="Arial"/>
                <w:b/>
                <w:sz w:val="16"/>
                <w:szCs w:val="18"/>
              </w:rPr>
            </w:pPr>
            <w:r w:rsidRPr="00E02972">
              <w:rPr>
                <w:rFonts w:eastAsia="Times New Roman" w:cs="Arial"/>
                <w:sz w:val="16"/>
                <w:szCs w:val="18"/>
              </w:rPr>
              <w:t>L3</w:t>
            </w:r>
            <w:r w:rsidRPr="00E02972">
              <w:rPr>
                <w:rFonts w:eastAsia="Times New Roman" w:cs="Arial"/>
                <w:b/>
                <w:sz w:val="16"/>
                <w:szCs w:val="18"/>
              </w:rPr>
              <w:t xml:space="preserve"> (</w:t>
            </w:r>
            <w:hyperlink r:id="rId161" w:history="1">
              <w:r w:rsidRPr="00E02972">
                <w:rPr>
                  <w:rStyle w:val="Hyperlink"/>
                  <w:rFonts w:eastAsia="Times New Roman" w:cs="Arial"/>
                  <w:sz w:val="16"/>
                  <w:szCs w:val="18"/>
                </w:rPr>
                <w:t>CP8</w:t>
              </w:r>
            </w:hyperlink>
            <w:r w:rsidRPr="00E02972">
              <w:rPr>
                <w:rStyle w:val="Hyperlink"/>
                <w:rFonts w:eastAsia="Times New Roman" w:cs="Arial"/>
                <w:sz w:val="16"/>
                <w:szCs w:val="18"/>
              </w:rPr>
              <w:t>)</w:t>
            </w:r>
            <w:r w:rsidRPr="00E02972">
              <w:rPr>
                <w:rFonts w:eastAsia="Times New Roman" w:cs="Arial"/>
                <w:b/>
                <w:sz w:val="16"/>
                <w:szCs w:val="18"/>
              </w:rPr>
              <w:t xml:space="preserve"> </w:t>
            </w:r>
          </w:p>
          <w:p w:rsidR="00032535" w:rsidRPr="00E02972" w:rsidRDefault="006C2CF1" w:rsidP="00D925E0">
            <w:pPr>
              <w:numPr>
                <w:ilvl w:val="0"/>
                <w:numId w:val="41"/>
              </w:numPr>
              <w:spacing w:before="240" w:after="260"/>
              <w:jc w:val="left"/>
              <w:rPr>
                <w:rFonts w:eastAsia="Times New Roman" w:cs="Arial"/>
                <w:sz w:val="16"/>
                <w:szCs w:val="18"/>
              </w:rPr>
            </w:pPr>
            <w:hyperlink r:id="rId162" w:history="1">
              <w:r w:rsidR="00BE24BA" w:rsidRPr="00E02972">
                <w:rPr>
                  <w:rStyle w:val="Hyperlink"/>
                  <w:rFonts w:cs="Arial"/>
                  <w:color w:val="0000FF"/>
                  <w:sz w:val="16"/>
                  <w:szCs w:val="18"/>
                </w:rPr>
                <w:t>FR10</w:t>
              </w:r>
            </w:hyperlink>
            <w:r w:rsidR="00BE24BA" w:rsidRPr="00E02972">
              <w:rPr>
                <w:rStyle w:val="Hyperlink"/>
                <w:rFonts w:cs="Arial"/>
                <w:color w:val="0000FF"/>
                <w:sz w:val="16"/>
                <w:szCs w:val="18"/>
              </w:rPr>
              <w:t xml:space="preserve"> (Final Guidelines on Implementation of Transaction Reporting Regime)</w:t>
            </w:r>
          </w:p>
        </w:tc>
        <w:tc>
          <w:tcPr>
            <w:tcW w:w="1213" w:type="pct"/>
            <w:tcBorders>
              <w:top w:val="single" w:sz="4" w:space="0" w:color="auto"/>
              <w:left w:val="single" w:sz="4" w:space="0" w:color="auto"/>
              <w:bottom w:val="single" w:sz="4" w:space="0" w:color="auto"/>
              <w:right w:val="single" w:sz="4" w:space="0" w:color="auto"/>
            </w:tcBorders>
          </w:tcPr>
          <w:p w:rsidR="00032535" w:rsidRPr="00E02972" w:rsidRDefault="00032535" w:rsidP="00F44B85">
            <w:pPr>
              <w:spacing w:before="240" w:after="260"/>
              <w:rPr>
                <w:rFonts w:eastAsia="Times New Roman" w:cs="Arial"/>
                <w:sz w:val="16"/>
                <w:szCs w:val="18"/>
              </w:rPr>
            </w:pPr>
            <w:r w:rsidRPr="00E02972">
              <w:rPr>
                <w:rFonts w:eastAsia="Times New Roman" w:cs="Arial"/>
                <w:sz w:val="16"/>
                <w:szCs w:val="18"/>
              </w:rPr>
              <w:t>Expande</w:t>
            </w:r>
            <w:r w:rsidR="00DE0071" w:rsidRPr="00E02972">
              <w:rPr>
                <w:rFonts w:eastAsia="Times New Roman" w:cs="Arial"/>
                <w:sz w:val="16"/>
                <w:szCs w:val="18"/>
              </w:rPr>
              <w:t>d scope of financial instrument</w:t>
            </w:r>
            <w:r w:rsidRPr="00E02972">
              <w:rPr>
                <w:rFonts w:eastAsia="Times New Roman" w:cs="Arial"/>
                <w:sz w:val="16"/>
                <w:szCs w:val="18"/>
              </w:rPr>
              <w:t>s compared with MiFID 1 to include all instruments other than financial instruments:</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 xml:space="preserve">not </w:t>
            </w:r>
            <w:r w:rsidRPr="00E02972">
              <w:rPr>
                <w:rFonts w:cs="Arial"/>
                <w:sz w:val="16"/>
                <w:szCs w:val="18"/>
                <w:lang w:val="en-US" w:eastAsia="en-US"/>
              </w:rPr>
              <w:t>admitted</w:t>
            </w:r>
            <w:r w:rsidRPr="00E02972">
              <w:rPr>
                <w:rFonts w:cs="Arial"/>
                <w:sz w:val="16"/>
                <w:szCs w:val="18"/>
              </w:rPr>
              <w:t xml:space="preserve"> to trading on a RM or MTF;</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where the underlying is not a financial instrument traded on a RM, MTF or OTF; or</w:t>
            </w:r>
          </w:p>
          <w:p w:rsidR="00DE0071"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where the underlying is not an index or basket composed of financial instruments traded on a RM, MTF, OTF.</w:t>
            </w:r>
          </w:p>
          <w:p w:rsidR="00032535" w:rsidRPr="00E02972" w:rsidRDefault="00032535" w:rsidP="00F44B85">
            <w:pPr>
              <w:pStyle w:val="BulletPoint1"/>
              <w:tabs>
                <w:tab w:val="clear" w:pos="684"/>
              </w:tabs>
              <w:jc w:val="both"/>
              <w:rPr>
                <w:rFonts w:cs="Arial"/>
                <w:sz w:val="16"/>
                <w:szCs w:val="18"/>
              </w:rPr>
            </w:pPr>
            <w:r w:rsidRPr="00E02972">
              <w:rPr>
                <w:rFonts w:cs="Arial"/>
                <w:sz w:val="16"/>
                <w:szCs w:val="18"/>
              </w:rPr>
              <w:t>Mandatory data to regulators includes identity of client, individuals responsible for execution and algorithms.</w:t>
            </w:r>
          </w:p>
          <w:p w:rsidR="00DE0071" w:rsidRPr="00E02972" w:rsidRDefault="00DE0071" w:rsidP="00F44B85">
            <w:pPr>
              <w:pStyle w:val="BulletPoint1"/>
              <w:tabs>
                <w:tab w:val="clear" w:pos="684"/>
              </w:tabs>
              <w:jc w:val="both"/>
              <w:rPr>
                <w:rFonts w:cs="Arial"/>
                <w:iCs/>
                <w:sz w:val="16"/>
                <w:szCs w:val="18"/>
              </w:rPr>
            </w:pPr>
            <w:r w:rsidRPr="00E02972">
              <w:rPr>
                <w:rFonts w:cs="Arial"/>
                <w:sz w:val="16"/>
                <w:szCs w:val="18"/>
              </w:rPr>
              <w:t xml:space="preserve">Written Transmission Agreements required if reporting transactions on behalf of clients/counterparty </w:t>
            </w:r>
            <w:r w:rsidRPr="00E02972">
              <w:rPr>
                <w:rFonts w:cs="Arial"/>
                <w:bCs/>
                <w:sz w:val="16"/>
                <w:szCs w:val="18"/>
              </w:rPr>
              <w:t xml:space="preserve">that set out: </w:t>
            </w:r>
          </w:p>
          <w:p w:rsidR="00DE0071" w:rsidRPr="00E02972" w:rsidRDefault="00DE0071" w:rsidP="00F44B85">
            <w:pPr>
              <w:pStyle w:val="BulletPoint2"/>
              <w:numPr>
                <w:ilvl w:val="0"/>
                <w:numId w:val="19"/>
              </w:numPr>
              <w:ind w:left="714" w:hanging="357"/>
              <w:jc w:val="both"/>
              <w:rPr>
                <w:rFonts w:cs="Arial"/>
                <w:sz w:val="16"/>
                <w:szCs w:val="18"/>
              </w:rPr>
            </w:pPr>
            <w:r w:rsidRPr="00E02972">
              <w:rPr>
                <w:rFonts w:cs="Arial"/>
                <w:sz w:val="16"/>
                <w:szCs w:val="18"/>
              </w:rPr>
              <w:t>the</w:t>
            </w:r>
            <w:r w:rsidRPr="00E02972">
              <w:rPr>
                <w:rFonts w:cs="Arial"/>
                <w:bCs/>
                <w:sz w:val="16"/>
                <w:szCs w:val="18"/>
              </w:rPr>
              <w:t xml:space="preserve"> </w:t>
            </w:r>
            <w:r w:rsidRPr="00E02972">
              <w:rPr>
                <w:rFonts w:cs="Arial"/>
                <w:sz w:val="16"/>
                <w:szCs w:val="18"/>
              </w:rPr>
              <w:t xml:space="preserve">circumstances (e.g. method of submission) under which the details of the order will be considered to have been properly provided; </w:t>
            </w:r>
          </w:p>
          <w:p w:rsidR="00DE0071" w:rsidRPr="00E02972" w:rsidRDefault="00DE0071" w:rsidP="00F44B85">
            <w:pPr>
              <w:pStyle w:val="BulletPoint2"/>
              <w:numPr>
                <w:ilvl w:val="0"/>
                <w:numId w:val="19"/>
              </w:numPr>
              <w:jc w:val="both"/>
              <w:rPr>
                <w:rFonts w:cs="Arial"/>
                <w:sz w:val="16"/>
                <w:szCs w:val="18"/>
              </w:rPr>
            </w:pPr>
            <w:r w:rsidRPr="00E02972">
              <w:rPr>
                <w:rFonts w:cs="Arial"/>
                <w:sz w:val="16"/>
                <w:szCs w:val="18"/>
              </w:rPr>
              <w:t xml:space="preserve">the deadline by which such details must be provided by the transmitting firm to the other firm; and </w:t>
            </w:r>
          </w:p>
          <w:p w:rsidR="00DE0071" w:rsidRPr="00E02972" w:rsidRDefault="00DE0071" w:rsidP="00F44B85">
            <w:pPr>
              <w:pStyle w:val="BulletPoint2"/>
              <w:numPr>
                <w:ilvl w:val="0"/>
                <w:numId w:val="19"/>
              </w:numPr>
              <w:jc w:val="both"/>
              <w:rPr>
                <w:rFonts w:cs="Arial"/>
                <w:iCs/>
                <w:sz w:val="16"/>
                <w:szCs w:val="18"/>
              </w:rPr>
            </w:pPr>
            <w:r w:rsidRPr="00E02972">
              <w:rPr>
                <w:rFonts w:cs="Arial"/>
                <w:sz w:val="16"/>
                <w:szCs w:val="18"/>
              </w:rPr>
              <w:t>confirmation that the receiving firm is subject to the MiFID 2 transaction reporting requirements and that, if the relevant order details are provided to it in the manner contemplated in the agreement by the relevant deadline, it will make a transaction report containing</w:t>
            </w:r>
            <w:r w:rsidRPr="00E02972">
              <w:rPr>
                <w:rFonts w:cs="Arial"/>
                <w:bCs/>
                <w:sz w:val="16"/>
                <w:szCs w:val="18"/>
              </w:rPr>
              <w:t xml:space="preserve"> those details. </w:t>
            </w:r>
          </w:p>
          <w:p w:rsidR="00DE0071" w:rsidRPr="00E02972" w:rsidRDefault="00DE0071" w:rsidP="00F44B85">
            <w:pPr>
              <w:pStyle w:val="BulletPoint1"/>
              <w:tabs>
                <w:tab w:val="clear" w:pos="684"/>
              </w:tabs>
              <w:jc w:val="both"/>
              <w:rPr>
                <w:rFonts w:cs="Arial"/>
                <w:sz w:val="16"/>
                <w:szCs w:val="18"/>
              </w:rPr>
            </w:pPr>
          </w:p>
          <w:p w:rsidR="00032535" w:rsidRPr="00E02972" w:rsidRDefault="00032535" w:rsidP="00F44B85">
            <w:pPr>
              <w:spacing w:before="240" w:after="260"/>
              <w:rPr>
                <w:rFonts w:cs="Arial"/>
                <w:sz w:val="16"/>
                <w:szCs w:val="18"/>
              </w:rPr>
            </w:pPr>
          </w:p>
        </w:tc>
        <w:tc>
          <w:tcPr>
            <w:tcW w:w="306" w:type="pct"/>
            <w:tcBorders>
              <w:top w:val="single" w:sz="4" w:space="0" w:color="auto"/>
              <w:left w:val="single" w:sz="4" w:space="0" w:color="auto"/>
              <w:bottom w:val="single" w:sz="4" w:space="0" w:color="auto"/>
              <w:right w:val="single" w:sz="4" w:space="0" w:color="auto"/>
            </w:tcBorders>
          </w:tcPr>
          <w:p w:rsidR="00032535" w:rsidRPr="00E02972" w:rsidRDefault="00032535" w:rsidP="00F44B85">
            <w:pPr>
              <w:pStyle w:val="BodyParagraphText"/>
              <w:spacing w:line="240" w:lineRule="auto"/>
              <w:jc w:val="both"/>
              <w:rPr>
                <w:rFonts w:cs="Arial"/>
                <w:sz w:val="16"/>
                <w:szCs w:val="18"/>
              </w:rPr>
            </w:pPr>
            <w:r w:rsidRPr="00E02972">
              <w:rPr>
                <w:rFonts w:cs="Arial"/>
                <w:sz w:val="16"/>
                <w:szCs w:val="18"/>
              </w:rPr>
              <w:t>R</w:t>
            </w:r>
            <w:r w:rsidRPr="00E02972">
              <w:rPr>
                <w:rFonts w:cs="Arial"/>
                <w:sz w:val="16"/>
                <w:szCs w:val="18"/>
              </w:rPr>
              <w:br/>
              <w:t>EP</w:t>
            </w:r>
            <w:r w:rsidRPr="00E02972">
              <w:rPr>
                <w:rFonts w:cs="Arial"/>
                <w:sz w:val="16"/>
                <w:szCs w:val="18"/>
              </w:rPr>
              <w:br/>
              <w:t>PSP</w:t>
            </w:r>
            <w:r w:rsidRPr="00E02972">
              <w:rPr>
                <w:rFonts w:cs="Arial"/>
                <w:sz w:val="16"/>
                <w:szCs w:val="18"/>
              </w:rPr>
              <w:br/>
              <w:t>ECP</w:t>
            </w:r>
          </w:p>
        </w:tc>
        <w:tc>
          <w:tcPr>
            <w:tcW w:w="1611" w:type="pct"/>
            <w:tcBorders>
              <w:top w:val="single" w:sz="4" w:space="0" w:color="auto"/>
              <w:left w:val="single" w:sz="4" w:space="0" w:color="auto"/>
              <w:bottom w:val="single" w:sz="4" w:space="0" w:color="auto"/>
              <w:right w:val="single" w:sz="4" w:space="0" w:color="auto"/>
            </w:tcBorders>
          </w:tcPr>
          <w:p w:rsidR="00032535" w:rsidRPr="00E02972" w:rsidRDefault="00032535" w:rsidP="00F44B85">
            <w:pPr>
              <w:pStyle w:val="BulletPoint1"/>
              <w:numPr>
                <w:ilvl w:val="0"/>
                <w:numId w:val="9"/>
              </w:numPr>
              <w:tabs>
                <w:tab w:val="clear" w:pos="684"/>
              </w:tabs>
              <w:jc w:val="both"/>
              <w:rPr>
                <w:rFonts w:cs="Arial"/>
                <w:iCs/>
                <w:sz w:val="16"/>
                <w:szCs w:val="18"/>
              </w:rPr>
            </w:pPr>
            <w:r w:rsidRPr="00E02972">
              <w:rPr>
                <w:rFonts w:cs="Arial"/>
                <w:sz w:val="16"/>
                <w:szCs w:val="18"/>
              </w:rPr>
              <w:t>Draft Written Transmission Agreements required if reporting transactions on behalf of clients</w:t>
            </w:r>
            <w:r w:rsidR="00DE0071" w:rsidRPr="00E02972">
              <w:rPr>
                <w:rFonts w:cs="Arial"/>
                <w:sz w:val="16"/>
                <w:szCs w:val="18"/>
              </w:rPr>
              <w:t>/counterparty</w:t>
            </w:r>
            <w:r w:rsidRPr="00E02972">
              <w:rPr>
                <w:rFonts w:cs="Arial"/>
                <w:sz w:val="16"/>
                <w:szCs w:val="18"/>
              </w:rPr>
              <w:t xml:space="preserve"> </w:t>
            </w:r>
            <w:r w:rsidRPr="00E02972">
              <w:rPr>
                <w:rFonts w:cs="Arial"/>
                <w:bCs/>
                <w:sz w:val="16"/>
                <w:szCs w:val="18"/>
              </w:rPr>
              <w:t xml:space="preserve">that sets out: </w:t>
            </w:r>
          </w:p>
          <w:p w:rsidR="00032535" w:rsidRPr="00E02972" w:rsidRDefault="00032535" w:rsidP="00F44B85">
            <w:pPr>
              <w:pStyle w:val="BulletPoint2"/>
              <w:numPr>
                <w:ilvl w:val="0"/>
                <w:numId w:val="19"/>
              </w:numPr>
              <w:ind w:left="714" w:hanging="357"/>
              <w:jc w:val="both"/>
              <w:rPr>
                <w:rFonts w:cs="Arial"/>
                <w:sz w:val="16"/>
                <w:szCs w:val="18"/>
              </w:rPr>
            </w:pPr>
            <w:r w:rsidRPr="00E02972">
              <w:rPr>
                <w:rFonts w:cs="Arial"/>
                <w:sz w:val="16"/>
                <w:szCs w:val="18"/>
              </w:rPr>
              <w:t>the</w:t>
            </w:r>
            <w:r w:rsidRPr="00E02972">
              <w:rPr>
                <w:rFonts w:cs="Arial"/>
                <w:bCs/>
                <w:sz w:val="16"/>
                <w:szCs w:val="18"/>
              </w:rPr>
              <w:t xml:space="preserve"> </w:t>
            </w:r>
            <w:r w:rsidRPr="00E02972">
              <w:rPr>
                <w:rFonts w:cs="Arial"/>
                <w:sz w:val="16"/>
                <w:szCs w:val="18"/>
              </w:rPr>
              <w:t xml:space="preserve">circumstances (e.g. method of submission) under which the details of the order will be considered to have been properly provided; </w:t>
            </w:r>
          </w:p>
          <w:p w:rsidR="00032535" w:rsidRPr="00E02972" w:rsidRDefault="00032535" w:rsidP="00F44B85">
            <w:pPr>
              <w:pStyle w:val="BulletPoint2"/>
              <w:numPr>
                <w:ilvl w:val="0"/>
                <w:numId w:val="19"/>
              </w:numPr>
              <w:jc w:val="both"/>
              <w:rPr>
                <w:rFonts w:cs="Arial"/>
                <w:sz w:val="16"/>
                <w:szCs w:val="18"/>
              </w:rPr>
            </w:pPr>
            <w:r w:rsidRPr="00E02972">
              <w:rPr>
                <w:rFonts w:cs="Arial"/>
                <w:sz w:val="16"/>
                <w:szCs w:val="18"/>
              </w:rPr>
              <w:t xml:space="preserve">the deadline by which such details must be provided by the transmitting firm to the other firm; and </w:t>
            </w:r>
          </w:p>
          <w:p w:rsidR="00032535" w:rsidRPr="00E02972" w:rsidRDefault="00032535" w:rsidP="00F44B85">
            <w:pPr>
              <w:pStyle w:val="BulletPoint2"/>
              <w:numPr>
                <w:ilvl w:val="0"/>
                <w:numId w:val="19"/>
              </w:numPr>
              <w:jc w:val="both"/>
              <w:rPr>
                <w:rFonts w:cs="Arial"/>
                <w:iCs/>
                <w:sz w:val="16"/>
                <w:szCs w:val="18"/>
              </w:rPr>
            </w:pPr>
            <w:r w:rsidRPr="00E02972">
              <w:rPr>
                <w:rFonts w:cs="Arial"/>
                <w:sz w:val="16"/>
                <w:szCs w:val="18"/>
              </w:rPr>
              <w:t>confirmation that the receiving firm is subject to the MiFID 2 transaction reporting requirements and that, if the relevant order details are provided to it in the manner contemplated in the agreement by the relevant deadline, it will make a transaction report containing</w:t>
            </w:r>
            <w:r w:rsidRPr="00E02972">
              <w:rPr>
                <w:rFonts w:cs="Arial"/>
                <w:bCs/>
                <w:sz w:val="16"/>
                <w:szCs w:val="18"/>
              </w:rPr>
              <w:t xml:space="preserve"> those details. </w:t>
            </w:r>
          </w:p>
          <w:p w:rsidR="00032535" w:rsidRPr="00E02972" w:rsidRDefault="00032535" w:rsidP="00F44B85">
            <w:pPr>
              <w:pStyle w:val="BulletPoint1"/>
              <w:numPr>
                <w:ilvl w:val="0"/>
                <w:numId w:val="9"/>
              </w:numPr>
              <w:tabs>
                <w:tab w:val="clear" w:pos="684"/>
              </w:tabs>
              <w:jc w:val="both"/>
              <w:rPr>
                <w:rFonts w:cs="Arial"/>
                <w:iCs/>
                <w:sz w:val="16"/>
                <w:szCs w:val="18"/>
              </w:rPr>
            </w:pPr>
            <w:r w:rsidRPr="00E02972">
              <w:rPr>
                <w:rFonts w:cs="Arial"/>
                <w:sz w:val="16"/>
                <w:szCs w:val="18"/>
              </w:rPr>
              <w:t>Review</w:t>
            </w:r>
            <w:r w:rsidRPr="00E02972">
              <w:rPr>
                <w:rFonts w:cs="Arial"/>
                <w:bCs/>
                <w:sz w:val="16"/>
                <w:szCs w:val="18"/>
              </w:rPr>
              <w:t>/amend client agreements setting out the obligations with regards to transaction reporting and cross-referring to any required written transmission agreement.</w:t>
            </w:r>
          </w:p>
          <w:p w:rsidR="00032535" w:rsidRPr="00E02972" w:rsidRDefault="00032535" w:rsidP="00F44B85">
            <w:pPr>
              <w:pStyle w:val="BulletPoint1"/>
              <w:numPr>
                <w:ilvl w:val="0"/>
                <w:numId w:val="9"/>
              </w:numPr>
              <w:tabs>
                <w:tab w:val="clear" w:pos="684"/>
              </w:tabs>
              <w:jc w:val="both"/>
              <w:rPr>
                <w:rFonts w:cs="Arial"/>
                <w:iCs/>
                <w:sz w:val="16"/>
                <w:szCs w:val="18"/>
              </w:rPr>
            </w:pPr>
            <w:r w:rsidRPr="00E02972">
              <w:rPr>
                <w:rFonts w:cs="Arial"/>
                <w:sz w:val="16"/>
                <w:szCs w:val="18"/>
              </w:rPr>
              <w:t>Consider</w:t>
            </w:r>
            <w:r w:rsidRPr="00E02972">
              <w:rPr>
                <w:rFonts w:cs="Arial"/>
                <w:bCs/>
                <w:sz w:val="16"/>
                <w:szCs w:val="18"/>
              </w:rPr>
              <w:t xml:space="preserve"> confidentiality, privacy and data protection implications of obtaining and using personal information in relation to clients and the need to include</w:t>
            </w:r>
            <w:r w:rsidRPr="00E02972">
              <w:rPr>
                <w:rFonts w:cs="Arial"/>
                <w:sz w:val="16"/>
                <w:szCs w:val="18"/>
              </w:rPr>
              <w:t xml:space="preserve"> </w:t>
            </w:r>
            <w:r w:rsidRPr="00E02972">
              <w:rPr>
                <w:rFonts w:cs="Arial"/>
                <w:bCs/>
                <w:sz w:val="16"/>
                <w:szCs w:val="18"/>
              </w:rPr>
              <w:t>exception</w:t>
            </w:r>
            <w:r w:rsidRPr="00E02972">
              <w:rPr>
                <w:rFonts w:cs="Arial"/>
                <w:sz w:val="16"/>
                <w:szCs w:val="18"/>
              </w:rPr>
              <w:t xml:space="preserve"> from national data protection and confidentiality laws or consents into relevant client agreements or written transmission agreements. </w:t>
            </w:r>
          </w:p>
        </w:tc>
        <w:tc>
          <w:tcPr>
            <w:tcW w:w="625" w:type="pct"/>
            <w:tcBorders>
              <w:top w:val="single" w:sz="4" w:space="0" w:color="auto"/>
              <w:left w:val="single" w:sz="4" w:space="0" w:color="auto"/>
              <w:bottom w:val="single" w:sz="4" w:space="0" w:color="auto"/>
              <w:right w:val="single" w:sz="4" w:space="0" w:color="auto"/>
            </w:tcBorders>
          </w:tcPr>
          <w:p w:rsidR="00032535" w:rsidRPr="00E02972" w:rsidRDefault="00BE24BA" w:rsidP="00D925E0">
            <w:pPr>
              <w:pStyle w:val="ssPara1"/>
              <w:numPr>
                <w:ilvl w:val="0"/>
                <w:numId w:val="22"/>
              </w:numPr>
              <w:spacing w:before="240"/>
              <w:jc w:val="left"/>
              <w:rPr>
                <w:rFonts w:cs="Arial"/>
                <w:sz w:val="16"/>
                <w:szCs w:val="18"/>
              </w:rPr>
            </w:pPr>
            <w:r w:rsidRPr="00E02972">
              <w:rPr>
                <w:rFonts w:cs="Arial"/>
                <w:sz w:val="16"/>
                <w:szCs w:val="18"/>
              </w:rPr>
              <w:t xml:space="preserve">Written Transmission Agreements. </w:t>
            </w:r>
          </w:p>
          <w:p w:rsidR="00BE24BA" w:rsidRPr="00E02972" w:rsidRDefault="00BE24BA" w:rsidP="00D925E0">
            <w:pPr>
              <w:pStyle w:val="ssPara1"/>
              <w:numPr>
                <w:ilvl w:val="0"/>
                <w:numId w:val="22"/>
              </w:numPr>
              <w:spacing w:before="240"/>
              <w:jc w:val="left"/>
              <w:rPr>
                <w:rFonts w:cs="Arial"/>
                <w:sz w:val="16"/>
                <w:szCs w:val="18"/>
              </w:rPr>
            </w:pPr>
            <w:r w:rsidRPr="00E02972">
              <w:rPr>
                <w:rFonts w:cs="Arial"/>
                <w:sz w:val="16"/>
                <w:szCs w:val="18"/>
              </w:rPr>
              <w:t xml:space="preserve">Client Terms of Business/Agreements. </w:t>
            </w:r>
          </w:p>
        </w:tc>
        <w:tc>
          <w:tcPr>
            <w:tcW w:w="416" w:type="pct"/>
            <w:tcBorders>
              <w:top w:val="single" w:sz="4" w:space="0" w:color="auto"/>
              <w:left w:val="single" w:sz="4" w:space="0" w:color="auto"/>
              <w:bottom w:val="single" w:sz="4" w:space="0" w:color="auto"/>
              <w:right w:val="single" w:sz="4" w:space="0" w:color="auto"/>
            </w:tcBorders>
          </w:tcPr>
          <w:p w:rsidR="00032535" w:rsidRPr="00E02972" w:rsidRDefault="00032535" w:rsidP="00F44B85">
            <w:pPr>
              <w:pStyle w:val="ssPara1"/>
              <w:spacing w:before="240"/>
              <w:rPr>
                <w:rFonts w:cs="Arial"/>
                <w:sz w:val="16"/>
                <w:szCs w:val="18"/>
              </w:rPr>
            </w:pPr>
            <w:r w:rsidRPr="00E02972">
              <w:rPr>
                <w:rFonts w:cs="Arial"/>
                <w:sz w:val="16"/>
                <w:szCs w:val="18"/>
              </w:rPr>
              <w:t>Consider potential consents/waivers required to use personal information of clients for data protection or privacy purposes.</w:t>
            </w:r>
          </w:p>
        </w:tc>
      </w:tr>
      <w:tr w:rsidR="00DE0071" w:rsidRPr="00E02972" w:rsidTr="00F44B85">
        <w:tc>
          <w:tcPr>
            <w:tcW w:w="455" w:type="pct"/>
            <w:tcBorders>
              <w:top w:val="single" w:sz="4" w:space="0" w:color="auto"/>
              <w:left w:val="single" w:sz="4" w:space="0" w:color="auto"/>
              <w:bottom w:val="single" w:sz="4" w:space="0" w:color="auto"/>
              <w:right w:val="single" w:sz="4" w:space="0" w:color="auto"/>
            </w:tcBorders>
            <w:shd w:val="clear" w:color="auto" w:fill="69889A"/>
          </w:tcPr>
          <w:p w:rsidR="00DE0071" w:rsidRPr="00E02972" w:rsidRDefault="00DE0071" w:rsidP="006E3A87">
            <w:pPr>
              <w:spacing w:before="120" w:after="120"/>
              <w:jc w:val="left"/>
              <w:rPr>
                <w:rFonts w:eastAsia="Times New Roman" w:cs="Arial"/>
                <w:b/>
                <w:bCs/>
                <w:color w:val="FFFFFF" w:themeColor="background1"/>
                <w:sz w:val="16"/>
                <w:szCs w:val="18"/>
                <w:lang w:eastAsia="en-GB"/>
              </w:rPr>
            </w:pPr>
            <w:r w:rsidRPr="00E02972">
              <w:rPr>
                <w:rFonts w:eastAsia="Times New Roman" w:cs="Arial"/>
                <w:b/>
                <w:bCs/>
                <w:color w:val="FFFFFF" w:themeColor="background1"/>
                <w:sz w:val="16"/>
                <w:szCs w:val="18"/>
                <w:lang w:eastAsia="en-GB"/>
              </w:rPr>
              <w:t>POSITION REPORTING</w:t>
            </w:r>
          </w:p>
        </w:tc>
        <w:tc>
          <w:tcPr>
            <w:tcW w:w="374" w:type="pct"/>
            <w:tcBorders>
              <w:top w:val="single" w:sz="4" w:space="0" w:color="auto"/>
              <w:left w:val="single" w:sz="4" w:space="0" w:color="auto"/>
              <w:bottom w:val="single" w:sz="4" w:space="0" w:color="auto"/>
              <w:right w:val="single" w:sz="4" w:space="0" w:color="auto"/>
            </w:tcBorders>
          </w:tcPr>
          <w:p w:rsidR="00DE0071" w:rsidRPr="00E02972" w:rsidRDefault="006C2CF1" w:rsidP="00DE0071">
            <w:pPr>
              <w:spacing w:before="120" w:after="120"/>
              <w:rPr>
                <w:rFonts w:eastAsia="Times New Roman" w:cs="Arial"/>
                <w:sz w:val="16"/>
                <w:szCs w:val="18"/>
              </w:rPr>
            </w:pPr>
            <w:hyperlink r:id="rId163" w:history="1">
              <w:r w:rsidR="00DE0071" w:rsidRPr="00E02972">
                <w:rPr>
                  <w:rStyle w:val="Hyperlink"/>
                  <w:rFonts w:eastAsia="Times New Roman" w:cs="Arial"/>
                  <w:sz w:val="16"/>
                  <w:szCs w:val="18"/>
                </w:rPr>
                <w:t>D</w:t>
              </w:r>
            </w:hyperlink>
            <w:r w:rsidR="00DE0071" w:rsidRPr="00E02972">
              <w:rPr>
                <w:rFonts w:eastAsia="Times New Roman" w:cs="Arial"/>
                <w:sz w:val="16"/>
                <w:szCs w:val="18"/>
              </w:rPr>
              <w:t xml:space="preserve"> Art 58</w:t>
            </w:r>
          </w:p>
          <w:p w:rsidR="00DE0071" w:rsidRPr="00E02972" w:rsidRDefault="00DE0071" w:rsidP="00DE0071">
            <w:pPr>
              <w:spacing w:before="120" w:after="120"/>
              <w:rPr>
                <w:rFonts w:eastAsia="Times New Roman" w:cs="Arial"/>
                <w:b/>
                <w:sz w:val="16"/>
                <w:szCs w:val="18"/>
              </w:rPr>
            </w:pPr>
            <w:r w:rsidRPr="00E02972">
              <w:rPr>
                <w:rFonts w:cs="Arial"/>
                <w:sz w:val="16"/>
                <w:szCs w:val="18"/>
              </w:rPr>
              <w:t>L2: (</w:t>
            </w:r>
            <w:hyperlink r:id="rId164" w:history="1">
              <w:r w:rsidRPr="00E02972">
                <w:rPr>
                  <w:rStyle w:val="Hyperlink"/>
                  <w:rFonts w:cs="Arial"/>
                  <w:sz w:val="16"/>
                  <w:szCs w:val="18"/>
                </w:rPr>
                <w:t>CP1</w:t>
              </w:r>
            </w:hyperlink>
            <w:r w:rsidRPr="00E02972">
              <w:rPr>
                <w:rFonts w:cs="Arial"/>
                <w:b/>
                <w:sz w:val="16"/>
                <w:szCs w:val="18"/>
              </w:rPr>
              <w:t xml:space="preserve">, </w:t>
            </w:r>
            <w:hyperlink r:id="rId165" w:history="1">
              <w:r w:rsidRPr="00E02972">
                <w:rPr>
                  <w:rStyle w:val="Hyperlink"/>
                  <w:rFonts w:cs="Arial"/>
                  <w:sz w:val="16"/>
                  <w:szCs w:val="18"/>
                </w:rPr>
                <w:t>FR</w:t>
              </w:r>
            </w:hyperlink>
            <w:r w:rsidRPr="00E02972">
              <w:rPr>
                <w:rStyle w:val="Hyperlink"/>
                <w:rFonts w:cs="Arial"/>
                <w:sz w:val="16"/>
                <w:szCs w:val="18"/>
              </w:rPr>
              <w:t xml:space="preserve">, </w:t>
            </w:r>
            <w:hyperlink r:id="rId166" w:history="1">
              <w:r w:rsidRPr="00E02972">
                <w:rPr>
                  <w:rStyle w:val="Hyperlink"/>
                  <w:rFonts w:eastAsia="Times New Roman" w:cs="Arial"/>
                  <w:sz w:val="16"/>
                  <w:szCs w:val="18"/>
                </w:rPr>
                <w:t>DP</w:t>
              </w:r>
            </w:hyperlink>
            <w:r w:rsidRPr="00E02972">
              <w:rPr>
                <w:rFonts w:eastAsia="Times New Roman" w:cs="Arial"/>
                <w:b/>
                <w:sz w:val="16"/>
                <w:szCs w:val="18"/>
              </w:rPr>
              <w:t xml:space="preserve">, </w:t>
            </w:r>
            <w:hyperlink r:id="rId167" w:history="1">
              <w:r w:rsidRPr="00E02972">
                <w:rPr>
                  <w:rStyle w:val="Hyperlink"/>
                  <w:rFonts w:cs="Arial"/>
                  <w:sz w:val="16"/>
                  <w:szCs w:val="18"/>
                </w:rPr>
                <w:t>CP2</w:t>
              </w:r>
            </w:hyperlink>
            <w:r w:rsidRPr="00E02972">
              <w:rPr>
                <w:rFonts w:eastAsia="Times New Roman" w:cs="Arial"/>
                <w:b/>
                <w:sz w:val="16"/>
                <w:szCs w:val="18"/>
              </w:rPr>
              <w:t>)</w:t>
            </w:r>
          </w:p>
          <w:p w:rsidR="00DE0071" w:rsidRPr="00E02972" w:rsidRDefault="006C3496" w:rsidP="00D925E0">
            <w:pPr>
              <w:pStyle w:val="ListParagraph"/>
              <w:numPr>
                <w:ilvl w:val="0"/>
                <w:numId w:val="38"/>
              </w:numPr>
              <w:spacing w:before="120" w:after="120" w:line="240" w:lineRule="auto"/>
              <w:jc w:val="both"/>
              <w:rPr>
                <w:rStyle w:val="Hyperlink"/>
                <w:rFonts w:ascii="Arial" w:hAnsi="Arial" w:cs="Arial"/>
                <w:b/>
                <w:sz w:val="16"/>
                <w:szCs w:val="18"/>
              </w:rPr>
            </w:pPr>
            <w:r w:rsidRPr="00E02972">
              <w:rPr>
                <w:rFonts w:ascii="Arial" w:hAnsi="Arial" w:cs="Arial"/>
                <w:b/>
                <w:sz w:val="16"/>
                <w:szCs w:val="18"/>
              </w:rPr>
              <w:fldChar w:fldCharType="begin"/>
            </w:r>
            <w:r w:rsidRPr="00E02972">
              <w:rPr>
                <w:rFonts w:ascii="Arial" w:hAnsi="Arial" w:cs="Arial"/>
                <w:b/>
                <w:sz w:val="16"/>
                <w:szCs w:val="18"/>
              </w:rPr>
              <w:instrText xml:space="preserve"> HYPERLINK "http://eur-lex.europa.eu/legal-content/EN/TXT/PDF/?uri=CELEX:32017R0565&amp;from=en" </w:instrText>
            </w:r>
            <w:r w:rsidRPr="00E02972">
              <w:rPr>
                <w:rFonts w:ascii="Arial" w:hAnsi="Arial" w:cs="Arial"/>
                <w:b/>
                <w:sz w:val="16"/>
                <w:szCs w:val="18"/>
              </w:rPr>
              <w:fldChar w:fldCharType="separate"/>
            </w:r>
            <w:r w:rsidR="00DE0071" w:rsidRPr="00E02972">
              <w:rPr>
                <w:rStyle w:val="Hyperlink"/>
                <w:rFonts w:ascii="Arial" w:hAnsi="Arial" w:cs="Arial"/>
                <w:b/>
                <w:sz w:val="16"/>
                <w:szCs w:val="18"/>
              </w:rPr>
              <w:t>DR1</w:t>
            </w:r>
          </w:p>
          <w:p w:rsidR="00DE0071" w:rsidRPr="00E02972" w:rsidRDefault="006C3496" w:rsidP="00D925E0">
            <w:pPr>
              <w:pStyle w:val="ListParagraph"/>
              <w:numPr>
                <w:ilvl w:val="0"/>
                <w:numId w:val="38"/>
              </w:numPr>
              <w:spacing w:before="120" w:after="120" w:line="240" w:lineRule="auto"/>
              <w:jc w:val="both"/>
              <w:rPr>
                <w:rFonts w:ascii="Arial" w:hAnsi="Arial" w:cs="Arial"/>
                <w:color w:val="0000FF"/>
                <w:sz w:val="16"/>
                <w:szCs w:val="18"/>
                <w:u w:val="single"/>
              </w:rPr>
            </w:pPr>
            <w:r w:rsidRPr="00E02972">
              <w:rPr>
                <w:rFonts w:ascii="Arial" w:hAnsi="Arial" w:cs="Arial"/>
                <w:b/>
                <w:sz w:val="16"/>
                <w:szCs w:val="18"/>
              </w:rPr>
              <w:fldChar w:fldCharType="end"/>
            </w:r>
            <w:hyperlink r:id="rId168" w:history="1">
              <w:r w:rsidR="00DE0071" w:rsidRPr="00E02972">
                <w:rPr>
                  <w:rStyle w:val="Hyperlink"/>
                  <w:rFonts w:ascii="Arial" w:eastAsia="Times New Roman" w:hAnsi="Arial" w:cs="Arial"/>
                  <w:color w:val="0000FF"/>
                  <w:sz w:val="16"/>
                  <w:szCs w:val="18"/>
                </w:rPr>
                <w:t>FR5</w:t>
              </w:r>
            </w:hyperlink>
            <w:r w:rsidR="00DE0071" w:rsidRPr="00E02972">
              <w:rPr>
                <w:rFonts w:ascii="Arial" w:eastAsia="Times New Roman" w:hAnsi="Arial" w:cs="Arial"/>
                <w:color w:val="0000FF"/>
                <w:sz w:val="16"/>
                <w:szCs w:val="18"/>
              </w:rPr>
              <w:t>.</w:t>
            </w:r>
          </w:p>
          <w:p w:rsidR="00DE0071" w:rsidRPr="00E02972" w:rsidRDefault="006C2CF1" w:rsidP="00D925E0">
            <w:pPr>
              <w:pStyle w:val="ListParagraph"/>
              <w:numPr>
                <w:ilvl w:val="0"/>
                <w:numId w:val="38"/>
              </w:numPr>
              <w:spacing w:after="0" w:line="240" w:lineRule="auto"/>
              <w:jc w:val="both"/>
              <w:rPr>
                <w:rFonts w:ascii="Arial" w:eastAsia="Times New Roman" w:hAnsi="Arial" w:cs="Arial"/>
                <w:sz w:val="16"/>
                <w:szCs w:val="18"/>
              </w:rPr>
            </w:pPr>
            <w:hyperlink r:id="rId169" w:history="1">
              <w:r w:rsidR="00DE0071" w:rsidRPr="00E02972">
                <w:rPr>
                  <w:rStyle w:val="Hyperlink"/>
                  <w:rFonts w:ascii="Arial" w:eastAsia="Times New Roman" w:hAnsi="Arial" w:cs="Arial"/>
                  <w:color w:val="0000FF"/>
                  <w:sz w:val="16"/>
                  <w:szCs w:val="18"/>
                </w:rPr>
                <w:t>Revised ITS 4</w:t>
              </w:r>
            </w:hyperlink>
          </w:p>
        </w:tc>
        <w:tc>
          <w:tcPr>
            <w:tcW w:w="1213" w:type="pct"/>
            <w:tcBorders>
              <w:top w:val="single" w:sz="4" w:space="0" w:color="auto"/>
              <w:left w:val="single" w:sz="4" w:space="0" w:color="auto"/>
              <w:bottom w:val="single" w:sz="4" w:space="0" w:color="auto"/>
              <w:right w:val="single" w:sz="4" w:space="0" w:color="auto"/>
            </w:tcBorders>
          </w:tcPr>
          <w:p w:rsidR="00DE0071" w:rsidRPr="00E02972" w:rsidRDefault="00DE0071" w:rsidP="00F44B85">
            <w:pPr>
              <w:spacing w:before="120" w:after="120"/>
              <w:rPr>
                <w:rFonts w:eastAsia="Times New Roman" w:cs="Arial"/>
                <w:sz w:val="16"/>
                <w:szCs w:val="18"/>
              </w:rPr>
            </w:pPr>
            <w:r w:rsidRPr="00E02972">
              <w:rPr>
                <w:rFonts w:eastAsia="Times New Roman" w:cs="Arial"/>
                <w:sz w:val="16"/>
                <w:szCs w:val="18"/>
              </w:rPr>
              <w:t>New requirement:</w:t>
            </w:r>
          </w:p>
          <w:p w:rsidR="00DE0071" w:rsidRPr="00E02972" w:rsidRDefault="00DE0071" w:rsidP="00F44B85">
            <w:pPr>
              <w:pStyle w:val="BulletPoint1"/>
              <w:numPr>
                <w:ilvl w:val="0"/>
                <w:numId w:val="20"/>
              </w:numPr>
              <w:ind w:left="357" w:hanging="357"/>
              <w:jc w:val="both"/>
              <w:rPr>
                <w:rFonts w:cs="Arial"/>
                <w:sz w:val="16"/>
                <w:szCs w:val="18"/>
              </w:rPr>
            </w:pPr>
            <w:r w:rsidRPr="00E02972">
              <w:rPr>
                <w:rFonts w:cs="Arial"/>
                <w:sz w:val="16"/>
                <w:szCs w:val="18"/>
                <w:lang w:eastAsia="ja-JP"/>
              </w:rPr>
              <w:t xml:space="preserve">On a daily basis: Members of trading </w:t>
            </w:r>
            <w:r w:rsidRPr="00E02972">
              <w:rPr>
                <w:rFonts w:cs="Arial"/>
                <w:sz w:val="16"/>
                <w:szCs w:val="18"/>
              </w:rPr>
              <w:t xml:space="preserve">venues must report to the trading venue a complete breakdown of their positions in commodity derivatives, emission allowances, and derivatives of emission allowances, as well as those of their clients, their clients’ clients, and so on down to the end user- See </w:t>
            </w:r>
            <w:hyperlink r:id="rId170" w:history="1">
              <w:r w:rsidRPr="00E02972">
                <w:rPr>
                  <w:rStyle w:val="Hyperlink"/>
                  <w:rFonts w:cs="Arial"/>
                  <w:sz w:val="16"/>
                  <w:szCs w:val="18"/>
                </w:rPr>
                <w:t>Revised ITS 4</w:t>
              </w:r>
            </w:hyperlink>
            <w:r w:rsidRPr="00E02972">
              <w:rPr>
                <w:rFonts w:cs="Arial"/>
                <w:sz w:val="16"/>
                <w:szCs w:val="18"/>
              </w:rPr>
              <w:t>.</w:t>
            </w:r>
          </w:p>
          <w:p w:rsidR="00DE0071" w:rsidRPr="00E02972" w:rsidRDefault="00DE0071" w:rsidP="00F44B85">
            <w:pPr>
              <w:pStyle w:val="BulletPoint1"/>
              <w:numPr>
                <w:ilvl w:val="0"/>
                <w:numId w:val="20"/>
              </w:numPr>
              <w:ind w:left="357" w:hanging="357"/>
              <w:jc w:val="both"/>
              <w:rPr>
                <w:rFonts w:cs="Arial"/>
                <w:sz w:val="16"/>
                <w:szCs w:val="18"/>
              </w:rPr>
            </w:pPr>
            <w:r w:rsidRPr="00E02972">
              <w:rPr>
                <w:rFonts w:cs="Arial"/>
                <w:sz w:val="16"/>
                <w:szCs w:val="18"/>
              </w:rPr>
              <w:t>Reports to be submitted in common standard XML format.</w:t>
            </w:r>
          </w:p>
          <w:p w:rsidR="00DE0071" w:rsidRPr="00E02972" w:rsidRDefault="00DE0071" w:rsidP="00F44B85">
            <w:pPr>
              <w:pStyle w:val="BulletPoint1"/>
              <w:numPr>
                <w:ilvl w:val="0"/>
                <w:numId w:val="20"/>
              </w:numPr>
              <w:ind w:left="357" w:hanging="357"/>
              <w:jc w:val="both"/>
              <w:rPr>
                <w:rFonts w:cs="Arial"/>
                <w:sz w:val="16"/>
                <w:szCs w:val="18"/>
              </w:rPr>
            </w:pPr>
            <w:r w:rsidRPr="00E02972">
              <w:rPr>
                <w:rFonts w:cs="Arial"/>
                <w:sz w:val="16"/>
                <w:szCs w:val="18"/>
              </w:rPr>
              <w:t>The report shall include details of all positions across all maturities of all contracts.</w:t>
            </w:r>
          </w:p>
          <w:p w:rsidR="00DE0071" w:rsidRPr="00E02972" w:rsidRDefault="00DE0071" w:rsidP="00F44B85">
            <w:pPr>
              <w:pStyle w:val="BulletPoint1"/>
              <w:numPr>
                <w:ilvl w:val="0"/>
                <w:numId w:val="20"/>
              </w:numPr>
              <w:ind w:left="357" w:hanging="357"/>
              <w:jc w:val="both"/>
              <w:rPr>
                <w:rFonts w:cs="Arial"/>
                <w:sz w:val="16"/>
                <w:szCs w:val="18"/>
              </w:rPr>
            </w:pPr>
            <w:r w:rsidRPr="00E02972">
              <w:rPr>
                <w:rFonts w:cs="Arial"/>
                <w:sz w:val="16"/>
                <w:szCs w:val="18"/>
              </w:rPr>
              <w:t>The trading venue must then provide those reports to the NCA.</w:t>
            </w:r>
          </w:p>
          <w:p w:rsidR="00DE0071" w:rsidRPr="00E02972" w:rsidRDefault="00DE0071" w:rsidP="00F44B85">
            <w:pPr>
              <w:pStyle w:val="BulletPoint1"/>
              <w:numPr>
                <w:ilvl w:val="0"/>
                <w:numId w:val="20"/>
              </w:numPr>
              <w:ind w:left="357" w:hanging="357"/>
              <w:jc w:val="both"/>
              <w:rPr>
                <w:rFonts w:cs="Arial"/>
                <w:sz w:val="16"/>
                <w:szCs w:val="18"/>
              </w:rPr>
            </w:pPr>
            <w:r w:rsidRPr="00E02972">
              <w:rPr>
                <w:rFonts w:cs="Arial"/>
                <w:sz w:val="16"/>
                <w:szCs w:val="18"/>
              </w:rPr>
              <w:t xml:space="preserve">Firms which undertake trading in commodity derivatives, emission allowances or derivatives of emission allowances outside a trading venue must report on a daily basis their positions in all commodity derivatives, emission allowances and derivatives of </w:t>
            </w:r>
            <w:r w:rsidRPr="00E02972">
              <w:rPr>
                <w:rFonts w:cs="Arial"/>
                <w:sz w:val="16"/>
                <w:szCs w:val="18"/>
              </w:rPr>
              <w:lastRenderedPageBreak/>
              <w:t>emission allowances, as well as those of their clients, their clients’ clients, and so on down to the end user to the relevant NCA. IF trading in more than one EU jurisdiction, must report to the regulator of the jurisdiction in which it is trading those contracts in the most significant volumes.</w:t>
            </w:r>
          </w:p>
          <w:p w:rsidR="00DE0071" w:rsidRPr="00E02972" w:rsidRDefault="00DE0071" w:rsidP="00F44B85">
            <w:pPr>
              <w:pStyle w:val="BulletPoint1"/>
              <w:numPr>
                <w:ilvl w:val="0"/>
                <w:numId w:val="20"/>
              </w:numPr>
              <w:ind w:left="357" w:hanging="357"/>
              <w:jc w:val="both"/>
              <w:rPr>
                <w:rFonts w:cs="Arial"/>
                <w:sz w:val="16"/>
                <w:szCs w:val="18"/>
              </w:rPr>
            </w:pPr>
            <w:r w:rsidRPr="00E02972">
              <w:rPr>
                <w:rFonts w:cs="Arial"/>
                <w:sz w:val="16"/>
                <w:szCs w:val="18"/>
              </w:rPr>
              <w:t xml:space="preserve">Format of report set out in </w:t>
            </w:r>
            <w:hyperlink r:id="rId171" w:history="1">
              <w:r w:rsidRPr="00E02972">
                <w:rPr>
                  <w:rStyle w:val="Hyperlink"/>
                  <w:rFonts w:cs="Arial"/>
                  <w:sz w:val="16"/>
                  <w:szCs w:val="18"/>
                </w:rPr>
                <w:t>Revised ITS 4</w:t>
              </w:r>
            </w:hyperlink>
          </w:p>
          <w:p w:rsidR="00DE0071" w:rsidRPr="00E02972" w:rsidRDefault="00DE0071" w:rsidP="00F44B85">
            <w:pPr>
              <w:pStyle w:val="BulletPoint1"/>
              <w:numPr>
                <w:ilvl w:val="0"/>
                <w:numId w:val="20"/>
              </w:numPr>
              <w:ind w:left="357" w:hanging="357"/>
              <w:jc w:val="both"/>
              <w:rPr>
                <w:rFonts w:cs="Arial"/>
                <w:sz w:val="16"/>
                <w:szCs w:val="18"/>
              </w:rPr>
            </w:pPr>
            <w:r w:rsidRPr="00E02972">
              <w:rPr>
                <w:rFonts w:cs="Arial"/>
                <w:sz w:val="16"/>
                <w:szCs w:val="18"/>
              </w:rPr>
              <w:t>ESMA shall publish on its website reports as soon as they have been received and validated.</w:t>
            </w:r>
          </w:p>
        </w:tc>
        <w:tc>
          <w:tcPr>
            <w:tcW w:w="306" w:type="pct"/>
            <w:tcBorders>
              <w:top w:val="single" w:sz="4" w:space="0" w:color="auto"/>
              <w:left w:val="single" w:sz="4" w:space="0" w:color="auto"/>
              <w:bottom w:val="single" w:sz="4" w:space="0" w:color="auto"/>
              <w:right w:val="single" w:sz="4" w:space="0" w:color="auto"/>
            </w:tcBorders>
          </w:tcPr>
          <w:p w:rsidR="00DE0071" w:rsidRPr="00E02972" w:rsidRDefault="00DE0071" w:rsidP="00F44B85">
            <w:pPr>
              <w:pStyle w:val="BodyParagraphText"/>
              <w:spacing w:line="240" w:lineRule="auto"/>
              <w:jc w:val="both"/>
              <w:rPr>
                <w:rFonts w:cs="Arial"/>
                <w:sz w:val="16"/>
                <w:szCs w:val="18"/>
              </w:rPr>
            </w:pPr>
            <w:r w:rsidRPr="00E02972">
              <w:rPr>
                <w:rFonts w:cs="Arial"/>
                <w:sz w:val="16"/>
                <w:szCs w:val="18"/>
              </w:rPr>
              <w:lastRenderedPageBreak/>
              <w:t>R</w:t>
            </w:r>
            <w:r w:rsidRPr="00E02972">
              <w:rPr>
                <w:rFonts w:cs="Arial"/>
                <w:sz w:val="16"/>
                <w:szCs w:val="18"/>
              </w:rPr>
              <w:br/>
              <w:t>EP</w:t>
            </w:r>
            <w:r w:rsidRPr="00E02972">
              <w:rPr>
                <w:rFonts w:cs="Arial"/>
                <w:sz w:val="16"/>
                <w:szCs w:val="18"/>
              </w:rPr>
              <w:br/>
              <w:t>PSP</w:t>
            </w:r>
            <w:r w:rsidRPr="00E02972">
              <w:rPr>
                <w:rFonts w:cs="Arial"/>
                <w:sz w:val="16"/>
                <w:szCs w:val="18"/>
              </w:rPr>
              <w:br/>
              <w:t>ECP</w:t>
            </w:r>
          </w:p>
        </w:tc>
        <w:tc>
          <w:tcPr>
            <w:tcW w:w="1611" w:type="pct"/>
            <w:tcBorders>
              <w:top w:val="single" w:sz="4" w:space="0" w:color="auto"/>
              <w:left w:val="single" w:sz="4" w:space="0" w:color="auto"/>
              <w:bottom w:val="single" w:sz="4" w:space="0" w:color="auto"/>
              <w:right w:val="single" w:sz="4" w:space="0" w:color="auto"/>
            </w:tcBorders>
          </w:tcPr>
          <w:p w:rsidR="00DE0071" w:rsidRPr="00E02972" w:rsidRDefault="00DE0071" w:rsidP="00F44B85">
            <w:pPr>
              <w:pStyle w:val="BulletPoint1"/>
              <w:numPr>
                <w:ilvl w:val="0"/>
                <w:numId w:val="9"/>
              </w:numPr>
              <w:tabs>
                <w:tab w:val="clear" w:pos="684"/>
              </w:tabs>
              <w:jc w:val="both"/>
              <w:rPr>
                <w:rFonts w:cs="Arial"/>
                <w:sz w:val="16"/>
                <w:szCs w:val="18"/>
              </w:rPr>
            </w:pPr>
            <w:r w:rsidRPr="00E02972">
              <w:rPr>
                <w:rFonts w:cs="Arial"/>
                <w:iCs/>
                <w:sz w:val="16"/>
                <w:szCs w:val="18"/>
              </w:rPr>
              <w:t xml:space="preserve">Draft or amend client/counterparty agreements </w:t>
            </w:r>
            <w:r w:rsidRPr="00E02972">
              <w:rPr>
                <w:rFonts w:cs="Arial"/>
                <w:sz w:val="16"/>
                <w:szCs w:val="18"/>
              </w:rPr>
              <w:t>to ensure that firm obtains the requisite information from its clients in order to meet reporting requirements (detailed information requirements set out at L2).</w:t>
            </w:r>
          </w:p>
          <w:p w:rsidR="00DE0071" w:rsidRPr="00E02972" w:rsidRDefault="00DE0071" w:rsidP="00F44B85">
            <w:pPr>
              <w:pStyle w:val="BulletPoint1"/>
              <w:numPr>
                <w:ilvl w:val="0"/>
                <w:numId w:val="9"/>
              </w:numPr>
              <w:tabs>
                <w:tab w:val="clear" w:pos="684"/>
              </w:tabs>
              <w:jc w:val="both"/>
              <w:rPr>
                <w:rFonts w:cs="Arial"/>
                <w:sz w:val="16"/>
                <w:szCs w:val="18"/>
              </w:rPr>
            </w:pPr>
            <w:r w:rsidRPr="00E02972">
              <w:rPr>
                <w:rFonts w:cs="Arial"/>
                <w:sz w:val="16"/>
                <w:szCs w:val="18"/>
              </w:rPr>
              <w:t xml:space="preserve">Consider need to include in trading documentation details of reporting obligations. </w:t>
            </w:r>
          </w:p>
          <w:p w:rsidR="00DE0071" w:rsidRPr="00E02972" w:rsidRDefault="00DE0071" w:rsidP="00F44B85">
            <w:pPr>
              <w:pStyle w:val="BulletPoint1"/>
              <w:numPr>
                <w:ilvl w:val="0"/>
                <w:numId w:val="9"/>
              </w:numPr>
              <w:tabs>
                <w:tab w:val="clear" w:pos="684"/>
              </w:tabs>
              <w:jc w:val="both"/>
              <w:rPr>
                <w:rFonts w:cs="Arial"/>
                <w:sz w:val="16"/>
                <w:szCs w:val="18"/>
              </w:rPr>
            </w:pPr>
            <w:r w:rsidRPr="00E02972">
              <w:rPr>
                <w:rFonts w:cs="Arial"/>
                <w:sz w:val="16"/>
                <w:szCs w:val="18"/>
              </w:rPr>
              <w:t xml:space="preserve"> Consider confidentiality, privacy and data protection implications of obtaining and using personal information in</w:t>
            </w:r>
            <w:r w:rsidRPr="00E02972">
              <w:rPr>
                <w:rFonts w:cs="Arial"/>
                <w:bCs/>
                <w:sz w:val="16"/>
                <w:szCs w:val="18"/>
              </w:rPr>
              <w:t xml:space="preserve"> relation to clients and the need to include</w:t>
            </w:r>
            <w:r w:rsidRPr="00E02972">
              <w:rPr>
                <w:rFonts w:cs="Arial"/>
                <w:sz w:val="16"/>
                <w:szCs w:val="18"/>
              </w:rPr>
              <w:t xml:space="preserve"> </w:t>
            </w:r>
            <w:r w:rsidRPr="00E02972">
              <w:rPr>
                <w:rFonts w:cs="Arial"/>
                <w:bCs/>
                <w:sz w:val="16"/>
                <w:szCs w:val="18"/>
              </w:rPr>
              <w:t>exception</w:t>
            </w:r>
            <w:r w:rsidRPr="00E02972">
              <w:rPr>
                <w:rFonts w:cs="Arial"/>
                <w:sz w:val="16"/>
                <w:szCs w:val="18"/>
              </w:rPr>
              <w:t xml:space="preserve"> from national data protection and confidentiality laws or consents into relevant client agreements.</w:t>
            </w:r>
          </w:p>
        </w:tc>
        <w:tc>
          <w:tcPr>
            <w:tcW w:w="625" w:type="pct"/>
            <w:tcBorders>
              <w:top w:val="single" w:sz="4" w:space="0" w:color="auto"/>
              <w:left w:val="single" w:sz="4" w:space="0" w:color="auto"/>
              <w:bottom w:val="single" w:sz="4" w:space="0" w:color="auto"/>
              <w:right w:val="single" w:sz="4" w:space="0" w:color="auto"/>
            </w:tcBorders>
          </w:tcPr>
          <w:p w:rsidR="00DE0071" w:rsidRPr="00E02972" w:rsidRDefault="00DE0071" w:rsidP="00BE24BA">
            <w:pPr>
              <w:pStyle w:val="ssPara1"/>
              <w:numPr>
                <w:ilvl w:val="0"/>
                <w:numId w:val="9"/>
              </w:numPr>
              <w:spacing w:before="240"/>
              <w:jc w:val="left"/>
              <w:rPr>
                <w:rFonts w:cs="Arial"/>
                <w:sz w:val="16"/>
                <w:szCs w:val="18"/>
              </w:rPr>
            </w:pPr>
            <w:r w:rsidRPr="00E02972">
              <w:rPr>
                <w:rFonts w:cs="Arial"/>
                <w:sz w:val="16"/>
                <w:szCs w:val="18"/>
              </w:rPr>
              <w:t>Client Terms of Business/Agreements.</w:t>
            </w:r>
          </w:p>
          <w:p w:rsidR="00DE0071" w:rsidRPr="00E02972" w:rsidRDefault="00DE0071" w:rsidP="00DE0071">
            <w:pPr>
              <w:pStyle w:val="ssPara1"/>
              <w:numPr>
                <w:ilvl w:val="0"/>
                <w:numId w:val="9"/>
              </w:numPr>
              <w:spacing w:before="240"/>
              <w:jc w:val="left"/>
              <w:rPr>
                <w:rFonts w:cs="Arial"/>
                <w:sz w:val="16"/>
                <w:szCs w:val="18"/>
              </w:rPr>
            </w:pPr>
            <w:r w:rsidRPr="00E02972">
              <w:rPr>
                <w:rFonts w:cs="Arial"/>
                <w:sz w:val="16"/>
                <w:szCs w:val="18"/>
              </w:rPr>
              <w:t>Trading Agreements.</w:t>
            </w:r>
          </w:p>
          <w:p w:rsidR="00DE0071" w:rsidRPr="00E02972" w:rsidRDefault="00DE0071" w:rsidP="00DE0071">
            <w:pPr>
              <w:pStyle w:val="ssPara1"/>
              <w:numPr>
                <w:ilvl w:val="0"/>
                <w:numId w:val="9"/>
              </w:numPr>
              <w:spacing w:before="240"/>
              <w:jc w:val="left"/>
              <w:rPr>
                <w:rFonts w:cs="Arial"/>
                <w:sz w:val="16"/>
                <w:szCs w:val="18"/>
              </w:rPr>
            </w:pPr>
            <w:r w:rsidRPr="00E02972">
              <w:rPr>
                <w:rFonts w:cs="Arial"/>
                <w:sz w:val="16"/>
                <w:szCs w:val="18"/>
              </w:rPr>
              <w:t>Trading terms.</w:t>
            </w:r>
          </w:p>
          <w:p w:rsidR="00DE0071" w:rsidRPr="00E02972" w:rsidRDefault="00DE0071" w:rsidP="00DE0071">
            <w:pPr>
              <w:pStyle w:val="ssPara1"/>
              <w:numPr>
                <w:ilvl w:val="0"/>
                <w:numId w:val="9"/>
              </w:numPr>
              <w:spacing w:before="240"/>
              <w:jc w:val="left"/>
              <w:rPr>
                <w:rFonts w:cs="Arial"/>
                <w:sz w:val="16"/>
                <w:szCs w:val="18"/>
              </w:rPr>
            </w:pPr>
            <w:r w:rsidRPr="00E02972">
              <w:rPr>
                <w:rFonts w:cs="Arial"/>
                <w:sz w:val="16"/>
                <w:szCs w:val="18"/>
              </w:rPr>
              <w:t xml:space="preserve">Brokerage Agreements. </w:t>
            </w:r>
          </w:p>
        </w:tc>
        <w:tc>
          <w:tcPr>
            <w:tcW w:w="416" w:type="pct"/>
            <w:tcBorders>
              <w:top w:val="single" w:sz="4" w:space="0" w:color="auto"/>
              <w:left w:val="single" w:sz="4" w:space="0" w:color="auto"/>
              <w:bottom w:val="single" w:sz="4" w:space="0" w:color="auto"/>
              <w:right w:val="single" w:sz="4" w:space="0" w:color="auto"/>
            </w:tcBorders>
          </w:tcPr>
          <w:p w:rsidR="00DE0071" w:rsidRPr="00E02972" w:rsidRDefault="00DE0071" w:rsidP="00F44B85">
            <w:pPr>
              <w:pStyle w:val="ssPara1"/>
              <w:spacing w:before="240"/>
              <w:rPr>
                <w:rFonts w:cs="Arial"/>
                <w:sz w:val="16"/>
                <w:szCs w:val="18"/>
              </w:rPr>
            </w:pPr>
            <w:r w:rsidRPr="00E02972">
              <w:rPr>
                <w:rFonts w:cs="Arial"/>
                <w:sz w:val="16"/>
                <w:szCs w:val="18"/>
              </w:rPr>
              <w:t>Consider potential consents/waivers required to use personal information of clients for data protection or privacy purposes.</w:t>
            </w:r>
          </w:p>
        </w:tc>
      </w:tr>
      <w:tr w:rsidR="00032535" w:rsidRPr="00E02972" w:rsidTr="00F44B85">
        <w:tc>
          <w:tcPr>
            <w:tcW w:w="455" w:type="pct"/>
            <w:tcBorders>
              <w:top w:val="single" w:sz="4" w:space="0" w:color="auto"/>
              <w:left w:val="single" w:sz="4" w:space="0" w:color="auto"/>
              <w:bottom w:val="single" w:sz="4" w:space="0" w:color="auto"/>
              <w:right w:val="single" w:sz="4" w:space="0" w:color="auto"/>
            </w:tcBorders>
            <w:shd w:val="clear" w:color="auto" w:fill="69889A"/>
          </w:tcPr>
          <w:p w:rsidR="00032535" w:rsidRPr="00E02972" w:rsidRDefault="00032535" w:rsidP="006E3A87">
            <w:pPr>
              <w:spacing w:before="120" w:after="120"/>
              <w:jc w:val="left"/>
              <w:rPr>
                <w:rFonts w:eastAsia="Times New Roman" w:cs="Arial"/>
                <w:b/>
                <w:bCs/>
                <w:color w:val="FFFFFF" w:themeColor="background1"/>
                <w:sz w:val="16"/>
                <w:szCs w:val="18"/>
                <w:lang w:eastAsia="en-GB"/>
              </w:rPr>
            </w:pPr>
            <w:r w:rsidRPr="00E02972">
              <w:rPr>
                <w:rFonts w:eastAsia="Times New Roman" w:cs="Arial"/>
                <w:b/>
                <w:bCs/>
                <w:color w:val="FFFFFF" w:themeColor="background1"/>
                <w:sz w:val="16"/>
                <w:szCs w:val="18"/>
                <w:lang w:eastAsia="en-GB"/>
              </w:rPr>
              <w:br w:type="page"/>
              <w:t>ALGORITHMIC TRADING/ HFT TRADING/ MARKET MAKING</w:t>
            </w:r>
          </w:p>
        </w:tc>
        <w:tc>
          <w:tcPr>
            <w:tcW w:w="374" w:type="pct"/>
            <w:tcBorders>
              <w:top w:val="single" w:sz="4" w:space="0" w:color="auto"/>
              <w:left w:val="single" w:sz="4" w:space="0" w:color="auto"/>
              <w:bottom w:val="single" w:sz="4" w:space="0" w:color="auto"/>
              <w:right w:val="single" w:sz="4" w:space="0" w:color="auto"/>
            </w:tcBorders>
          </w:tcPr>
          <w:p w:rsidR="00DE0071" w:rsidRPr="00E02972" w:rsidRDefault="006C2CF1" w:rsidP="00DE0071">
            <w:pPr>
              <w:pStyle w:val="BodyParagraphText"/>
              <w:rPr>
                <w:rFonts w:cs="Arial"/>
                <w:sz w:val="16"/>
                <w:szCs w:val="18"/>
              </w:rPr>
            </w:pPr>
            <w:hyperlink r:id="rId172" w:history="1">
              <w:r w:rsidR="00DE0071" w:rsidRPr="00E02972">
                <w:rPr>
                  <w:rStyle w:val="Hyperlink"/>
                  <w:rFonts w:cs="Arial"/>
                  <w:sz w:val="16"/>
                  <w:szCs w:val="18"/>
                </w:rPr>
                <w:t>D</w:t>
              </w:r>
            </w:hyperlink>
            <w:r w:rsidR="00DE0071" w:rsidRPr="00E02972">
              <w:rPr>
                <w:rFonts w:cs="Arial"/>
                <w:sz w:val="16"/>
                <w:szCs w:val="18"/>
              </w:rPr>
              <w:t xml:space="preserve">  Art 17(3)-(4)</w:t>
            </w:r>
          </w:p>
          <w:p w:rsidR="00DE0071" w:rsidRPr="00E02972" w:rsidRDefault="00DE0071" w:rsidP="00DE0071">
            <w:pPr>
              <w:pStyle w:val="BodyParagraphText"/>
              <w:rPr>
                <w:rStyle w:val="Hyperlink"/>
                <w:rFonts w:cs="Arial"/>
                <w:sz w:val="16"/>
                <w:szCs w:val="18"/>
              </w:rPr>
            </w:pPr>
            <w:r w:rsidRPr="00E02972">
              <w:rPr>
                <w:rFonts w:cs="Arial"/>
                <w:sz w:val="16"/>
                <w:szCs w:val="18"/>
              </w:rPr>
              <w:t>L2: (</w:t>
            </w:r>
            <w:hyperlink r:id="rId173" w:history="1">
              <w:hyperlink r:id="rId174" w:history="1">
                <w:r w:rsidRPr="00E02972">
                  <w:rPr>
                    <w:rStyle w:val="Hyperlink"/>
                    <w:rFonts w:cs="Arial"/>
                    <w:sz w:val="16"/>
                    <w:szCs w:val="18"/>
                  </w:rPr>
                  <w:t>DP</w:t>
                </w:r>
              </w:hyperlink>
            </w:hyperlink>
            <w:r w:rsidRPr="00E02972">
              <w:rPr>
                <w:rFonts w:cs="Arial"/>
                <w:sz w:val="16"/>
                <w:szCs w:val="18"/>
              </w:rPr>
              <w:t xml:space="preserve">, </w:t>
            </w:r>
            <w:hyperlink r:id="rId175" w:history="1">
              <w:r w:rsidRPr="00E02972">
                <w:rPr>
                  <w:rStyle w:val="Hyperlink"/>
                  <w:rFonts w:cs="Arial"/>
                  <w:sz w:val="16"/>
                  <w:szCs w:val="18"/>
                </w:rPr>
                <w:t>FR,</w:t>
              </w:r>
            </w:hyperlink>
            <w:r w:rsidRPr="00E02972">
              <w:rPr>
                <w:rFonts w:cs="Arial"/>
                <w:sz w:val="16"/>
                <w:szCs w:val="18"/>
              </w:rPr>
              <w:t xml:space="preserve"> </w:t>
            </w:r>
            <w:hyperlink r:id="rId176" w:history="1">
              <w:hyperlink r:id="rId177" w:history="1">
                <w:r w:rsidRPr="00E02972">
                  <w:rPr>
                    <w:rStyle w:val="Hyperlink"/>
                    <w:rFonts w:cs="Arial"/>
                    <w:sz w:val="16"/>
                    <w:szCs w:val="18"/>
                  </w:rPr>
                  <w:t>CP2</w:t>
                </w:r>
              </w:hyperlink>
            </w:hyperlink>
            <w:r w:rsidRPr="00E02972">
              <w:rPr>
                <w:rFonts w:cs="Arial"/>
                <w:sz w:val="16"/>
                <w:szCs w:val="18"/>
              </w:rPr>
              <w:t xml:space="preserve">, </w:t>
            </w:r>
            <w:hyperlink r:id="rId178" w:history="1">
              <w:r w:rsidRPr="00E02972">
                <w:rPr>
                  <w:rStyle w:val="Hyperlink"/>
                  <w:rFonts w:cs="Arial"/>
                  <w:sz w:val="16"/>
                  <w:szCs w:val="18"/>
                </w:rPr>
                <w:t>FR3</w:t>
              </w:r>
            </w:hyperlink>
            <w:r w:rsidRPr="00E02972">
              <w:rPr>
                <w:rStyle w:val="Hyperlink"/>
                <w:rFonts w:cs="Arial"/>
                <w:sz w:val="16"/>
                <w:szCs w:val="18"/>
              </w:rPr>
              <w:t>)</w:t>
            </w:r>
          </w:p>
          <w:p w:rsidR="00032535" w:rsidRPr="00E02972" w:rsidRDefault="006C2CF1" w:rsidP="00DE0071">
            <w:pPr>
              <w:numPr>
                <w:ilvl w:val="0"/>
                <w:numId w:val="20"/>
              </w:numPr>
              <w:spacing w:before="240" w:after="260"/>
              <w:rPr>
                <w:rFonts w:cs="Arial"/>
                <w:bCs/>
                <w:sz w:val="16"/>
                <w:szCs w:val="18"/>
              </w:rPr>
            </w:pPr>
            <w:hyperlink r:id="rId179" w:history="1">
              <w:r w:rsidR="00DE0071" w:rsidRPr="00E02972">
                <w:rPr>
                  <w:rStyle w:val="Hyperlink"/>
                  <w:rFonts w:cs="Arial"/>
                  <w:color w:val="0000FF"/>
                  <w:sz w:val="16"/>
                  <w:szCs w:val="18"/>
                </w:rPr>
                <w:t>DR18</w:t>
              </w:r>
            </w:hyperlink>
            <w:r w:rsidR="00DE0071" w:rsidRPr="00E02972">
              <w:rPr>
                <w:rStyle w:val="Hyperlink"/>
                <w:rFonts w:cs="Arial"/>
                <w:color w:val="0000FF"/>
                <w:sz w:val="16"/>
                <w:szCs w:val="18"/>
              </w:rPr>
              <w:t xml:space="preserve"> (</w:t>
            </w:r>
            <w:hyperlink r:id="rId180" w:history="1">
              <w:r w:rsidR="00DE0071" w:rsidRPr="00E02972">
                <w:rPr>
                  <w:rStyle w:val="Hyperlink"/>
                  <w:rFonts w:cs="Arial"/>
                  <w:sz w:val="16"/>
                  <w:szCs w:val="18"/>
                </w:rPr>
                <w:t>Final RTS 8</w:t>
              </w:r>
            </w:hyperlink>
            <w:r w:rsidR="00DE0071" w:rsidRPr="00E02972">
              <w:rPr>
                <w:rStyle w:val="Hyperlink"/>
                <w:rFonts w:cs="Arial"/>
                <w:color w:val="0000FF"/>
                <w:sz w:val="16"/>
                <w:szCs w:val="18"/>
              </w:rPr>
              <w:t>)</w:t>
            </w:r>
          </w:p>
        </w:tc>
        <w:tc>
          <w:tcPr>
            <w:tcW w:w="1213" w:type="pct"/>
            <w:tcBorders>
              <w:top w:val="single" w:sz="4" w:space="0" w:color="auto"/>
              <w:left w:val="single" w:sz="4" w:space="0" w:color="auto"/>
              <w:bottom w:val="single" w:sz="4" w:space="0" w:color="auto"/>
              <w:right w:val="single" w:sz="4" w:space="0" w:color="auto"/>
            </w:tcBorders>
          </w:tcPr>
          <w:p w:rsidR="00032535" w:rsidRPr="00E02972" w:rsidRDefault="00032535" w:rsidP="00F44B85">
            <w:pPr>
              <w:spacing w:before="240" w:after="260"/>
              <w:rPr>
                <w:rFonts w:cs="Arial"/>
                <w:sz w:val="16"/>
                <w:szCs w:val="18"/>
              </w:rPr>
            </w:pPr>
            <w:r w:rsidRPr="00E02972">
              <w:rPr>
                <w:rFonts w:cs="Arial"/>
                <w:sz w:val="16"/>
                <w:szCs w:val="18"/>
              </w:rPr>
              <w:t>Specific organisational, staffing, risk and control requirements for investments firms that engage in algorithmic and or high frequency trading or operate trading venues which permit algorit</w:t>
            </w:r>
            <w:r w:rsidR="00BE24BA" w:rsidRPr="00E02972">
              <w:rPr>
                <w:rFonts w:cs="Arial"/>
                <w:sz w:val="16"/>
                <w:szCs w:val="18"/>
              </w:rPr>
              <w:t>hmic or high frequency trading which includes:</w:t>
            </w:r>
          </w:p>
          <w:p w:rsidR="00BE24BA" w:rsidRPr="00E02972" w:rsidRDefault="00BE24BA" w:rsidP="00F44B85">
            <w:pPr>
              <w:pStyle w:val="BulletPoint1"/>
              <w:numPr>
                <w:ilvl w:val="0"/>
                <w:numId w:val="20"/>
              </w:numPr>
              <w:tabs>
                <w:tab w:val="clear" w:pos="684"/>
                <w:tab w:val="left" w:pos="402"/>
              </w:tabs>
              <w:ind w:left="402" w:hanging="284"/>
              <w:jc w:val="both"/>
              <w:rPr>
                <w:rFonts w:cs="Arial"/>
                <w:sz w:val="16"/>
                <w:szCs w:val="18"/>
              </w:rPr>
            </w:pPr>
            <w:r w:rsidRPr="00E02972">
              <w:rPr>
                <w:rFonts w:cs="Arial"/>
                <w:sz w:val="16"/>
                <w:szCs w:val="18"/>
              </w:rPr>
              <w:t>requirement to at least annually carry out a self-assessment of their compliance with Art. 48 and store records of such assessments for at least 5 years</w:t>
            </w:r>
          </w:p>
          <w:p w:rsidR="00BE24BA" w:rsidRPr="00E02972" w:rsidRDefault="00BE24BA" w:rsidP="00F44B85">
            <w:pPr>
              <w:pStyle w:val="BulletPoint1"/>
              <w:numPr>
                <w:ilvl w:val="0"/>
                <w:numId w:val="20"/>
              </w:numPr>
              <w:tabs>
                <w:tab w:val="clear" w:pos="684"/>
                <w:tab w:val="left" w:pos="402"/>
              </w:tabs>
              <w:ind w:left="402" w:hanging="284"/>
              <w:jc w:val="both"/>
              <w:rPr>
                <w:rFonts w:cs="Arial"/>
                <w:sz w:val="16"/>
                <w:szCs w:val="18"/>
              </w:rPr>
            </w:pPr>
            <w:r w:rsidRPr="00E02972">
              <w:rPr>
                <w:rFonts w:cs="Arial"/>
                <w:sz w:val="16"/>
                <w:szCs w:val="18"/>
              </w:rPr>
              <w:t xml:space="preserve">requirement to perform due diligence on members using systems. </w:t>
            </w:r>
          </w:p>
          <w:p w:rsidR="00BE24BA" w:rsidRPr="00E02972" w:rsidRDefault="00BE24BA" w:rsidP="00F44B85">
            <w:pPr>
              <w:pStyle w:val="BulletPoint1"/>
              <w:numPr>
                <w:ilvl w:val="0"/>
                <w:numId w:val="20"/>
              </w:numPr>
              <w:tabs>
                <w:tab w:val="clear" w:pos="684"/>
                <w:tab w:val="left" w:pos="402"/>
              </w:tabs>
              <w:ind w:left="402" w:hanging="284"/>
              <w:jc w:val="both"/>
              <w:rPr>
                <w:rFonts w:cs="Arial"/>
                <w:sz w:val="16"/>
                <w:szCs w:val="18"/>
              </w:rPr>
            </w:pPr>
            <w:r w:rsidRPr="00E02972">
              <w:rPr>
                <w:rFonts w:cs="Arial"/>
                <w:sz w:val="16"/>
                <w:szCs w:val="18"/>
              </w:rPr>
              <w:t>requirement to have in place testing methodologies to ensure trading system does not behave in an unintended manner.</w:t>
            </w:r>
          </w:p>
          <w:p w:rsidR="00BE24BA" w:rsidRPr="00E02972" w:rsidRDefault="00BE24BA" w:rsidP="00F44B85">
            <w:pPr>
              <w:pStyle w:val="BulletPoint1"/>
              <w:numPr>
                <w:ilvl w:val="0"/>
                <w:numId w:val="20"/>
              </w:numPr>
              <w:tabs>
                <w:tab w:val="clear" w:pos="684"/>
                <w:tab w:val="left" w:pos="402"/>
              </w:tabs>
              <w:ind w:left="402" w:hanging="284"/>
              <w:jc w:val="both"/>
              <w:rPr>
                <w:rFonts w:cs="Arial"/>
                <w:sz w:val="16"/>
                <w:szCs w:val="18"/>
              </w:rPr>
            </w:pPr>
            <w:r w:rsidRPr="00E02972">
              <w:rPr>
                <w:rFonts w:cs="Arial"/>
                <w:sz w:val="16"/>
                <w:szCs w:val="18"/>
              </w:rPr>
              <w:t>Ensure their members undertake conformance testing.</w:t>
            </w:r>
          </w:p>
          <w:p w:rsidR="00BE24BA" w:rsidRPr="00E02972" w:rsidRDefault="00BE24BA" w:rsidP="00F44B85">
            <w:pPr>
              <w:pStyle w:val="BulletPoint1"/>
              <w:numPr>
                <w:ilvl w:val="0"/>
                <w:numId w:val="20"/>
              </w:numPr>
              <w:tabs>
                <w:tab w:val="clear" w:pos="684"/>
                <w:tab w:val="left" w:pos="402"/>
              </w:tabs>
              <w:ind w:left="402" w:hanging="284"/>
              <w:jc w:val="both"/>
              <w:rPr>
                <w:rFonts w:cs="Arial"/>
                <w:sz w:val="16"/>
                <w:szCs w:val="18"/>
              </w:rPr>
            </w:pPr>
            <w:r w:rsidRPr="00E02972">
              <w:rPr>
                <w:rFonts w:cs="Arial"/>
                <w:sz w:val="16"/>
                <w:szCs w:val="18"/>
              </w:rPr>
              <w:t>Carry out testing of members algorithms to avoid disorderly trading conditions;</w:t>
            </w:r>
          </w:p>
          <w:p w:rsidR="00BE24BA" w:rsidRPr="00E02972" w:rsidRDefault="00BE24BA" w:rsidP="00F44B85">
            <w:pPr>
              <w:pStyle w:val="BulletPoint1"/>
              <w:numPr>
                <w:ilvl w:val="0"/>
                <w:numId w:val="20"/>
              </w:numPr>
              <w:tabs>
                <w:tab w:val="clear" w:pos="684"/>
                <w:tab w:val="left" w:pos="402"/>
              </w:tabs>
              <w:ind w:left="402" w:hanging="284"/>
              <w:jc w:val="both"/>
              <w:rPr>
                <w:rFonts w:cs="Arial"/>
                <w:sz w:val="16"/>
                <w:szCs w:val="18"/>
              </w:rPr>
            </w:pPr>
            <w:r w:rsidRPr="00E02972">
              <w:rPr>
                <w:rFonts w:cs="Arial"/>
                <w:sz w:val="16"/>
                <w:szCs w:val="18"/>
              </w:rPr>
              <w:t xml:space="preserve">Ensure systems have sufficient capacity to accommodate at least twice their historical peak of messages. </w:t>
            </w:r>
          </w:p>
          <w:p w:rsidR="00BE24BA" w:rsidRPr="00E02972" w:rsidRDefault="00BE24BA" w:rsidP="00F44B85">
            <w:pPr>
              <w:pStyle w:val="BulletPoint1"/>
              <w:numPr>
                <w:ilvl w:val="0"/>
                <w:numId w:val="20"/>
              </w:numPr>
              <w:tabs>
                <w:tab w:val="clear" w:pos="684"/>
                <w:tab w:val="left" w:pos="402"/>
              </w:tabs>
              <w:ind w:left="402" w:hanging="284"/>
              <w:jc w:val="both"/>
              <w:rPr>
                <w:rFonts w:cs="Arial"/>
                <w:sz w:val="16"/>
                <w:szCs w:val="18"/>
              </w:rPr>
            </w:pPr>
            <w:r w:rsidRPr="00E02972">
              <w:rPr>
                <w:rFonts w:cs="Arial"/>
                <w:sz w:val="16"/>
                <w:szCs w:val="18"/>
              </w:rPr>
              <w:t xml:space="preserve">Ensure their systems are monitored  and reviewed on an </w:t>
            </w:r>
            <w:r w:rsidR="00F44B85" w:rsidRPr="00E02972">
              <w:rPr>
                <w:rFonts w:cs="Arial"/>
                <w:sz w:val="16"/>
                <w:szCs w:val="18"/>
              </w:rPr>
              <w:t>on-going</w:t>
            </w:r>
            <w:r w:rsidRPr="00E02972">
              <w:rPr>
                <w:rFonts w:cs="Arial"/>
                <w:sz w:val="16"/>
                <w:szCs w:val="18"/>
              </w:rPr>
              <w:t xml:space="preserve"> basis;</w:t>
            </w:r>
          </w:p>
          <w:p w:rsidR="00BE24BA" w:rsidRPr="00E02972" w:rsidRDefault="00BE24BA" w:rsidP="00F44B85">
            <w:pPr>
              <w:pStyle w:val="BulletPoint1"/>
              <w:numPr>
                <w:ilvl w:val="0"/>
                <w:numId w:val="20"/>
              </w:numPr>
              <w:tabs>
                <w:tab w:val="clear" w:pos="684"/>
                <w:tab w:val="left" w:pos="402"/>
              </w:tabs>
              <w:ind w:left="402" w:hanging="284"/>
              <w:jc w:val="both"/>
              <w:rPr>
                <w:rFonts w:asciiTheme="majorHAnsi" w:hAnsiTheme="majorHAnsi" w:cstheme="majorHAnsi"/>
                <w:sz w:val="16"/>
                <w:szCs w:val="18"/>
              </w:rPr>
            </w:pPr>
            <w:r w:rsidRPr="00E02972">
              <w:rPr>
                <w:rFonts w:cs="Arial"/>
                <w:sz w:val="16"/>
                <w:szCs w:val="18"/>
              </w:rPr>
              <w:t>Periodic reviews of systems and performance capacity is carried out annually and any deficiencies remedied promptly</w:t>
            </w:r>
            <w:r w:rsidRPr="00E02972">
              <w:rPr>
                <w:rFonts w:asciiTheme="majorHAnsi" w:hAnsiTheme="majorHAnsi" w:cstheme="majorHAnsi"/>
                <w:sz w:val="16"/>
                <w:szCs w:val="18"/>
              </w:rPr>
              <w:t>.</w:t>
            </w:r>
          </w:p>
          <w:p w:rsidR="00032535" w:rsidRPr="00E02972" w:rsidRDefault="00032535" w:rsidP="00F44B85">
            <w:pPr>
              <w:pStyle w:val="BodyParagraphText"/>
              <w:spacing w:line="240" w:lineRule="auto"/>
              <w:jc w:val="both"/>
              <w:rPr>
                <w:rFonts w:cs="Arial"/>
                <w:sz w:val="16"/>
                <w:szCs w:val="18"/>
              </w:rPr>
            </w:pPr>
            <w:r w:rsidRPr="00E02972">
              <w:rPr>
                <w:rFonts w:cs="Arial"/>
                <w:sz w:val="16"/>
                <w:szCs w:val="18"/>
              </w:rPr>
              <w:t>A firm which engages in algorithmic trading to pursue a market making strategy shall, taking into account the liquidity, scale and nature of the specific market and the characteristics of the instruments traded:</w:t>
            </w:r>
          </w:p>
          <w:p w:rsidR="00032535" w:rsidRPr="00E02972" w:rsidRDefault="00032535" w:rsidP="00F44B85">
            <w:pPr>
              <w:pStyle w:val="BulletPoint1"/>
              <w:numPr>
                <w:ilvl w:val="0"/>
                <w:numId w:val="18"/>
              </w:numPr>
              <w:jc w:val="both"/>
              <w:rPr>
                <w:rFonts w:cs="Arial"/>
                <w:sz w:val="16"/>
                <w:szCs w:val="18"/>
              </w:rPr>
            </w:pPr>
            <w:r w:rsidRPr="00E02972">
              <w:rPr>
                <w:rFonts w:cs="Arial"/>
                <w:sz w:val="16"/>
                <w:szCs w:val="18"/>
              </w:rPr>
              <w:t xml:space="preserve">carry out this market making continuously during a specified portion of the trading venue’s trading venue’s trading hours, except under exceptional circumstances (see </w:t>
            </w:r>
            <w:hyperlink r:id="rId181" w:history="1">
              <w:r w:rsidRPr="00E02972">
                <w:rPr>
                  <w:rStyle w:val="Hyperlink"/>
                  <w:rFonts w:cs="Arial"/>
                  <w:sz w:val="16"/>
                  <w:szCs w:val="18"/>
                </w:rPr>
                <w:t>DR18</w:t>
              </w:r>
            </w:hyperlink>
            <w:r w:rsidRPr="00E02972">
              <w:rPr>
                <w:rStyle w:val="Hyperlink"/>
                <w:rFonts w:cs="Arial"/>
                <w:sz w:val="16"/>
                <w:szCs w:val="18"/>
              </w:rPr>
              <w:t xml:space="preserve"> </w:t>
            </w:r>
            <w:r w:rsidRPr="00E02972">
              <w:rPr>
                <w:rFonts w:cs="Arial"/>
                <w:sz w:val="16"/>
                <w:szCs w:val="18"/>
              </w:rPr>
              <w:t xml:space="preserve">for comprehensive list of circumstances), with the result of providing liquidity on a regular and periodic basis to the trading venue: </w:t>
            </w:r>
          </w:p>
          <w:p w:rsidR="00032535" w:rsidRPr="00E02972" w:rsidRDefault="00032535" w:rsidP="00F44B85">
            <w:pPr>
              <w:pStyle w:val="BulletPoint1"/>
              <w:numPr>
                <w:ilvl w:val="0"/>
                <w:numId w:val="18"/>
              </w:numPr>
              <w:tabs>
                <w:tab w:val="clear" w:pos="684"/>
                <w:tab w:val="left" w:pos="402"/>
              </w:tabs>
              <w:jc w:val="both"/>
              <w:rPr>
                <w:rFonts w:cs="Arial"/>
                <w:sz w:val="16"/>
                <w:szCs w:val="18"/>
              </w:rPr>
            </w:pPr>
            <w:r w:rsidRPr="00E02972">
              <w:rPr>
                <w:rFonts w:cs="Arial"/>
                <w:sz w:val="16"/>
                <w:szCs w:val="18"/>
              </w:rPr>
              <w:t xml:space="preserve">enter into a binding written Market Maker Agreement (see </w:t>
            </w:r>
            <w:hyperlink r:id="rId182" w:history="1">
              <w:r w:rsidRPr="00E02972">
                <w:rPr>
                  <w:rStyle w:val="Hyperlink"/>
                  <w:rFonts w:cs="Arial"/>
                  <w:sz w:val="16"/>
                  <w:szCs w:val="18"/>
                </w:rPr>
                <w:t>DR18</w:t>
              </w:r>
            </w:hyperlink>
            <w:r w:rsidRPr="00E02972">
              <w:rPr>
                <w:rStyle w:val="Hyperlink"/>
                <w:rFonts w:cs="Arial"/>
                <w:sz w:val="16"/>
                <w:szCs w:val="18"/>
              </w:rPr>
              <w:t xml:space="preserve"> </w:t>
            </w:r>
            <w:r w:rsidRPr="00E02972">
              <w:rPr>
                <w:rStyle w:val="Hyperlink"/>
                <w:rFonts w:cs="Arial"/>
                <w:color w:val="auto"/>
                <w:sz w:val="16"/>
                <w:szCs w:val="18"/>
                <w:u w:val="none"/>
              </w:rPr>
              <w:t>for details of what needs to be included in such an agreement</w:t>
            </w:r>
            <w:r w:rsidRPr="00E02972">
              <w:rPr>
                <w:rStyle w:val="Hyperlink"/>
                <w:rFonts w:cs="Arial"/>
                <w:sz w:val="16"/>
                <w:szCs w:val="18"/>
              </w:rPr>
              <w:t>)</w:t>
            </w:r>
            <w:r w:rsidRPr="00E02972">
              <w:rPr>
                <w:rFonts w:cs="Arial"/>
                <w:sz w:val="16"/>
                <w:szCs w:val="18"/>
              </w:rPr>
              <w:t xml:space="preserve"> with the trading venue which shall at least specify the obligations of the firm in accordance with the point above (see </w:t>
            </w:r>
            <w:hyperlink r:id="rId183" w:history="1">
              <w:r w:rsidRPr="00E02972">
                <w:rPr>
                  <w:rStyle w:val="Hyperlink"/>
                  <w:rFonts w:cs="Arial"/>
                  <w:sz w:val="16"/>
                  <w:szCs w:val="18"/>
                </w:rPr>
                <w:t>DR18</w:t>
              </w:r>
            </w:hyperlink>
            <w:r w:rsidRPr="00E02972">
              <w:rPr>
                <w:rFonts w:cs="Arial"/>
                <w:sz w:val="16"/>
                <w:szCs w:val="18"/>
              </w:rPr>
              <w:t xml:space="preserve"> for minimum requirements):</w:t>
            </w:r>
          </w:p>
          <w:p w:rsidR="00032535" w:rsidRPr="00E02972" w:rsidRDefault="00032535" w:rsidP="00F44B85">
            <w:pPr>
              <w:pStyle w:val="BulletPoint1"/>
              <w:numPr>
                <w:ilvl w:val="0"/>
                <w:numId w:val="18"/>
              </w:numPr>
              <w:tabs>
                <w:tab w:val="clear" w:pos="684"/>
                <w:tab w:val="left" w:pos="402"/>
              </w:tabs>
              <w:jc w:val="both"/>
              <w:rPr>
                <w:rFonts w:cs="Arial"/>
                <w:sz w:val="16"/>
                <w:szCs w:val="18"/>
              </w:rPr>
            </w:pPr>
            <w:r w:rsidRPr="00E02972">
              <w:rPr>
                <w:rFonts w:cs="Arial"/>
                <w:sz w:val="16"/>
                <w:szCs w:val="18"/>
              </w:rPr>
              <w:t>have in place effective systems and controls to ensure that it fulfils its obligations under that binding written agreement.</w:t>
            </w:r>
          </w:p>
          <w:p w:rsidR="00032535" w:rsidRPr="00E02972" w:rsidRDefault="00032535" w:rsidP="00F44B85">
            <w:pPr>
              <w:pStyle w:val="BulletPoint1"/>
              <w:tabs>
                <w:tab w:val="clear" w:pos="684"/>
                <w:tab w:val="left" w:pos="402"/>
              </w:tabs>
              <w:ind w:left="720"/>
              <w:jc w:val="both"/>
              <w:rPr>
                <w:rFonts w:cs="Arial"/>
                <w:sz w:val="16"/>
                <w:szCs w:val="18"/>
              </w:rPr>
            </w:pPr>
          </w:p>
        </w:tc>
        <w:tc>
          <w:tcPr>
            <w:tcW w:w="306" w:type="pct"/>
            <w:tcBorders>
              <w:top w:val="single" w:sz="4" w:space="0" w:color="auto"/>
              <w:left w:val="single" w:sz="4" w:space="0" w:color="auto"/>
              <w:bottom w:val="single" w:sz="4" w:space="0" w:color="auto"/>
              <w:right w:val="single" w:sz="4" w:space="0" w:color="auto"/>
            </w:tcBorders>
          </w:tcPr>
          <w:p w:rsidR="00032535" w:rsidRPr="00E02972" w:rsidRDefault="00032535" w:rsidP="00F44B85">
            <w:pPr>
              <w:pStyle w:val="BodyParagraphText"/>
              <w:spacing w:line="240" w:lineRule="auto"/>
              <w:jc w:val="both"/>
              <w:rPr>
                <w:rFonts w:cs="Arial"/>
                <w:sz w:val="16"/>
                <w:szCs w:val="18"/>
              </w:rPr>
            </w:pPr>
            <w:r w:rsidRPr="00E02972">
              <w:rPr>
                <w:rFonts w:cs="Arial"/>
                <w:sz w:val="16"/>
                <w:szCs w:val="18"/>
              </w:rPr>
              <w:t>R</w:t>
            </w:r>
            <w:r w:rsidRPr="00E02972">
              <w:rPr>
                <w:rFonts w:cs="Arial"/>
                <w:sz w:val="16"/>
                <w:szCs w:val="18"/>
              </w:rPr>
              <w:br/>
              <w:t>EP</w:t>
            </w:r>
            <w:r w:rsidRPr="00E02972">
              <w:rPr>
                <w:rFonts w:cs="Arial"/>
                <w:sz w:val="16"/>
                <w:szCs w:val="18"/>
              </w:rPr>
              <w:br/>
              <w:t>PSP</w:t>
            </w:r>
            <w:r w:rsidRPr="00E02972">
              <w:rPr>
                <w:rFonts w:cs="Arial"/>
                <w:sz w:val="16"/>
                <w:szCs w:val="18"/>
              </w:rPr>
              <w:br/>
              <w:t>ECP</w:t>
            </w:r>
          </w:p>
        </w:tc>
        <w:tc>
          <w:tcPr>
            <w:tcW w:w="1611" w:type="pct"/>
            <w:tcBorders>
              <w:top w:val="single" w:sz="4" w:space="0" w:color="auto"/>
              <w:left w:val="single" w:sz="4" w:space="0" w:color="auto"/>
              <w:bottom w:val="single" w:sz="4" w:space="0" w:color="auto"/>
              <w:right w:val="single" w:sz="4" w:space="0" w:color="auto"/>
            </w:tcBorders>
          </w:tcPr>
          <w:p w:rsidR="00032535" w:rsidRPr="00E02972" w:rsidRDefault="00032535" w:rsidP="00F44B85">
            <w:pPr>
              <w:pStyle w:val="ssPara1"/>
              <w:spacing w:before="240"/>
              <w:rPr>
                <w:rFonts w:eastAsia="Times New Roman" w:cs="Arial"/>
                <w:iCs/>
                <w:sz w:val="16"/>
                <w:szCs w:val="18"/>
              </w:rPr>
            </w:pPr>
            <w:r w:rsidRPr="00E02972">
              <w:rPr>
                <w:rFonts w:eastAsia="Times New Roman" w:cs="Arial"/>
                <w:iCs/>
                <w:sz w:val="16"/>
                <w:szCs w:val="18"/>
              </w:rPr>
              <w:t>For firms that operate a trading venue or trading venues consider any implications for trading agreement (assurances, warranties, obligations etc)  or requirement to draw up separate agreement  if engaging  algorithmic and or HFT and therefore subject to the following:</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Requirement for  users to adequately test their IT systems and ensure they are secure;</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Prior initial testing required to be carried out of Black box or algorithms;</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Pre-trade controls;</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Pre-trade risk limits;</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Monitoring and alert systems;</w:t>
            </w:r>
          </w:p>
          <w:p w:rsidR="00DE0071"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 xml:space="preserve">Requirement for users to comply with their obligations in relation to Market Abuse and to not engage in activity that would create disorderly functioning of the market. </w:t>
            </w:r>
          </w:p>
          <w:p w:rsidR="00032535" w:rsidRPr="00E02972" w:rsidRDefault="00032535" w:rsidP="00F44B85">
            <w:pPr>
              <w:pStyle w:val="BulletPoint1"/>
              <w:numPr>
                <w:ilvl w:val="0"/>
                <w:numId w:val="9"/>
              </w:numPr>
              <w:tabs>
                <w:tab w:val="clear" w:pos="684"/>
              </w:tabs>
              <w:jc w:val="both"/>
              <w:rPr>
                <w:rFonts w:cs="Arial"/>
                <w:sz w:val="16"/>
                <w:szCs w:val="18"/>
              </w:rPr>
            </w:pPr>
            <w:r w:rsidRPr="00E02972">
              <w:rPr>
                <w:rFonts w:cs="Arial"/>
                <w:sz w:val="16"/>
                <w:szCs w:val="18"/>
              </w:rPr>
              <w:t>For firms that</w:t>
            </w:r>
            <w:r w:rsidRPr="00E02972">
              <w:rPr>
                <w:rFonts w:cs="Arial"/>
                <w:iCs/>
                <w:sz w:val="16"/>
                <w:szCs w:val="18"/>
              </w:rPr>
              <w:t xml:space="preserve"> carry out algorithmic trading for market making purposes put in place written market making agreements </w:t>
            </w:r>
            <w:r w:rsidRPr="00E02972">
              <w:rPr>
                <w:rFonts w:cs="Arial"/>
                <w:sz w:val="16"/>
                <w:szCs w:val="18"/>
                <w:lang w:val="en-US"/>
              </w:rPr>
              <w:t>with</w:t>
            </w:r>
            <w:r w:rsidRPr="00E02972">
              <w:rPr>
                <w:rFonts w:cs="Arial"/>
                <w:sz w:val="16"/>
                <w:szCs w:val="18"/>
              </w:rPr>
              <w:t xml:space="preserve"> trading venue, agreement to contain minimum requirements set out at </w:t>
            </w:r>
            <w:hyperlink r:id="rId184" w:history="1">
              <w:r w:rsidRPr="00E02972">
                <w:rPr>
                  <w:rStyle w:val="Hyperlink"/>
                  <w:rFonts w:cs="Arial"/>
                  <w:sz w:val="16"/>
                  <w:szCs w:val="18"/>
                </w:rPr>
                <w:t>DR18</w:t>
              </w:r>
            </w:hyperlink>
            <w:r w:rsidRPr="00E02972">
              <w:rPr>
                <w:rFonts w:cs="Arial"/>
                <w:sz w:val="16"/>
                <w:szCs w:val="18"/>
              </w:rPr>
              <w:t xml:space="preserve"> which include:</w:t>
            </w:r>
          </w:p>
          <w:p w:rsidR="00032535" w:rsidRPr="00E02972" w:rsidRDefault="00032535" w:rsidP="00F44B85">
            <w:pPr>
              <w:pStyle w:val="BulletPoint1"/>
              <w:numPr>
                <w:ilvl w:val="1"/>
                <w:numId w:val="20"/>
              </w:numPr>
              <w:tabs>
                <w:tab w:val="clear" w:pos="684"/>
                <w:tab w:val="left" w:pos="600"/>
              </w:tabs>
              <w:ind w:left="600" w:hanging="218"/>
              <w:jc w:val="both"/>
              <w:rPr>
                <w:rFonts w:cs="Arial"/>
                <w:sz w:val="16"/>
                <w:szCs w:val="18"/>
              </w:rPr>
            </w:pPr>
            <w:r w:rsidRPr="00E02972">
              <w:rPr>
                <w:rFonts w:cs="Arial"/>
                <w:sz w:val="16"/>
                <w:szCs w:val="18"/>
              </w:rPr>
              <w:t xml:space="preserve">the </w:t>
            </w:r>
            <w:r w:rsidRPr="00E02972">
              <w:rPr>
                <w:rFonts w:cs="Arial"/>
                <w:iCs/>
                <w:sz w:val="16"/>
                <w:szCs w:val="18"/>
              </w:rPr>
              <w:t>financial</w:t>
            </w:r>
            <w:r w:rsidRPr="00E02972">
              <w:rPr>
                <w:rFonts w:cs="Arial"/>
                <w:sz w:val="16"/>
                <w:szCs w:val="18"/>
              </w:rPr>
              <w:t xml:space="preserve"> instrument or instruments covered by the agreement; </w:t>
            </w:r>
          </w:p>
          <w:p w:rsidR="00032535" w:rsidRPr="00E02972" w:rsidRDefault="00032535" w:rsidP="00F44B85">
            <w:pPr>
              <w:pStyle w:val="BulletPoint1"/>
              <w:numPr>
                <w:ilvl w:val="1"/>
                <w:numId w:val="20"/>
              </w:numPr>
              <w:tabs>
                <w:tab w:val="clear" w:pos="684"/>
                <w:tab w:val="left" w:pos="600"/>
              </w:tabs>
              <w:ind w:left="600" w:hanging="218"/>
              <w:jc w:val="both"/>
              <w:rPr>
                <w:rFonts w:cs="Arial"/>
                <w:sz w:val="16"/>
                <w:szCs w:val="18"/>
              </w:rPr>
            </w:pPr>
            <w:r w:rsidRPr="00E02972">
              <w:rPr>
                <w:rFonts w:cs="Arial"/>
                <w:sz w:val="16"/>
                <w:szCs w:val="18"/>
              </w:rPr>
              <w:t xml:space="preserve">the minimum obligations to be met in terms of presence, size and spread that shall require at least posting firm, simultaneous two-way quotes of comparable size and competitive prices in no less than one financial instrument on the trading venue for no less than 50% of the hours during which continuous trading takes place during daily trading hours excluding opening and closing auctions, and calculated for each trading day; </w:t>
            </w:r>
          </w:p>
          <w:p w:rsidR="00032535" w:rsidRPr="00E02972" w:rsidRDefault="00032535" w:rsidP="00F44B85">
            <w:pPr>
              <w:pStyle w:val="BulletPoint1"/>
              <w:numPr>
                <w:ilvl w:val="1"/>
                <w:numId w:val="20"/>
              </w:numPr>
              <w:tabs>
                <w:tab w:val="clear" w:pos="684"/>
                <w:tab w:val="left" w:pos="600"/>
              </w:tabs>
              <w:ind w:left="600" w:hanging="218"/>
              <w:jc w:val="both"/>
              <w:rPr>
                <w:rFonts w:cs="Arial"/>
                <w:sz w:val="16"/>
                <w:szCs w:val="18"/>
              </w:rPr>
            </w:pPr>
            <w:r w:rsidRPr="00E02972">
              <w:rPr>
                <w:rFonts w:cs="Arial"/>
                <w:sz w:val="16"/>
                <w:szCs w:val="18"/>
              </w:rPr>
              <w:t xml:space="preserve">where appropriate, the terms of the applicable market making scheme; </w:t>
            </w:r>
          </w:p>
          <w:p w:rsidR="00032535" w:rsidRPr="00E02972" w:rsidRDefault="00032535" w:rsidP="00F44B85">
            <w:pPr>
              <w:pStyle w:val="BulletPoint1"/>
              <w:numPr>
                <w:ilvl w:val="1"/>
                <w:numId w:val="20"/>
              </w:numPr>
              <w:tabs>
                <w:tab w:val="clear" w:pos="684"/>
                <w:tab w:val="left" w:pos="600"/>
              </w:tabs>
              <w:ind w:left="600" w:hanging="218"/>
              <w:jc w:val="both"/>
              <w:rPr>
                <w:rFonts w:cs="Arial"/>
                <w:sz w:val="16"/>
                <w:szCs w:val="18"/>
              </w:rPr>
            </w:pPr>
            <w:r w:rsidRPr="00E02972">
              <w:rPr>
                <w:rFonts w:cs="Arial"/>
                <w:sz w:val="16"/>
                <w:szCs w:val="18"/>
              </w:rPr>
              <w:t xml:space="preserve">obligations in relation to resumption of trading after volatility interruptions; </w:t>
            </w:r>
          </w:p>
          <w:p w:rsidR="00032535" w:rsidRPr="00E02972" w:rsidRDefault="00032535" w:rsidP="00F44B85">
            <w:pPr>
              <w:pStyle w:val="BulletPoint1"/>
              <w:numPr>
                <w:ilvl w:val="1"/>
                <w:numId w:val="20"/>
              </w:numPr>
              <w:tabs>
                <w:tab w:val="clear" w:pos="684"/>
                <w:tab w:val="left" w:pos="600"/>
              </w:tabs>
              <w:ind w:left="600" w:hanging="218"/>
              <w:jc w:val="both"/>
              <w:rPr>
                <w:rFonts w:cs="Arial"/>
                <w:sz w:val="16"/>
                <w:szCs w:val="18"/>
              </w:rPr>
            </w:pPr>
            <w:r w:rsidRPr="00E02972">
              <w:rPr>
                <w:rFonts w:cs="Arial"/>
                <w:sz w:val="16"/>
                <w:szCs w:val="18"/>
              </w:rPr>
              <w:t xml:space="preserve">the surveillance, compliance and audit obligations (including in terms of resources) to be complied with in order to enable the firm to monitor its market making activity; </w:t>
            </w:r>
          </w:p>
          <w:p w:rsidR="00032535" w:rsidRPr="00E02972" w:rsidRDefault="00032535" w:rsidP="00F44B85">
            <w:pPr>
              <w:pStyle w:val="BulletPoint1"/>
              <w:numPr>
                <w:ilvl w:val="1"/>
                <w:numId w:val="20"/>
              </w:numPr>
              <w:tabs>
                <w:tab w:val="clear" w:pos="684"/>
                <w:tab w:val="left" w:pos="600"/>
              </w:tabs>
              <w:ind w:left="600" w:hanging="218"/>
              <w:jc w:val="both"/>
              <w:rPr>
                <w:rFonts w:cs="Arial"/>
                <w:sz w:val="16"/>
                <w:szCs w:val="18"/>
              </w:rPr>
            </w:pPr>
            <w:r w:rsidRPr="00E02972">
              <w:rPr>
                <w:rFonts w:cs="Arial"/>
                <w:sz w:val="16"/>
                <w:szCs w:val="18"/>
              </w:rPr>
              <w:t xml:space="preserve">the obligation to flag firm quotes submitted to the trading venue in the performance of the market making agreement in order to distinguish them from other order flows; </w:t>
            </w:r>
          </w:p>
          <w:p w:rsidR="00032535" w:rsidRPr="00E02972" w:rsidRDefault="00032535" w:rsidP="00F44B85">
            <w:pPr>
              <w:pStyle w:val="BulletPoint1"/>
              <w:numPr>
                <w:ilvl w:val="1"/>
                <w:numId w:val="20"/>
              </w:numPr>
              <w:tabs>
                <w:tab w:val="clear" w:pos="684"/>
                <w:tab w:val="left" w:pos="600"/>
              </w:tabs>
              <w:ind w:left="600" w:hanging="218"/>
              <w:jc w:val="both"/>
              <w:rPr>
                <w:rFonts w:cs="Arial"/>
                <w:sz w:val="16"/>
                <w:szCs w:val="18"/>
              </w:rPr>
            </w:pPr>
            <w:r w:rsidRPr="00E02972">
              <w:rPr>
                <w:rFonts w:cs="Arial"/>
                <w:sz w:val="16"/>
                <w:szCs w:val="18"/>
              </w:rPr>
              <w:t xml:space="preserve">the obligation to maintain records of firm quotes and transactions relating to the market making activities so that these records can be distinguished from other trading activities and be made available to the trading venue and the competent authority upon request. </w:t>
            </w:r>
          </w:p>
        </w:tc>
        <w:tc>
          <w:tcPr>
            <w:tcW w:w="625" w:type="pct"/>
            <w:tcBorders>
              <w:top w:val="single" w:sz="4" w:space="0" w:color="auto"/>
              <w:left w:val="single" w:sz="4" w:space="0" w:color="auto"/>
              <w:bottom w:val="single" w:sz="4" w:space="0" w:color="auto"/>
              <w:right w:val="single" w:sz="4" w:space="0" w:color="auto"/>
            </w:tcBorders>
          </w:tcPr>
          <w:p w:rsidR="00032535" w:rsidRPr="00E02972" w:rsidRDefault="00BE24BA" w:rsidP="00BE24BA">
            <w:pPr>
              <w:pStyle w:val="ssPara1"/>
              <w:numPr>
                <w:ilvl w:val="0"/>
                <w:numId w:val="20"/>
              </w:numPr>
              <w:spacing w:before="240"/>
              <w:jc w:val="left"/>
              <w:rPr>
                <w:rFonts w:cs="Arial"/>
                <w:sz w:val="16"/>
                <w:szCs w:val="18"/>
              </w:rPr>
            </w:pPr>
            <w:r w:rsidRPr="00E02972">
              <w:rPr>
                <w:rFonts w:cs="Arial"/>
                <w:sz w:val="16"/>
                <w:szCs w:val="18"/>
              </w:rPr>
              <w:t>Trading Agreements.</w:t>
            </w:r>
          </w:p>
          <w:p w:rsidR="00BE24BA" w:rsidRPr="00E02972" w:rsidRDefault="00BE24BA" w:rsidP="00BE24BA">
            <w:pPr>
              <w:pStyle w:val="ssPara1"/>
              <w:numPr>
                <w:ilvl w:val="0"/>
                <w:numId w:val="20"/>
              </w:numPr>
              <w:spacing w:before="240"/>
              <w:jc w:val="left"/>
              <w:rPr>
                <w:rFonts w:cs="Arial"/>
                <w:sz w:val="16"/>
                <w:szCs w:val="18"/>
              </w:rPr>
            </w:pPr>
            <w:r w:rsidRPr="00E02972">
              <w:rPr>
                <w:rFonts w:cs="Arial"/>
                <w:sz w:val="16"/>
                <w:szCs w:val="18"/>
              </w:rPr>
              <w:t xml:space="preserve">Brokerage Agreements. </w:t>
            </w:r>
          </w:p>
          <w:p w:rsidR="00BE24BA" w:rsidRPr="00E02972" w:rsidRDefault="00BE24BA" w:rsidP="00BE24BA">
            <w:pPr>
              <w:pStyle w:val="ssPara1"/>
              <w:numPr>
                <w:ilvl w:val="0"/>
                <w:numId w:val="20"/>
              </w:numPr>
              <w:spacing w:before="240"/>
              <w:jc w:val="left"/>
              <w:rPr>
                <w:rFonts w:cs="Arial"/>
                <w:sz w:val="16"/>
                <w:szCs w:val="18"/>
              </w:rPr>
            </w:pPr>
            <w:r w:rsidRPr="00E02972">
              <w:rPr>
                <w:rFonts w:cs="Arial"/>
                <w:sz w:val="16"/>
                <w:szCs w:val="18"/>
              </w:rPr>
              <w:t>Direct Market Access Agreements.</w:t>
            </w:r>
          </w:p>
          <w:p w:rsidR="00BE24BA" w:rsidRPr="00E02972" w:rsidRDefault="00BE24BA" w:rsidP="00BE24BA">
            <w:pPr>
              <w:pStyle w:val="ssPara1"/>
              <w:numPr>
                <w:ilvl w:val="0"/>
                <w:numId w:val="20"/>
              </w:numPr>
              <w:spacing w:before="240"/>
              <w:jc w:val="left"/>
              <w:rPr>
                <w:rFonts w:cs="Arial"/>
                <w:sz w:val="16"/>
                <w:szCs w:val="18"/>
              </w:rPr>
            </w:pPr>
            <w:r w:rsidRPr="00E02972">
              <w:rPr>
                <w:rFonts w:cs="Arial"/>
                <w:sz w:val="16"/>
                <w:szCs w:val="18"/>
              </w:rPr>
              <w:t>Market Making Agreements.</w:t>
            </w:r>
          </w:p>
          <w:p w:rsidR="00BE24BA" w:rsidRPr="00E02972" w:rsidRDefault="00BE24BA" w:rsidP="00BE24BA">
            <w:pPr>
              <w:pStyle w:val="ssPara1"/>
              <w:numPr>
                <w:ilvl w:val="0"/>
                <w:numId w:val="20"/>
              </w:numPr>
              <w:spacing w:before="240"/>
              <w:jc w:val="left"/>
              <w:rPr>
                <w:rFonts w:cs="Arial"/>
                <w:sz w:val="16"/>
                <w:szCs w:val="18"/>
              </w:rPr>
            </w:pPr>
            <w:r w:rsidRPr="00E02972">
              <w:rPr>
                <w:rFonts w:cs="Arial"/>
                <w:sz w:val="16"/>
                <w:szCs w:val="18"/>
              </w:rPr>
              <w:t>Trading Terms.</w:t>
            </w:r>
          </w:p>
          <w:p w:rsidR="00BE24BA" w:rsidRPr="00E02972" w:rsidRDefault="00BE24BA" w:rsidP="00BE24BA">
            <w:pPr>
              <w:pStyle w:val="ssPara1"/>
              <w:numPr>
                <w:ilvl w:val="0"/>
                <w:numId w:val="20"/>
              </w:numPr>
              <w:spacing w:before="240"/>
              <w:jc w:val="left"/>
              <w:rPr>
                <w:rFonts w:cs="Arial"/>
                <w:sz w:val="16"/>
                <w:szCs w:val="18"/>
              </w:rPr>
            </w:pPr>
            <w:r w:rsidRPr="00E02972">
              <w:rPr>
                <w:rFonts w:cs="Arial"/>
                <w:sz w:val="16"/>
                <w:szCs w:val="18"/>
              </w:rPr>
              <w:t xml:space="preserve">Side Letters/ Cover letters to send with trading terms. </w:t>
            </w:r>
          </w:p>
          <w:p w:rsidR="00BE24BA" w:rsidRPr="00E02972" w:rsidRDefault="00BE24BA" w:rsidP="00DE0071">
            <w:pPr>
              <w:pStyle w:val="ssPara1"/>
              <w:spacing w:before="240"/>
              <w:ind w:left="142"/>
              <w:jc w:val="left"/>
              <w:rPr>
                <w:rFonts w:cs="Arial"/>
                <w:sz w:val="16"/>
                <w:szCs w:val="18"/>
              </w:rPr>
            </w:pPr>
          </w:p>
        </w:tc>
        <w:tc>
          <w:tcPr>
            <w:tcW w:w="416" w:type="pct"/>
            <w:tcBorders>
              <w:top w:val="single" w:sz="4" w:space="0" w:color="auto"/>
              <w:left w:val="single" w:sz="4" w:space="0" w:color="auto"/>
              <w:bottom w:val="single" w:sz="4" w:space="0" w:color="auto"/>
              <w:right w:val="single" w:sz="4" w:space="0" w:color="auto"/>
            </w:tcBorders>
          </w:tcPr>
          <w:p w:rsidR="00032535" w:rsidRPr="00E02972" w:rsidRDefault="00032535" w:rsidP="00F44B85">
            <w:pPr>
              <w:pStyle w:val="ssPara1"/>
              <w:spacing w:before="240"/>
              <w:ind w:left="360"/>
              <w:rPr>
                <w:rFonts w:cs="Arial"/>
                <w:sz w:val="16"/>
                <w:szCs w:val="18"/>
              </w:rPr>
            </w:pPr>
          </w:p>
        </w:tc>
      </w:tr>
      <w:tr w:rsidR="00DE0071" w:rsidRPr="00E02972" w:rsidTr="00F44B85">
        <w:tc>
          <w:tcPr>
            <w:tcW w:w="455" w:type="pct"/>
            <w:tcBorders>
              <w:top w:val="single" w:sz="4" w:space="0" w:color="auto"/>
              <w:left w:val="single" w:sz="4" w:space="0" w:color="auto"/>
              <w:bottom w:val="single" w:sz="4" w:space="0" w:color="auto"/>
              <w:right w:val="single" w:sz="4" w:space="0" w:color="auto"/>
            </w:tcBorders>
            <w:shd w:val="clear" w:color="auto" w:fill="69889A"/>
          </w:tcPr>
          <w:p w:rsidR="00DE0071" w:rsidRPr="00E02972" w:rsidRDefault="00DE0071" w:rsidP="006E3A87">
            <w:pPr>
              <w:spacing w:before="120" w:after="120"/>
              <w:jc w:val="left"/>
              <w:rPr>
                <w:rFonts w:eastAsia="Times New Roman" w:cs="Arial"/>
                <w:b/>
                <w:bCs/>
                <w:color w:val="FFFFFF" w:themeColor="background1"/>
                <w:sz w:val="16"/>
                <w:szCs w:val="18"/>
                <w:lang w:eastAsia="en-GB"/>
              </w:rPr>
            </w:pPr>
            <w:r w:rsidRPr="00E02972">
              <w:rPr>
                <w:rFonts w:eastAsia="Times New Roman" w:cs="Arial"/>
                <w:b/>
                <w:bCs/>
                <w:color w:val="FFFFFF" w:themeColor="background1"/>
                <w:sz w:val="16"/>
                <w:szCs w:val="18"/>
                <w:lang w:eastAsia="en-GB"/>
              </w:rPr>
              <w:t>DIRECT MARKET ACCESS</w:t>
            </w:r>
          </w:p>
        </w:tc>
        <w:tc>
          <w:tcPr>
            <w:tcW w:w="374" w:type="pct"/>
            <w:tcBorders>
              <w:top w:val="single" w:sz="4" w:space="0" w:color="auto"/>
              <w:left w:val="single" w:sz="4" w:space="0" w:color="auto"/>
              <w:bottom w:val="single" w:sz="4" w:space="0" w:color="auto"/>
              <w:right w:val="single" w:sz="4" w:space="0" w:color="auto"/>
            </w:tcBorders>
          </w:tcPr>
          <w:p w:rsidR="00DE0071" w:rsidRPr="00E02972" w:rsidRDefault="006C2CF1" w:rsidP="005973D1">
            <w:pPr>
              <w:pStyle w:val="BodyParagraphText"/>
              <w:rPr>
                <w:rFonts w:cs="Arial"/>
                <w:sz w:val="16"/>
                <w:szCs w:val="18"/>
              </w:rPr>
            </w:pPr>
            <w:hyperlink r:id="rId185" w:history="1">
              <w:r w:rsidR="00DE0071" w:rsidRPr="00E02972">
                <w:rPr>
                  <w:rStyle w:val="Hyperlink"/>
                  <w:rFonts w:cs="Arial"/>
                  <w:sz w:val="16"/>
                  <w:szCs w:val="18"/>
                </w:rPr>
                <w:t>D</w:t>
              </w:r>
            </w:hyperlink>
            <w:r w:rsidR="00DE0071" w:rsidRPr="00E02972">
              <w:rPr>
                <w:rFonts w:cs="Arial"/>
                <w:sz w:val="16"/>
                <w:szCs w:val="18"/>
              </w:rPr>
              <w:t xml:space="preserve">  Art 4(1)(41)</w:t>
            </w:r>
            <w:r w:rsidR="00EE7BE6" w:rsidRPr="00E02972">
              <w:rPr>
                <w:rFonts w:cs="Arial"/>
                <w:sz w:val="16"/>
                <w:szCs w:val="18"/>
              </w:rPr>
              <w:t xml:space="preserve"> &amp; 17</w:t>
            </w:r>
          </w:p>
          <w:p w:rsidR="00DE0071" w:rsidRPr="00E02972" w:rsidRDefault="00DE0071" w:rsidP="005973D1">
            <w:pPr>
              <w:pStyle w:val="BodyParagraphText"/>
              <w:rPr>
                <w:rFonts w:cs="Arial"/>
                <w:sz w:val="16"/>
                <w:szCs w:val="18"/>
              </w:rPr>
            </w:pPr>
            <w:r w:rsidRPr="00E02972">
              <w:rPr>
                <w:rFonts w:cs="Arial"/>
                <w:sz w:val="16"/>
                <w:szCs w:val="18"/>
              </w:rPr>
              <w:t>L2: (</w:t>
            </w:r>
            <w:hyperlink r:id="rId186" w:history="1">
              <w:hyperlink r:id="rId187" w:history="1">
                <w:r w:rsidRPr="00E02972">
                  <w:rPr>
                    <w:rStyle w:val="Hyperlink"/>
                    <w:rFonts w:cs="Arial"/>
                    <w:sz w:val="16"/>
                    <w:szCs w:val="18"/>
                  </w:rPr>
                  <w:t>CP1</w:t>
                </w:r>
              </w:hyperlink>
            </w:hyperlink>
            <w:r w:rsidRPr="00E02972">
              <w:rPr>
                <w:rFonts w:cs="Arial"/>
                <w:b/>
                <w:sz w:val="16"/>
                <w:szCs w:val="18"/>
              </w:rPr>
              <w:t xml:space="preserve">, </w:t>
            </w:r>
            <w:hyperlink r:id="rId188" w:history="1">
              <w:r w:rsidRPr="00E02972">
                <w:rPr>
                  <w:rStyle w:val="Hyperlink"/>
                  <w:rFonts w:cs="Arial"/>
                  <w:sz w:val="16"/>
                  <w:szCs w:val="18"/>
                </w:rPr>
                <w:t>FR</w:t>
              </w:r>
            </w:hyperlink>
            <w:r w:rsidRPr="00E02972">
              <w:rPr>
                <w:rStyle w:val="Hyperlink"/>
                <w:rFonts w:cs="Arial"/>
                <w:sz w:val="16"/>
                <w:szCs w:val="18"/>
              </w:rPr>
              <w:t xml:space="preserve">) </w:t>
            </w:r>
          </w:p>
          <w:p w:rsidR="00EE7BE6" w:rsidRPr="00E02972" w:rsidRDefault="006C2CF1" w:rsidP="00D925E0">
            <w:pPr>
              <w:pStyle w:val="BodyParagraphText"/>
              <w:keepLines w:val="0"/>
              <w:widowControl w:val="0"/>
              <w:numPr>
                <w:ilvl w:val="0"/>
                <w:numId w:val="39"/>
              </w:numPr>
              <w:spacing w:before="120" w:after="40" w:line="240" w:lineRule="auto"/>
              <w:rPr>
                <w:rStyle w:val="Hyperlink"/>
                <w:rFonts w:cs="Arial"/>
                <w:color w:val="0000FF"/>
                <w:sz w:val="16"/>
                <w:szCs w:val="18"/>
                <w:u w:val="none"/>
              </w:rPr>
            </w:pPr>
            <w:hyperlink r:id="rId189" w:history="1">
              <w:r w:rsidR="00DE0071" w:rsidRPr="00E02972">
                <w:rPr>
                  <w:rStyle w:val="Hyperlink"/>
                  <w:rFonts w:cs="Arial"/>
                  <w:color w:val="0000FF"/>
                  <w:sz w:val="16"/>
                  <w:szCs w:val="18"/>
                </w:rPr>
                <w:t>DR1</w:t>
              </w:r>
            </w:hyperlink>
            <w:r w:rsidR="00DE0071" w:rsidRPr="00E02972">
              <w:rPr>
                <w:rStyle w:val="Hyperlink"/>
                <w:rFonts w:cs="Arial"/>
                <w:color w:val="0000FF"/>
                <w:sz w:val="16"/>
                <w:szCs w:val="18"/>
              </w:rPr>
              <w:t xml:space="preserve"> (</w:t>
            </w:r>
            <w:hyperlink r:id="rId190" w:history="1">
              <w:r w:rsidR="00DE0071" w:rsidRPr="00E02972">
                <w:rPr>
                  <w:rStyle w:val="Hyperlink"/>
                  <w:rFonts w:cs="Arial"/>
                  <w:b/>
                  <w:color w:val="0000FF"/>
                  <w:sz w:val="16"/>
                  <w:szCs w:val="18"/>
                </w:rPr>
                <w:t>Art 20</w:t>
              </w:r>
            </w:hyperlink>
            <w:r w:rsidR="00DE0071" w:rsidRPr="00E02972">
              <w:rPr>
                <w:rStyle w:val="Hyperlink"/>
                <w:rFonts w:cs="Arial"/>
                <w:color w:val="0000FF"/>
                <w:sz w:val="16"/>
                <w:szCs w:val="18"/>
              </w:rPr>
              <w:t>)</w:t>
            </w:r>
          </w:p>
          <w:p w:rsidR="00DE0071" w:rsidRPr="00E02972" w:rsidRDefault="006C2CF1" w:rsidP="00D925E0">
            <w:pPr>
              <w:pStyle w:val="BodyParagraphText"/>
              <w:keepLines w:val="0"/>
              <w:widowControl w:val="0"/>
              <w:numPr>
                <w:ilvl w:val="0"/>
                <w:numId w:val="39"/>
              </w:numPr>
              <w:spacing w:before="120" w:after="40" w:line="240" w:lineRule="auto"/>
              <w:rPr>
                <w:rFonts w:cs="Arial"/>
                <w:color w:val="0000FF"/>
                <w:sz w:val="16"/>
                <w:szCs w:val="18"/>
              </w:rPr>
            </w:pPr>
            <w:hyperlink r:id="rId191" w:history="1">
              <w:r w:rsidR="00EE7BE6" w:rsidRPr="00E02972">
                <w:rPr>
                  <w:rStyle w:val="Hyperlink"/>
                  <w:rFonts w:cs="Arial"/>
                  <w:b/>
                  <w:color w:val="0000FF"/>
                  <w:sz w:val="16"/>
                  <w:szCs w:val="18"/>
                </w:rPr>
                <w:t>DR27</w:t>
              </w:r>
            </w:hyperlink>
            <w:r w:rsidR="00EE7BE6" w:rsidRPr="00E02972">
              <w:rPr>
                <w:rFonts w:cs="Arial"/>
                <w:color w:val="0000FF"/>
                <w:sz w:val="16"/>
                <w:szCs w:val="18"/>
              </w:rPr>
              <w:t xml:space="preserve"> </w:t>
            </w:r>
            <w:r w:rsidR="00EE7BE6" w:rsidRPr="00E02972">
              <w:rPr>
                <w:rFonts w:cs="Arial"/>
                <w:b/>
                <w:color w:val="0000FF"/>
                <w:sz w:val="16"/>
                <w:szCs w:val="18"/>
              </w:rPr>
              <w:t>(</w:t>
            </w:r>
            <w:hyperlink r:id="rId192" w:history="1">
              <w:r w:rsidR="00EE7BE6" w:rsidRPr="00E02972">
                <w:rPr>
                  <w:rStyle w:val="Hyperlink"/>
                  <w:rFonts w:cs="Arial"/>
                  <w:b/>
                  <w:sz w:val="16"/>
                  <w:szCs w:val="18"/>
                </w:rPr>
                <w:t>Final RTS 6</w:t>
              </w:r>
            </w:hyperlink>
            <w:r w:rsidR="00EE7BE6" w:rsidRPr="00E02972">
              <w:rPr>
                <w:rFonts w:cs="Arial"/>
                <w:b/>
                <w:color w:val="0000FF"/>
                <w:sz w:val="16"/>
                <w:szCs w:val="18"/>
              </w:rPr>
              <w:t xml:space="preserve">) with </w:t>
            </w:r>
            <w:hyperlink r:id="rId193" w:history="1">
              <w:r w:rsidR="00EE7BE6" w:rsidRPr="00E02972">
                <w:rPr>
                  <w:rStyle w:val="Hyperlink"/>
                  <w:rFonts w:cs="Arial"/>
                  <w:color w:val="0000FF"/>
                  <w:sz w:val="16"/>
                  <w:szCs w:val="18"/>
                </w:rPr>
                <w:t>Annex</w:t>
              </w:r>
            </w:hyperlink>
            <w:r w:rsidR="00DE0071" w:rsidRPr="00E02972">
              <w:rPr>
                <w:rFonts w:cs="Arial"/>
                <w:color w:val="0000FF"/>
                <w:sz w:val="16"/>
                <w:szCs w:val="18"/>
              </w:rPr>
              <w:t xml:space="preserve"> </w:t>
            </w:r>
          </w:p>
          <w:p w:rsidR="00DE0071" w:rsidRPr="00E02972" w:rsidRDefault="00DE0071" w:rsidP="005973D1">
            <w:pPr>
              <w:pStyle w:val="BodyParagraphText"/>
              <w:rPr>
                <w:rFonts w:cs="Arial"/>
                <w:sz w:val="16"/>
                <w:szCs w:val="18"/>
              </w:rPr>
            </w:pPr>
            <w:r w:rsidRPr="00E02972">
              <w:rPr>
                <w:rFonts w:cs="Arial"/>
                <w:sz w:val="16"/>
                <w:szCs w:val="18"/>
              </w:rPr>
              <w:t xml:space="preserve">L3: </w:t>
            </w:r>
          </w:p>
          <w:p w:rsidR="00DE0071" w:rsidRPr="00E02972" w:rsidRDefault="006C2CF1" w:rsidP="00D925E0">
            <w:pPr>
              <w:pStyle w:val="BodyParagraphText"/>
              <w:keepLines w:val="0"/>
              <w:widowControl w:val="0"/>
              <w:numPr>
                <w:ilvl w:val="0"/>
                <w:numId w:val="39"/>
              </w:numPr>
              <w:spacing w:before="120" w:after="40" w:line="240" w:lineRule="auto"/>
              <w:rPr>
                <w:rFonts w:cs="Arial"/>
                <w:sz w:val="16"/>
                <w:szCs w:val="18"/>
              </w:rPr>
            </w:pPr>
            <w:hyperlink r:id="rId194" w:history="1">
              <w:r w:rsidR="00DE0071" w:rsidRPr="00E02972">
                <w:rPr>
                  <w:rStyle w:val="Hyperlink"/>
                  <w:rFonts w:cs="Arial"/>
                  <w:color w:val="0000FF"/>
                  <w:sz w:val="16"/>
                  <w:szCs w:val="18"/>
                </w:rPr>
                <w:t>Market Structure Q&amp;A</w:t>
              </w:r>
            </w:hyperlink>
          </w:p>
        </w:tc>
        <w:tc>
          <w:tcPr>
            <w:tcW w:w="1213" w:type="pct"/>
            <w:tcBorders>
              <w:top w:val="single" w:sz="4" w:space="0" w:color="auto"/>
              <w:left w:val="single" w:sz="4" w:space="0" w:color="auto"/>
              <w:bottom w:val="single" w:sz="4" w:space="0" w:color="auto"/>
              <w:right w:val="single" w:sz="4" w:space="0" w:color="auto"/>
            </w:tcBorders>
          </w:tcPr>
          <w:p w:rsidR="00DE0071" w:rsidRPr="00E02972" w:rsidRDefault="00DE0071" w:rsidP="00F44B85">
            <w:pPr>
              <w:pStyle w:val="ListParagraph"/>
              <w:numPr>
                <w:ilvl w:val="0"/>
                <w:numId w:val="2"/>
              </w:numPr>
              <w:spacing w:before="240" w:after="260"/>
              <w:ind w:right="161"/>
              <w:jc w:val="both"/>
              <w:rPr>
                <w:rFonts w:ascii="Arial" w:hAnsi="Arial" w:cs="Arial"/>
                <w:sz w:val="16"/>
                <w:szCs w:val="18"/>
              </w:rPr>
            </w:pPr>
            <w:r w:rsidRPr="00E02972">
              <w:rPr>
                <w:rFonts w:ascii="Arial" w:hAnsi="Arial" w:cs="Arial"/>
                <w:sz w:val="16"/>
                <w:szCs w:val="18"/>
              </w:rPr>
              <w:lastRenderedPageBreak/>
              <w:t>Under Article 17(5),</w:t>
            </w:r>
            <w:r w:rsidR="00EE7BE6" w:rsidRPr="00E02972">
              <w:rPr>
                <w:rFonts w:ascii="Arial" w:hAnsi="Arial" w:cs="Arial"/>
                <w:sz w:val="16"/>
                <w:szCs w:val="18"/>
              </w:rPr>
              <w:t xml:space="preserve"> MiFID2</w:t>
            </w:r>
            <w:r w:rsidRPr="00E02972">
              <w:rPr>
                <w:rFonts w:ascii="Arial" w:hAnsi="Arial" w:cs="Arial"/>
                <w:sz w:val="16"/>
                <w:szCs w:val="18"/>
              </w:rPr>
              <w:t xml:space="preserve"> investment firms must put in place effective systems and controls to:</w:t>
            </w:r>
          </w:p>
          <w:p w:rsidR="00DE0071" w:rsidRPr="00E02972" w:rsidRDefault="00DE0071" w:rsidP="00D925E0">
            <w:pPr>
              <w:pStyle w:val="ListParagraph"/>
              <w:numPr>
                <w:ilvl w:val="0"/>
                <w:numId w:val="40"/>
              </w:numPr>
              <w:spacing w:before="240" w:after="260"/>
              <w:ind w:right="161"/>
              <w:jc w:val="both"/>
              <w:rPr>
                <w:rFonts w:ascii="Arial" w:hAnsi="Arial" w:cs="Arial"/>
                <w:sz w:val="16"/>
                <w:szCs w:val="18"/>
              </w:rPr>
            </w:pPr>
            <w:r w:rsidRPr="00E02972">
              <w:rPr>
                <w:rFonts w:ascii="Arial" w:hAnsi="Arial" w:cs="Arial"/>
                <w:sz w:val="16"/>
                <w:szCs w:val="18"/>
              </w:rPr>
              <w:t xml:space="preserve">properly assess the suitability of clients for the service; </w:t>
            </w:r>
          </w:p>
          <w:p w:rsidR="00DE0071" w:rsidRPr="00E02972" w:rsidRDefault="00DE0071" w:rsidP="00D925E0">
            <w:pPr>
              <w:pStyle w:val="ListParagraph"/>
              <w:numPr>
                <w:ilvl w:val="0"/>
                <w:numId w:val="40"/>
              </w:numPr>
              <w:spacing w:before="240" w:after="260"/>
              <w:ind w:right="161"/>
              <w:jc w:val="both"/>
              <w:rPr>
                <w:rFonts w:ascii="Arial" w:hAnsi="Arial" w:cs="Arial"/>
                <w:sz w:val="16"/>
                <w:szCs w:val="18"/>
              </w:rPr>
            </w:pPr>
            <w:r w:rsidRPr="00E02972">
              <w:rPr>
                <w:rFonts w:ascii="Arial" w:hAnsi="Arial" w:cs="Arial"/>
                <w:sz w:val="16"/>
                <w:szCs w:val="18"/>
              </w:rPr>
              <w:t>ensure clients are prevented from exceeding pre-set trading and credit thresholds;</w:t>
            </w:r>
          </w:p>
          <w:p w:rsidR="00DE0071" w:rsidRPr="00E02972" w:rsidRDefault="00DE0071" w:rsidP="00D925E0">
            <w:pPr>
              <w:pStyle w:val="ListParagraph"/>
              <w:numPr>
                <w:ilvl w:val="0"/>
                <w:numId w:val="40"/>
              </w:numPr>
              <w:spacing w:before="240" w:after="260"/>
              <w:ind w:right="161"/>
              <w:jc w:val="both"/>
              <w:rPr>
                <w:rFonts w:ascii="Arial" w:hAnsi="Arial" w:cs="Arial"/>
                <w:sz w:val="16"/>
                <w:szCs w:val="18"/>
              </w:rPr>
            </w:pPr>
            <w:r w:rsidRPr="00E02972">
              <w:rPr>
                <w:rFonts w:ascii="Arial" w:hAnsi="Arial" w:cs="Arial"/>
                <w:sz w:val="16"/>
                <w:szCs w:val="18"/>
              </w:rPr>
              <w:lastRenderedPageBreak/>
              <w:t>ensure trading by clients using the service is properly monitored; and</w:t>
            </w:r>
          </w:p>
          <w:p w:rsidR="00DE0071" w:rsidRPr="00E02972" w:rsidRDefault="00DE0071" w:rsidP="00D925E0">
            <w:pPr>
              <w:pStyle w:val="ListParagraph"/>
              <w:numPr>
                <w:ilvl w:val="0"/>
                <w:numId w:val="40"/>
              </w:numPr>
              <w:spacing w:before="240" w:after="260"/>
              <w:ind w:right="161"/>
              <w:jc w:val="both"/>
              <w:rPr>
                <w:rFonts w:ascii="Arial" w:hAnsi="Arial" w:cs="Arial"/>
                <w:sz w:val="16"/>
                <w:szCs w:val="18"/>
              </w:rPr>
            </w:pPr>
            <w:r w:rsidRPr="00E02972">
              <w:rPr>
                <w:rFonts w:ascii="Arial" w:hAnsi="Arial" w:cs="Arial"/>
                <w:sz w:val="16"/>
                <w:szCs w:val="18"/>
              </w:rPr>
              <w:t xml:space="preserve">ensure there are appropriate risk controls to prevent trading that may create risks to the investment firm itself that could create or contribute to a disorderly market or could be contrary to the Market Abuse Regulation or rules of the trading venue. </w:t>
            </w:r>
          </w:p>
          <w:p w:rsidR="00DE0071" w:rsidRPr="00E02972" w:rsidRDefault="00DE0071" w:rsidP="00F44B85">
            <w:pPr>
              <w:pStyle w:val="ListParagraph"/>
              <w:numPr>
                <w:ilvl w:val="0"/>
                <w:numId w:val="2"/>
              </w:numPr>
              <w:spacing w:before="240" w:after="260"/>
              <w:ind w:right="161"/>
              <w:jc w:val="both"/>
              <w:rPr>
                <w:rFonts w:ascii="Arial" w:hAnsi="Arial" w:cs="Arial"/>
                <w:sz w:val="16"/>
                <w:szCs w:val="18"/>
              </w:rPr>
            </w:pPr>
            <w:r w:rsidRPr="00E02972">
              <w:rPr>
                <w:rFonts w:ascii="Arial" w:hAnsi="Arial" w:cs="Arial"/>
                <w:sz w:val="16"/>
                <w:szCs w:val="18"/>
              </w:rPr>
              <w:t>Any DEA without such controls will be prohibited.</w:t>
            </w:r>
          </w:p>
          <w:p w:rsidR="00DE0071" w:rsidRPr="00E02972" w:rsidRDefault="00DE0071" w:rsidP="00F44B85">
            <w:pPr>
              <w:pStyle w:val="ListParagraph"/>
              <w:numPr>
                <w:ilvl w:val="0"/>
                <w:numId w:val="2"/>
              </w:numPr>
              <w:spacing w:before="240" w:after="260"/>
              <w:ind w:right="161"/>
              <w:jc w:val="both"/>
              <w:rPr>
                <w:rFonts w:ascii="Arial" w:hAnsi="Arial" w:cs="Arial"/>
                <w:sz w:val="16"/>
                <w:szCs w:val="18"/>
              </w:rPr>
            </w:pPr>
            <w:r w:rsidRPr="00E02972">
              <w:rPr>
                <w:rFonts w:ascii="Arial" w:hAnsi="Arial" w:cs="Arial"/>
                <w:sz w:val="16"/>
                <w:szCs w:val="18"/>
              </w:rPr>
              <w:t xml:space="preserve">Investment firms must ensure clients comply with </w:t>
            </w:r>
            <w:r w:rsidR="00EE7BE6" w:rsidRPr="00E02972">
              <w:rPr>
                <w:rFonts w:ascii="Arial" w:hAnsi="Arial" w:cs="Arial"/>
                <w:sz w:val="16"/>
                <w:szCs w:val="18"/>
              </w:rPr>
              <w:t>MiFID2</w:t>
            </w:r>
            <w:r w:rsidRPr="00E02972">
              <w:rPr>
                <w:rFonts w:ascii="Arial" w:hAnsi="Arial" w:cs="Arial"/>
                <w:sz w:val="16"/>
                <w:szCs w:val="18"/>
              </w:rPr>
              <w:t xml:space="preserve"> and the rules of the trading venue (Article 17(5))</w:t>
            </w:r>
          </w:p>
          <w:p w:rsidR="00DE0071" w:rsidRPr="00E02972" w:rsidRDefault="00DE0071" w:rsidP="00F44B85">
            <w:pPr>
              <w:pStyle w:val="ListParagraph"/>
              <w:numPr>
                <w:ilvl w:val="0"/>
                <w:numId w:val="2"/>
              </w:numPr>
              <w:spacing w:before="240" w:after="260"/>
              <w:ind w:right="161"/>
              <w:jc w:val="both"/>
              <w:rPr>
                <w:rFonts w:ascii="Arial" w:hAnsi="Arial" w:cs="Arial"/>
                <w:sz w:val="16"/>
                <w:szCs w:val="18"/>
              </w:rPr>
            </w:pPr>
            <w:r w:rsidRPr="00E02972">
              <w:rPr>
                <w:rFonts w:ascii="Arial" w:hAnsi="Arial" w:cs="Arial"/>
                <w:sz w:val="16"/>
                <w:szCs w:val="18"/>
              </w:rPr>
              <w:t>Investment firms must ensure there is a binding agreement with the client regarding the rights and obligations arising from the provision of DEA and that the investment firm r</w:t>
            </w:r>
            <w:r w:rsidR="00EE7BE6" w:rsidRPr="00E02972">
              <w:rPr>
                <w:rFonts w:ascii="Arial" w:hAnsi="Arial" w:cs="Arial"/>
                <w:sz w:val="16"/>
                <w:szCs w:val="18"/>
              </w:rPr>
              <w:t>etains responsibility under MiFID2</w:t>
            </w:r>
            <w:r w:rsidRPr="00E02972">
              <w:rPr>
                <w:rFonts w:ascii="Arial" w:hAnsi="Arial" w:cs="Arial"/>
                <w:sz w:val="16"/>
                <w:szCs w:val="18"/>
              </w:rPr>
              <w:t xml:space="preserve"> (Article 17(5))</w:t>
            </w:r>
          </w:p>
          <w:p w:rsidR="00DE0071" w:rsidRPr="00E02972" w:rsidRDefault="00DE0071" w:rsidP="00F44B85">
            <w:pPr>
              <w:pStyle w:val="ListParagraph"/>
              <w:spacing w:before="240" w:after="260"/>
              <w:ind w:left="0" w:right="161"/>
              <w:jc w:val="both"/>
              <w:rPr>
                <w:rFonts w:ascii="Arial" w:hAnsi="Arial" w:cs="Arial"/>
                <w:sz w:val="16"/>
                <w:szCs w:val="18"/>
              </w:rPr>
            </w:pPr>
          </w:p>
        </w:tc>
        <w:tc>
          <w:tcPr>
            <w:tcW w:w="306" w:type="pct"/>
            <w:tcBorders>
              <w:top w:val="single" w:sz="4" w:space="0" w:color="auto"/>
              <w:left w:val="single" w:sz="4" w:space="0" w:color="auto"/>
              <w:bottom w:val="single" w:sz="4" w:space="0" w:color="auto"/>
              <w:right w:val="single" w:sz="4" w:space="0" w:color="auto"/>
            </w:tcBorders>
          </w:tcPr>
          <w:p w:rsidR="00DE0071" w:rsidRPr="00E02972" w:rsidRDefault="00DE0071" w:rsidP="00F44B85">
            <w:pPr>
              <w:pStyle w:val="BodyParagraphText"/>
              <w:spacing w:line="240" w:lineRule="auto"/>
              <w:jc w:val="both"/>
              <w:rPr>
                <w:rFonts w:cs="Arial"/>
                <w:sz w:val="16"/>
                <w:szCs w:val="18"/>
              </w:rPr>
            </w:pPr>
            <w:r w:rsidRPr="00E02972">
              <w:rPr>
                <w:rFonts w:cs="Arial"/>
                <w:sz w:val="16"/>
                <w:szCs w:val="18"/>
              </w:rPr>
              <w:lastRenderedPageBreak/>
              <w:t>R</w:t>
            </w:r>
            <w:r w:rsidRPr="00E02972">
              <w:rPr>
                <w:rFonts w:cs="Arial"/>
                <w:sz w:val="16"/>
                <w:szCs w:val="18"/>
              </w:rPr>
              <w:br/>
              <w:t>EP</w:t>
            </w:r>
            <w:r w:rsidRPr="00E02972">
              <w:rPr>
                <w:rFonts w:cs="Arial"/>
                <w:sz w:val="16"/>
                <w:szCs w:val="18"/>
              </w:rPr>
              <w:br/>
              <w:t>PSP</w:t>
            </w:r>
            <w:r w:rsidRPr="00E02972">
              <w:rPr>
                <w:rFonts w:cs="Arial"/>
                <w:sz w:val="16"/>
                <w:szCs w:val="18"/>
              </w:rPr>
              <w:br/>
              <w:t>ECP</w:t>
            </w:r>
          </w:p>
        </w:tc>
        <w:tc>
          <w:tcPr>
            <w:tcW w:w="1611" w:type="pct"/>
            <w:tcBorders>
              <w:top w:val="single" w:sz="4" w:space="0" w:color="auto"/>
              <w:left w:val="single" w:sz="4" w:space="0" w:color="auto"/>
              <w:bottom w:val="single" w:sz="4" w:space="0" w:color="auto"/>
              <w:right w:val="single" w:sz="4" w:space="0" w:color="auto"/>
            </w:tcBorders>
          </w:tcPr>
          <w:p w:rsidR="00DE0071" w:rsidRPr="00E02972" w:rsidRDefault="00DE0071" w:rsidP="00F44B85">
            <w:pPr>
              <w:pStyle w:val="BulletPoint1"/>
              <w:numPr>
                <w:ilvl w:val="0"/>
                <w:numId w:val="9"/>
              </w:numPr>
              <w:tabs>
                <w:tab w:val="clear" w:pos="684"/>
              </w:tabs>
              <w:jc w:val="both"/>
              <w:rPr>
                <w:rFonts w:cs="Arial"/>
                <w:sz w:val="16"/>
                <w:szCs w:val="18"/>
              </w:rPr>
            </w:pPr>
            <w:r w:rsidRPr="00E02972">
              <w:rPr>
                <w:rFonts w:cs="Arial"/>
                <w:sz w:val="16"/>
                <w:szCs w:val="18"/>
              </w:rPr>
              <w:t>Draft or amend existing documentation (i.e. direct market access agreements) or fact find questionnaires to carry out information gathering requirements and suitability assessment,</w:t>
            </w:r>
          </w:p>
          <w:p w:rsidR="00DE0071" w:rsidRPr="00E02972" w:rsidRDefault="00DE0071" w:rsidP="00F44B85">
            <w:pPr>
              <w:pStyle w:val="BulletPoint1"/>
              <w:numPr>
                <w:ilvl w:val="0"/>
                <w:numId w:val="9"/>
              </w:numPr>
              <w:tabs>
                <w:tab w:val="clear" w:pos="684"/>
              </w:tabs>
              <w:jc w:val="both"/>
              <w:rPr>
                <w:rFonts w:cs="Arial"/>
                <w:sz w:val="16"/>
                <w:szCs w:val="18"/>
              </w:rPr>
            </w:pPr>
            <w:r w:rsidRPr="00E02972">
              <w:rPr>
                <w:rFonts w:cs="Arial"/>
                <w:sz w:val="16"/>
                <w:szCs w:val="18"/>
              </w:rPr>
              <w:t>Draft either separate DMA Agreements and/or amend existing client agreements to meet the due diligence and compliance requirements under MiFID2. In particular such agreements will need to set out:</w:t>
            </w:r>
          </w:p>
          <w:p w:rsidR="00DE0071" w:rsidRPr="00E02972" w:rsidRDefault="00DE0071" w:rsidP="00F44B85">
            <w:pPr>
              <w:pStyle w:val="BulletPoint2"/>
              <w:numPr>
                <w:ilvl w:val="0"/>
                <w:numId w:val="19"/>
              </w:numPr>
              <w:jc w:val="both"/>
              <w:rPr>
                <w:rFonts w:cs="Arial"/>
                <w:sz w:val="16"/>
                <w:szCs w:val="18"/>
              </w:rPr>
            </w:pPr>
            <w:r w:rsidRPr="00E02972">
              <w:rPr>
                <w:rFonts w:cs="Arial"/>
                <w:sz w:val="16"/>
                <w:szCs w:val="18"/>
              </w:rPr>
              <w:t>Clients obligations when using service;</w:t>
            </w:r>
          </w:p>
          <w:p w:rsidR="00DE0071" w:rsidRPr="00E02972" w:rsidRDefault="00DE0071" w:rsidP="00F44B85">
            <w:pPr>
              <w:pStyle w:val="BulletPoint2"/>
              <w:numPr>
                <w:ilvl w:val="0"/>
                <w:numId w:val="19"/>
              </w:numPr>
              <w:jc w:val="both"/>
              <w:rPr>
                <w:rFonts w:cs="Arial"/>
                <w:sz w:val="16"/>
                <w:szCs w:val="18"/>
              </w:rPr>
            </w:pPr>
            <w:r w:rsidRPr="00E02972">
              <w:rPr>
                <w:rFonts w:cs="Arial"/>
                <w:sz w:val="16"/>
                <w:szCs w:val="18"/>
              </w:rPr>
              <w:t>Details of firms risk controls and trading and credit limits;</w:t>
            </w:r>
          </w:p>
          <w:p w:rsidR="00DE0071" w:rsidRPr="00E02972" w:rsidRDefault="00DE0071" w:rsidP="00F44B85">
            <w:pPr>
              <w:pStyle w:val="BulletPoint2"/>
              <w:numPr>
                <w:ilvl w:val="0"/>
                <w:numId w:val="19"/>
              </w:numPr>
              <w:jc w:val="both"/>
              <w:rPr>
                <w:rFonts w:cs="Arial"/>
                <w:sz w:val="16"/>
                <w:szCs w:val="18"/>
              </w:rPr>
            </w:pPr>
            <w:r w:rsidRPr="00E02972">
              <w:rPr>
                <w:rFonts w:cs="Arial"/>
                <w:sz w:val="16"/>
                <w:szCs w:val="18"/>
              </w:rPr>
              <w:t>Assurances that client will comply with rules and restrictions when using service;</w:t>
            </w:r>
          </w:p>
          <w:p w:rsidR="00DE0071" w:rsidRPr="00E02972" w:rsidRDefault="00DE0071" w:rsidP="00F44B85">
            <w:pPr>
              <w:pStyle w:val="BulletPoint2"/>
              <w:numPr>
                <w:ilvl w:val="0"/>
                <w:numId w:val="19"/>
              </w:numPr>
              <w:jc w:val="both"/>
              <w:rPr>
                <w:rFonts w:cs="Arial"/>
                <w:sz w:val="16"/>
                <w:szCs w:val="18"/>
              </w:rPr>
            </w:pPr>
            <w:r w:rsidRPr="00E02972">
              <w:rPr>
                <w:rFonts w:cs="Arial"/>
                <w:sz w:val="16"/>
                <w:szCs w:val="18"/>
              </w:rPr>
              <w:lastRenderedPageBreak/>
              <w:t>Notice that information will be recorded and retained.</w:t>
            </w:r>
          </w:p>
        </w:tc>
        <w:tc>
          <w:tcPr>
            <w:tcW w:w="625" w:type="pct"/>
            <w:tcBorders>
              <w:top w:val="single" w:sz="4" w:space="0" w:color="auto"/>
              <w:left w:val="single" w:sz="4" w:space="0" w:color="auto"/>
              <w:bottom w:val="single" w:sz="4" w:space="0" w:color="auto"/>
              <w:right w:val="single" w:sz="4" w:space="0" w:color="auto"/>
            </w:tcBorders>
          </w:tcPr>
          <w:p w:rsidR="00DE0071" w:rsidRPr="00E02972" w:rsidRDefault="00DE0071" w:rsidP="00BE24BA">
            <w:pPr>
              <w:pStyle w:val="ssPara1"/>
              <w:numPr>
                <w:ilvl w:val="0"/>
                <w:numId w:val="20"/>
              </w:numPr>
              <w:spacing w:before="240"/>
              <w:jc w:val="left"/>
              <w:rPr>
                <w:rFonts w:cs="Arial"/>
                <w:sz w:val="16"/>
                <w:szCs w:val="18"/>
              </w:rPr>
            </w:pPr>
            <w:r w:rsidRPr="00E02972">
              <w:rPr>
                <w:rFonts w:cs="Arial"/>
                <w:sz w:val="16"/>
                <w:szCs w:val="18"/>
              </w:rPr>
              <w:lastRenderedPageBreak/>
              <w:t>Direct Market Access Agreements.</w:t>
            </w:r>
          </w:p>
          <w:p w:rsidR="00DE0071" w:rsidRPr="00E02972" w:rsidRDefault="00DE0071" w:rsidP="00BE24BA">
            <w:pPr>
              <w:pStyle w:val="ssPara1"/>
              <w:numPr>
                <w:ilvl w:val="0"/>
                <w:numId w:val="20"/>
              </w:numPr>
              <w:spacing w:before="240"/>
              <w:jc w:val="left"/>
              <w:rPr>
                <w:rFonts w:cs="Arial"/>
                <w:sz w:val="16"/>
                <w:szCs w:val="18"/>
              </w:rPr>
            </w:pPr>
            <w:r w:rsidRPr="00E02972">
              <w:rPr>
                <w:rFonts w:cs="Arial"/>
                <w:sz w:val="16"/>
                <w:szCs w:val="18"/>
              </w:rPr>
              <w:t xml:space="preserve">Due diligence/fact find questionnaire. </w:t>
            </w:r>
          </w:p>
          <w:p w:rsidR="00DE0071" w:rsidRPr="00E02972" w:rsidRDefault="00DE0071" w:rsidP="00BE24BA">
            <w:pPr>
              <w:pStyle w:val="ssPara1"/>
              <w:numPr>
                <w:ilvl w:val="0"/>
                <w:numId w:val="20"/>
              </w:numPr>
              <w:spacing w:before="240"/>
              <w:jc w:val="left"/>
              <w:rPr>
                <w:rFonts w:cs="Arial"/>
                <w:sz w:val="16"/>
                <w:szCs w:val="18"/>
              </w:rPr>
            </w:pPr>
            <w:r w:rsidRPr="00E02972">
              <w:rPr>
                <w:rFonts w:cs="Arial"/>
                <w:sz w:val="16"/>
                <w:szCs w:val="18"/>
              </w:rPr>
              <w:t>Trading terms.</w:t>
            </w:r>
          </w:p>
          <w:p w:rsidR="00DE0071" w:rsidRPr="00E02972" w:rsidRDefault="00DE0071" w:rsidP="00BE24BA">
            <w:pPr>
              <w:pStyle w:val="ssPara1"/>
              <w:numPr>
                <w:ilvl w:val="0"/>
                <w:numId w:val="20"/>
              </w:numPr>
              <w:spacing w:before="240"/>
              <w:jc w:val="left"/>
              <w:rPr>
                <w:rFonts w:cs="Arial"/>
                <w:sz w:val="16"/>
                <w:szCs w:val="18"/>
              </w:rPr>
            </w:pPr>
            <w:r w:rsidRPr="00E02972">
              <w:rPr>
                <w:rFonts w:cs="Arial"/>
                <w:sz w:val="16"/>
                <w:szCs w:val="18"/>
              </w:rPr>
              <w:lastRenderedPageBreak/>
              <w:t xml:space="preserve">Brokerage Agreements. </w:t>
            </w:r>
          </w:p>
        </w:tc>
        <w:tc>
          <w:tcPr>
            <w:tcW w:w="416" w:type="pct"/>
            <w:tcBorders>
              <w:top w:val="single" w:sz="4" w:space="0" w:color="auto"/>
              <w:left w:val="single" w:sz="4" w:space="0" w:color="auto"/>
              <w:bottom w:val="single" w:sz="4" w:space="0" w:color="auto"/>
              <w:right w:val="single" w:sz="4" w:space="0" w:color="auto"/>
            </w:tcBorders>
          </w:tcPr>
          <w:p w:rsidR="00DE0071" w:rsidRPr="00E02972" w:rsidRDefault="00DE0071" w:rsidP="00F44B85">
            <w:pPr>
              <w:pStyle w:val="ssPara1"/>
              <w:spacing w:before="240"/>
              <w:ind w:left="360"/>
              <w:rPr>
                <w:rFonts w:cs="Arial"/>
                <w:sz w:val="16"/>
                <w:szCs w:val="18"/>
              </w:rPr>
            </w:pPr>
          </w:p>
        </w:tc>
      </w:tr>
      <w:tr w:rsidR="00EE7BE6" w:rsidRPr="00E02972" w:rsidTr="00F44B85">
        <w:tc>
          <w:tcPr>
            <w:tcW w:w="455" w:type="pct"/>
            <w:tcBorders>
              <w:top w:val="single" w:sz="4" w:space="0" w:color="auto"/>
              <w:left w:val="single" w:sz="4" w:space="0" w:color="auto"/>
              <w:bottom w:val="single" w:sz="4" w:space="0" w:color="auto"/>
              <w:right w:val="single" w:sz="4" w:space="0" w:color="auto"/>
            </w:tcBorders>
            <w:shd w:val="clear" w:color="auto" w:fill="69889A"/>
          </w:tcPr>
          <w:p w:rsidR="00EE7BE6" w:rsidRPr="00E02972" w:rsidRDefault="00EE7BE6" w:rsidP="006E3A87">
            <w:pPr>
              <w:spacing w:before="120" w:after="120"/>
              <w:jc w:val="left"/>
              <w:rPr>
                <w:rFonts w:eastAsia="Times New Roman" w:cs="Arial"/>
                <w:b/>
                <w:bCs/>
                <w:color w:val="FFFFFF" w:themeColor="background1"/>
                <w:sz w:val="16"/>
                <w:szCs w:val="18"/>
                <w:lang w:eastAsia="en-GB"/>
              </w:rPr>
            </w:pPr>
            <w:r w:rsidRPr="00E02972">
              <w:rPr>
                <w:rFonts w:eastAsia="Times New Roman" w:cs="Arial"/>
                <w:b/>
                <w:bCs/>
                <w:color w:val="FFFFFF" w:themeColor="background1"/>
                <w:sz w:val="16"/>
                <w:szCs w:val="18"/>
                <w:lang w:eastAsia="en-GB"/>
              </w:rPr>
              <w:t>MTF/OTF- ORGANISATIONAL REQUIREMENTS</w:t>
            </w:r>
          </w:p>
        </w:tc>
        <w:tc>
          <w:tcPr>
            <w:tcW w:w="374" w:type="pct"/>
            <w:tcBorders>
              <w:top w:val="single" w:sz="4" w:space="0" w:color="auto"/>
              <w:left w:val="single" w:sz="4" w:space="0" w:color="auto"/>
              <w:bottom w:val="single" w:sz="4" w:space="0" w:color="auto"/>
              <w:right w:val="single" w:sz="4" w:space="0" w:color="auto"/>
            </w:tcBorders>
          </w:tcPr>
          <w:p w:rsidR="00EE7BE6" w:rsidRPr="00E02972" w:rsidRDefault="006C2CF1" w:rsidP="005973D1">
            <w:pPr>
              <w:spacing w:before="120" w:after="120"/>
              <w:jc w:val="left"/>
              <w:rPr>
                <w:rFonts w:eastAsia="Times New Roman" w:cs="Arial"/>
                <w:sz w:val="16"/>
                <w:szCs w:val="18"/>
              </w:rPr>
            </w:pPr>
            <w:hyperlink r:id="rId195" w:history="1">
              <w:r w:rsidR="00EE7BE6" w:rsidRPr="00E02972">
                <w:rPr>
                  <w:rStyle w:val="Hyperlink"/>
                  <w:rFonts w:cs="Arial"/>
                  <w:sz w:val="16"/>
                  <w:szCs w:val="18"/>
                </w:rPr>
                <w:t>D</w:t>
              </w:r>
            </w:hyperlink>
            <w:r w:rsidR="00EE7BE6" w:rsidRPr="00E02972">
              <w:rPr>
                <w:rFonts w:cs="Arial"/>
                <w:sz w:val="16"/>
                <w:szCs w:val="18"/>
              </w:rPr>
              <w:t xml:space="preserve"> </w:t>
            </w:r>
            <w:r w:rsidR="00EE7BE6" w:rsidRPr="00E02972">
              <w:rPr>
                <w:rFonts w:eastAsia="Times New Roman" w:cs="Arial"/>
                <w:sz w:val="16"/>
                <w:szCs w:val="18"/>
              </w:rPr>
              <w:t xml:space="preserve"> Art 18</w:t>
            </w:r>
          </w:p>
          <w:p w:rsidR="00EE7BE6" w:rsidRPr="00E02972" w:rsidRDefault="00EE7BE6" w:rsidP="005973D1">
            <w:pPr>
              <w:spacing w:before="120" w:after="120"/>
              <w:jc w:val="left"/>
              <w:rPr>
                <w:rStyle w:val="Hyperlink"/>
                <w:rFonts w:eastAsia="Times New Roman" w:cs="Arial"/>
                <w:sz w:val="16"/>
                <w:szCs w:val="18"/>
              </w:rPr>
            </w:pPr>
            <w:r w:rsidRPr="00E02972">
              <w:rPr>
                <w:rFonts w:eastAsia="Times New Roman" w:cs="Arial"/>
                <w:sz w:val="16"/>
                <w:szCs w:val="18"/>
              </w:rPr>
              <w:t>L2:(</w:t>
            </w:r>
            <w:hyperlink r:id="rId196" w:history="1">
              <w:hyperlink r:id="rId197" w:history="1">
                <w:r w:rsidRPr="00E02972">
                  <w:rPr>
                    <w:rStyle w:val="Hyperlink"/>
                    <w:rFonts w:cs="Arial"/>
                    <w:sz w:val="16"/>
                    <w:szCs w:val="18"/>
                  </w:rPr>
                  <w:t>CP2</w:t>
                </w:r>
              </w:hyperlink>
            </w:hyperlink>
            <w:r w:rsidRPr="00E02972">
              <w:rPr>
                <w:rFonts w:cs="Arial"/>
                <w:sz w:val="16"/>
                <w:szCs w:val="18"/>
              </w:rPr>
              <w:t xml:space="preserve">, </w:t>
            </w:r>
            <w:hyperlink r:id="rId198" w:history="1">
              <w:hyperlink r:id="rId199" w:history="1">
                <w:r w:rsidRPr="00E02972">
                  <w:rPr>
                    <w:rStyle w:val="Hyperlink"/>
                    <w:rFonts w:cs="Arial"/>
                    <w:sz w:val="16"/>
                    <w:szCs w:val="18"/>
                  </w:rPr>
                  <w:t>FR3</w:t>
                </w:r>
              </w:hyperlink>
              <w:r w:rsidRPr="00E02972">
                <w:rPr>
                  <w:rStyle w:val="Hyperlink"/>
                  <w:rFonts w:cs="Arial"/>
                  <w:b/>
                  <w:sz w:val="16"/>
                  <w:szCs w:val="18"/>
                </w:rPr>
                <w:t xml:space="preserve"> </w:t>
              </w:r>
            </w:hyperlink>
            <w:r w:rsidRPr="00E02972">
              <w:rPr>
                <w:rStyle w:val="Hyperlink"/>
                <w:rFonts w:eastAsia="Times New Roman" w:cs="Arial"/>
                <w:sz w:val="16"/>
                <w:szCs w:val="18"/>
              </w:rPr>
              <w:t xml:space="preserve">) </w:t>
            </w:r>
          </w:p>
          <w:p w:rsidR="00EE7BE6" w:rsidRPr="00E02972" w:rsidRDefault="006C2CF1" w:rsidP="00D925E0">
            <w:pPr>
              <w:pStyle w:val="ListParagraph"/>
              <w:numPr>
                <w:ilvl w:val="0"/>
                <w:numId w:val="26"/>
              </w:numPr>
              <w:spacing w:before="120" w:after="120" w:line="240" w:lineRule="auto"/>
              <w:rPr>
                <w:rFonts w:ascii="Arial" w:hAnsi="Arial" w:cs="Arial"/>
                <w:b/>
                <w:color w:val="7030A0"/>
                <w:sz w:val="16"/>
                <w:szCs w:val="18"/>
              </w:rPr>
            </w:pPr>
            <w:hyperlink r:id="rId200" w:history="1">
              <w:r w:rsidR="00EE7BE6" w:rsidRPr="00E02972">
                <w:rPr>
                  <w:rStyle w:val="Hyperlink"/>
                  <w:rFonts w:ascii="Arial" w:hAnsi="Arial" w:cs="Arial"/>
                  <w:color w:val="7030A0"/>
                  <w:sz w:val="16"/>
                  <w:szCs w:val="18"/>
                </w:rPr>
                <w:t>Final ITS</w:t>
              </w:r>
            </w:hyperlink>
            <w:r w:rsidR="00EE7BE6" w:rsidRPr="00E02972">
              <w:rPr>
                <w:rFonts w:ascii="Arial" w:hAnsi="Arial" w:cs="Arial"/>
                <w:color w:val="7030A0"/>
                <w:sz w:val="16"/>
                <w:szCs w:val="18"/>
              </w:rPr>
              <w:t xml:space="preserve"> </w:t>
            </w:r>
            <w:r w:rsidR="00EE7BE6" w:rsidRPr="00E02972">
              <w:rPr>
                <w:rFonts w:ascii="Arial" w:hAnsi="Arial" w:cs="Arial"/>
                <w:b/>
                <w:color w:val="7030A0"/>
                <w:sz w:val="16"/>
                <w:szCs w:val="18"/>
              </w:rPr>
              <w:t>(IR1) published in OJ 25 May 2016</w:t>
            </w:r>
          </w:p>
          <w:p w:rsidR="00EE7BE6" w:rsidRPr="00E02972" w:rsidRDefault="00EE7BE6" w:rsidP="005973D1">
            <w:pPr>
              <w:spacing w:before="120" w:after="120"/>
              <w:jc w:val="left"/>
              <w:rPr>
                <w:rStyle w:val="Hyperlink"/>
                <w:rFonts w:cs="Arial"/>
                <w:b/>
                <w:sz w:val="16"/>
                <w:szCs w:val="18"/>
              </w:rPr>
            </w:pPr>
            <w:r w:rsidRPr="00E02972">
              <w:rPr>
                <w:rStyle w:val="Hyperlink"/>
                <w:rFonts w:cs="Arial"/>
                <w:sz w:val="16"/>
                <w:szCs w:val="18"/>
              </w:rPr>
              <w:t xml:space="preserve">L3: </w:t>
            </w:r>
          </w:p>
          <w:p w:rsidR="00EE7BE6" w:rsidRPr="00E02972" w:rsidRDefault="006C2CF1" w:rsidP="00D925E0">
            <w:pPr>
              <w:pStyle w:val="ListParagraph"/>
              <w:numPr>
                <w:ilvl w:val="0"/>
                <w:numId w:val="26"/>
              </w:numPr>
              <w:spacing w:before="120" w:after="120" w:line="240" w:lineRule="auto"/>
              <w:rPr>
                <w:rFonts w:ascii="Arial" w:eastAsia="Times New Roman" w:hAnsi="Arial" w:cs="Arial"/>
                <w:b/>
                <w:color w:val="69889A"/>
                <w:sz w:val="16"/>
                <w:szCs w:val="18"/>
                <w:u w:val="single"/>
              </w:rPr>
            </w:pPr>
            <w:hyperlink r:id="rId201" w:history="1">
              <w:r w:rsidR="00EE7BE6" w:rsidRPr="00E02972">
                <w:rPr>
                  <w:rStyle w:val="Hyperlink"/>
                  <w:rFonts w:ascii="Arial" w:hAnsi="Arial" w:cs="Arial"/>
                  <w:color w:val="0000FF"/>
                  <w:sz w:val="16"/>
                  <w:szCs w:val="18"/>
                </w:rPr>
                <w:t>Market Structure Q&amp;A</w:t>
              </w:r>
            </w:hyperlink>
          </w:p>
        </w:tc>
        <w:tc>
          <w:tcPr>
            <w:tcW w:w="1213" w:type="pct"/>
            <w:tcBorders>
              <w:top w:val="single" w:sz="4" w:space="0" w:color="auto"/>
              <w:left w:val="single" w:sz="4" w:space="0" w:color="auto"/>
              <w:bottom w:val="single" w:sz="4" w:space="0" w:color="auto"/>
              <w:right w:val="single" w:sz="4" w:space="0" w:color="auto"/>
            </w:tcBorders>
          </w:tcPr>
          <w:p w:rsidR="00EE7BE6" w:rsidRPr="00E02972" w:rsidRDefault="00EE7BE6" w:rsidP="00F44B85">
            <w:pPr>
              <w:pStyle w:val="BodyParagraphText"/>
              <w:jc w:val="both"/>
              <w:rPr>
                <w:rFonts w:cs="Arial"/>
                <w:sz w:val="16"/>
                <w:szCs w:val="18"/>
              </w:rPr>
            </w:pPr>
            <w:r w:rsidRPr="00E02972">
              <w:rPr>
                <w:rFonts w:cs="Arial"/>
                <w:sz w:val="16"/>
                <w:szCs w:val="18"/>
              </w:rPr>
              <w:t>Organisational requirements (additional to Article 16of MiFID2) which include:</w:t>
            </w:r>
          </w:p>
          <w:p w:rsidR="00EE7BE6" w:rsidRPr="00E02972" w:rsidRDefault="00EE7BE6" w:rsidP="00F44B85">
            <w:pPr>
              <w:pStyle w:val="BulletPoint1"/>
              <w:numPr>
                <w:ilvl w:val="0"/>
                <w:numId w:val="20"/>
              </w:numPr>
              <w:tabs>
                <w:tab w:val="clear" w:pos="684"/>
                <w:tab w:val="left" w:pos="402"/>
              </w:tabs>
              <w:ind w:left="402" w:hanging="284"/>
              <w:jc w:val="both"/>
              <w:rPr>
                <w:rFonts w:cs="Arial"/>
                <w:sz w:val="16"/>
                <w:szCs w:val="18"/>
              </w:rPr>
            </w:pPr>
            <w:r w:rsidRPr="00E02972">
              <w:rPr>
                <w:rFonts w:cs="Arial"/>
                <w:sz w:val="16"/>
                <w:szCs w:val="18"/>
              </w:rPr>
              <w:t>establish transparent rules regarding the criteria for determining financial instruments that can be traded;</w:t>
            </w:r>
          </w:p>
          <w:p w:rsidR="00EE7BE6" w:rsidRPr="00E02972" w:rsidRDefault="00EE7BE6" w:rsidP="00F44B85">
            <w:pPr>
              <w:pStyle w:val="BulletPoint1"/>
              <w:numPr>
                <w:ilvl w:val="0"/>
                <w:numId w:val="20"/>
              </w:numPr>
              <w:tabs>
                <w:tab w:val="clear" w:pos="684"/>
                <w:tab w:val="left" w:pos="402"/>
              </w:tabs>
              <w:ind w:left="402" w:hanging="284"/>
              <w:jc w:val="both"/>
              <w:rPr>
                <w:rFonts w:cs="Arial"/>
                <w:sz w:val="16"/>
                <w:szCs w:val="18"/>
              </w:rPr>
            </w:pPr>
            <w:r w:rsidRPr="00E02972">
              <w:rPr>
                <w:rFonts w:cs="Arial"/>
                <w:sz w:val="16"/>
                <w:szCs w:val="18"/>
              </w:rPr>
              <w:t>establish, publish and maintain and implement transparent and non-discretionary rules, governing access to their facility;</w:t>
            </w:r>
          </w:p>
          <w:p w:rsidR="00EE7BE6" w:rsidRPr="00E02972" w:rsidRDefault="00EE7BE6" w:rsidP="00F44B85">
            <w:pPr>
              <w:pStyle w:val="BulletPoint1"/>
              <w:numPr>
                <w:ilvl w:val="0"/>
                <w:numId w:val="20"/>
              </w:numPr>
              <w:tabs>
                <w:tab w:val="clear" w:pos="684"/>
                <w:tab w:val="left" w:pos="402"/>
              </w:tabs>
              <w:ind w:left="402" w:hanging="284"/>
              <w:jc w:val="both"/>
              <w:rPr>
                <w:rFonts w:cs="Arial"/>
                <w:sz w:val="16"/>
                <w:szCs w:val="18"/>
              </w:rPr>
            </w:pPr>
            <w:r w:rsidRPr="00E02972">
              <w:rPr>
                <w:rFonts w:cs="Arial"/>
                <w:sz w:val="16"/>
                <w:szCs w:val="18"/>
              </w:rPr>
              <w:t>have arrangements to identify and manage adverse consequences of the operation of the facility or for members any conflict of interest;</w:t>
            </w:r>
          </w:p>
          <w:p w:rsidR="00EE7BE6" w:rsidRPr="00E02972" w:rsidRDefault="00EE7BE6" w:rsidP="00F44B85">
            <w:pPr>
              <w:pStyle w:val="BulletPoint1"/>
              <w:numPr>
                <w:ilvl w:val="0"/>
                <w:numId w:val="20"/>
              </w:numPr>
              <w:tabs>
                <w:tab w:val="clear" w:pos="684"/>
                <w:tab w:val="left" w:pos="402"/>
              </w:tabs>
              <w:ind w:left="402" w:hanging="284"/>
              <w:jc w:val="both"/>
              <w:rPr>
                <w:rFonts w:cs="Arial"/>
                <w:sz w:val="16"/>
                <w:szCs w:val="18"/>
              </w:rPr>
            </w:pPr>
            <w:r w:rsidRPr="00E02972">
              <w:rPr>
                <w:rFonts w:cs="Arial"/>
                <w:sz w:val="16"/>
                <w:szCs w:val="18"/>
              </w:rPr>
              <w:t>clearly inform members of their responsibilities with respect to settlement and to have in place arrangements in place to facilitate effective settlement;</w:t>
            </w:r>
          </w:p>
          <w:p w:rsidR="00EE7BE6" w:rsidRPr="00E02972" w:rsidRDefault="00EE7BE6" w:rsidP="00F44B85">
            <w:pPr>
              <w:pStyle w:val="BulletPoint1"/>
              <w:numPr>
                <w:ilvl w:val="0"/>
                <w:numId w:val="20"/>
              </w:numPr>
              <w:tabs>
                <w:tab w:val="clear" w:pos="684"/>
                <w:tab w:val="left" w:pos="402"/>
              </w:tabs>
              <w:ind w:left="402" w:hanging="284"/>
              <w:jc w:val="both"/>
              <w:rPr>
                <w:rFonts w:cs="Arial"/>
                <w:sz w:val="16"/>
                <w:szCs w:val="18"/>
              </w:rPr>
            </w:pPr>
            <w:r w:rsidRPr="00E02972">
              <w:rPr>
                <w:rFonts w:cs="Arial"/>
                <w:sz w:val="16"/>
                <w:szCs w:val="18"/>
              </w:rPr>
              <w:t>ensure they have at least 3 active members to ensure market price formation;</w:t>
            </w:r>
          </w:p>
          <w:p w:rsidR="00EE7BE6" w:rsidRPr="00E02972" w:rsidRDefault="00EE7BE6" w:rsidP="00F44B85">
            <w:pPr>
              <w:pStyle w:val="BulletPoint1"/>
              <w:numPr>
                <w:ilvl w:val="0"/>
                <w:numId w:val="20"/>
              </w:numPr>
              <w:tabs>
                <w:tab w:val="clear" w:pos="684"/>
                <w:tab w:val="left" w:pos="402"/>
              </w:tabs>
              <w:ind w:left="402" w:hanging="284"/>
              <w:jc w:val="both"/>
              <w:rPr>
                <w:rFonts w:cs="Arial"/>
                <w:sz w:val="16"/>
                <w:szCs w:val="18"/>
              </w:rPr>
            </w:pPr>
            <w:r w:rsidRPr="00E02972">
              <w:rPr>
                <w:rFonts w:cs="Arial"/>
                <w:sz w:val="16"/>
                <w:szCs w:val="18"/>
              </w:rPr>
              <w:t xml:space="preserve">comply with any instruction for the removal or suspension of a financial instrument from trading; </w:t>
            </w:r>
          </w:p>
          <w:p w:rsidR="00EE7BE6" w:rsidRPr="00E02972" w:rsidRDefault="00EE7BE6" w:rsidP="00F44B85">
            <w:pPr>
              <w:pStyle w:val="BulletPoint1"/>
              <w:numPr>
                <w:ilvl w:val="0"/>
                <w:numId w:val="20"/>
              </w:numPr>
              <w:tabs>
                <w:tab w:val="clear" w:pos="684"/>
                <w:tab w:val="left" w:pos="402"/>
              </w:tabs>
              <w:ind w:left="402" w:hanging="284"/>
              <w:jc w:val="both"/>
              <w:rPr>
                <w:rFonts w:cs="Arial"/>
                <w:sz w:val="16"/>
                <w:szCs w:val="18"/>
              </w:rPr>
            </w:pPr>
            <w:r w:rsidRPr="00E02972">
              <w:rPr>
                <w:rFonts w:cs="Arial"/>
                <w:sz w:val="16"/>
                <w:szCs w:val="18"/>
              </w:rPr>
              <w:t>make available to ESMA on request a list of members.</w:t>
            </w:r>
          </w:p>
          <w:p w:rsidR="00EE7BE6" w:rsidRPr="00E02972" w:rsidRDefault="00EE7BE6" w:rsidP="00F44B85">
            <w:pPr>
              <w:pStyle w:val="BulletPoint1"/>
              <w:numPr>
                <w:ilvl w:val="0"/>
                <w:numId w:val="20"/>
              </w:numPr>
              <w:tabs>
                <w:tab w:val="clear" w:pos="684"/>
                <w:tab w:val="left" w:pos="402"/>
              </w:tabs>
              <w:ind w:left="402" w:hanging="284"/>
              <w:jc w:val="both"/>
              <w:rPr>
                <w:rFonts w:cs="Arial"/>
                <w:sz w:val="16"/>
                <w:szCs w:val="18"/>
              </w:rPr>
            </w:pPr>
            <w:r w:rsidRPr="00E02972">
              <w:rPr>
                <w:rFonts w:cs="Arial"/>
                <w:sz w:val="16"/>
                <w:szCs w:val="18"/>
              </w:rPr>
              <w:t xml:space="preserve">(See </w:t>
            </w:r>
            <w:hyperlink r:id="rId202" w:history="1">
              <w:r w:rsidRPr="00E02972">
                <w:rPr>
                  <w:rStyle w:val="Hyperlink"/>
                  <w:rFonts w:cs="Arial"/>
                  <w:sz w:val="16"/>
                  <w:szCs w:val="18"/>
                </w:rPr>
                <w:t>Market Structure Q&amp;A</w:t>
              </w:r>
            </w:hyperlink>
            <w:r w:rsidRPr="00E02972">
              <w:rPr>
                <w:rStyle w:val="Hyperlink"/>
                <w:rFonts w:cs="Arial"/>
                <w:sz w:val="16"/>
                <w:szCs w:val="18"/>
              </w:rPr>
              <w:t xml:space="preserve"> </w:t>
            </w:r>
            <w:r w:rsidRPr="00E02972">
              <w:rPr>
                <w:rFonts w:cs="Arial"/>
                <w:sz w:val="16"/>
                <w:szCs w:val="18"/>
              </w:rPr>
              <w:t>for guidance on when a MTF operator can also be a member of its own MTF).</w:t>
            </w:r>
          </w:p>
        </w:tc>
        <w:tc>
          <w:tcPr>
            <w:tcW w:w="306" w:type="pct"/>
            <w:tcBorders>
              <w:top w:val="single" w:sz="4" w:space="0" w:color="auto"/>
              <w:left w:val="single" w:sz="4" w:space="0" w:color="auto"/>
              <w:bottom w:val="single" w:sz="4" w:space="0" w:color="auto"/>
              <w:right w:val="single" w:sz="4" w:space="0" w:color="auto"/>
            </w:tcBorders>
          </w:tcPr>
          <w:p w:rsidR="00EE7BE6" w:rsidRPr="00E02972" w:rsidRDefault="00EE7BE6" w:rsidP="00F44B85">
            <w:pPr>
              <w:pStyle w:val="BodyParagraphText"/>
              <w:spacing w:line="240" w:lineRule="auto"/>
              <w:jc w:val="both"/>
              <w:rPr>
                <w:rFonts w:cs="Arial"/>
                <w:sz w:val="16"/>
                <w:szCs w:val="18"/>
              </w:rPr>
            </w:pPr>
            <w:r w:rsidRPr="00E02972">
              <w:rPr>
                <w:rFonts w:cs="Arial"/>
                <w:sz w:val="16"/>
                <w:szCs w:val="18"/>
              </w:rPr>
              <w:t>R</w:t>
            </w:r>
            <w:r w:rsidRPr="00E02972">
              <w:rPr>
                <w:rFonts w:cs="Arial"/>
                <w:sz w:val="16"/>
                <w:szCs w:val="18"/>
              </w:rPr>
              <w:br/>
              <w:t>EP</w:t>
            </w:r>
            <w:r w:rsidRPr="00E02972">
              <w:rPr>
                <w:rFonts w:cs="Arial"/>
                <w:sz w:val="16"/>
                <w:szCs w:val="18"/>
              </w:rPr>
              <w:br/>
              <w:t>PSP</w:t>
            </w:r>
            <w:r w:rsidRPr="00E02972">
              <w:rPr>
                <w:rFonts w:cs="Arial"/>
                <w:sz w:val="16"/>
                <w:szCs w:val="18"/>
              </w:rPr>
              <w:br/>
              <w:t>ECP</w:t>
            </w:r>
          </w:p>
        </w:tc>
        <w:tc>
          <w:tcPr>
            <w:tcW w:w="1611" w:type="pct"/>
            <w:tcBorders>
              <w:top w:val="single" w:sz="4" w:space="0" w:color="auto"/>
              <w:left w:val="single" w:sz="4" w:space="0" w:color="auto"/>
              <w:bottom w:val="single" w:sz="4" w:space="0" w:color="auto"/>
              <w:right w:val="single" w:sz="4" w:space="0" w:color="auto"/>
            </w:tcBorders>
          </w:tcPr>
          <w:p w:rsidR="00EE7BE6" w:rsidRPr="00E02972" w:rsidRDefault="00EE7BE6" w:rsidP="00F44B85">
            <w:pPr>
              <w:pStyle w:val="BulletPoint1"/>
              <w:numPr>
                <w:ilvl w:val="0"/>
                <w:numId w:val="9"/>
              </w:numPr>
              <w:tabs>
                <w:tab w:val="clear" w:pos="684"/>
              </w:tabs>
              <w:jc w:val="both"/>
              <w:rPr>
                <w:rFonts w:cs="Arial"/>
                <w:sz w:val="16"/>
                <w:szCs w:val="18"/>
              </w:rPr>
            </w:pPr>
            <w:r w:rsidRPr="00E02972">
              <w:rPr>
                <w:rFonts w:cs="Arial"/>
                <w:sz w:val="16"/>
                <w:szCs w:val="18"/>
              </w:rPr>
              <w:t>Review and/or amend agreements with trading members to ensure that they are fully informed of their obligations and responsibilities.</w:t>
            </w:r>
          </w:p>
        </w:tc>
        <w:tc>
          <w:tcPr>
            <w:tcW w:w="625" w:type="pct"/>
            <w:tcBorders>
              <w:top w:val="single" w:sz="4" w:space="0" w:color="auto"/>
              <w:left w:val="single" w:sz="4" w:space="0" w:color="auto"/>
              <w:bottom w:val="single" w:sz="4" w:space="0" w:color="auto"/>
              <w:right w:val="single" w:sz="4" w:space="0" w:color="auto"/>
            </w:tcBorders>
          </w:tcPr>
          <w:p w:rsidR="00F44B85" w:rsidRPr="00E02972" w:rsidRDefault="00F44B85" w:rsidP="00F44B85">
            <w:pPr>
              <w:pStyle w:val="BulletPoint1"/>
              <w:numPr>
                <w:ilvl w:val="0"/>
                <w:numId w:val="9"/>
              </w:numPr>
              <w:rPr>
                <w:rFonts w:cs="Arial"/>
                <w:sz w:val="16"/>
                <w:szCs w:val="18"/>
              </w:rPr>
            </w:pPr>
            <w:r w:rsidRPr="00E02972">
              <w:rPr>
                <w:rFonts w:cs="Arial"/>
                <w:sz w:val="16"/>
                <w:szCs w:val="18"/>
              </w:rPr>
              <w:t xml:space="preserve">Customer/Member Terms of Business. </w:t>
            </w:r>
          </w:p>
          <w:p w:rsidR="0000353D" w:rsidRPr="00E02972" w:rsidRDefault="0000353D" w:rsidP="00F44B85">
            <w:pPr>
              <w:pStyle w:val="BulletPoint1"/>
              <w:numPr>
                <w:ilvl w:val="0"/>
                <w:numId w:val="9"/>
              </w:numPr>
              <w:rPr>
                <w:rFonts w:cs="Arial"/>
                <w:sz w:val="16"/>
                <w:szCs w:val="18"/>
              </w:rPr>
            </w:pPr>
            <w:r w:rsidRPr="00E02972">
              <w:rPr>
                <w:rFonts w:cs="Arial"/>
                <w:sz w:val="16"/>
                <w:szCs w:val="18"/>
              </w:rPr>
              <w:t xml:space="preserve">User terms. </w:t>
            </w:r>
          </w:p>
          <w:p w:rsidR="00F44B85" w:rsidRPr="00E02972" w:rsidRDefault="00F44B85" w:rsidP="00F44B85">
            <w:pPr>
              <w:pStyle w:val="BulletPoint1"/>
              <w:numPr>
                <w:ilvl w:val="0"/>
                <w:numId w:val="9"/>
              </w:numPr>
              <w:rPr>
                <w:rFonts w:cs="Arial"/>
                <w:sz w:val="16"/>
                <w:szCs w:val="18"/>
              </w:rPr>
            </w:pPr>
            <w:r w:rsidRPr="00E02972">
              <w:rPr>
                <w:rFonts w:cs="Arial"/>
                <w:sz w:val="16"/>
                <w:szCs w:val="18"/>
              </w:rPr>
              <w:t>Trading Terms.</w:t>
            </w:r>
          </w:p>
          <w:p w:rsidR="00EE7BE6" w:rsidRPr="00E02972" w:rsidRDefault="00F44B85" w:rsidP="00F44B85">
            <w:pPr>
              <w:pStyle w:val="BulletPoint1"/>
              <w:numPr>
                <w:ilvl w:val="0"/>
                <w:numId w:val="9"/>
              </w:numPr>
              <w:rPr>
                <w:rFonts w:cs="Arial"/>
                <w:sz w:val="16"/>
                <w:szCs w:val="18"/>
              </w:rPr>
            </w:pPr>
            <w:r w:rsidRPr="00E02972">
              <w:rPr>
                <w:rFonts w:cs="Arial"/>
                <w:sz w:val="16"/>
                <w:szCs w:val="18"/>
              </w:rPr>
              <w:t xml:space="preserve">Trading Agreements. </w:t>
            </w:r>
          </w:p>
          <w:p w:rsidR="00EE7BE6" w:rsidRPr="00E02972" w:rsidRDefault="00EE7BE6" w:rsidP="00EE7BE6">
            <w:pPr>
              <w:pStyle w:val="ssPara1"/>
              <w:spacing w:before="240"/>
              <w:ind w:left="502"/>
              <w:jc w:val="left"/>
              <w:rPr>
                <w:rFonts w:cs="Arial"/>
                <w:sz w:val="16"/>
                <w:szCs w:val="18"/>
              </w:rPr>
            </w:pPr>
          </w:p>
        </w:tc>
        <w:tc>
          <w:tcPr>
            <w:tcW w:w="416" w:type="pct"/>
            <w:tcBorders>
              <w:top w:val="single" w:sz="4" w:space="0" w:color="auto"/>
              <w:left w:val="single" w:sz="4" w:space="0" w:color="auto"/>
              <w:bottom w:val="single" w:sz="4" w:space="0" w:color="auto"/>
              <w:right w:val="single" w:sz="4" w:space="0" w:color="auto"/>
            </w:tcBorders>
          </w:tcPr>
          <w:p w:rsidR="00EE7BE6" w:rsidRPr="00E02972" w:rsidRDefault="00EE7BE6" w:rsidP="00F44B85">
            <w:pPr>
              <w:pStyle w:val="ssPara1"/>
              <w:spacing w:before="240"/>
              <w:ind w:left="360"/>
              <w:rPr>
                <w:rFonts w:cs="Arial"/>
                <w:sz w:val="16"/>
                <w:szCs w:val="18"/>
              </w:rPr>
            </w:pPr>
          </w:p>
        </w:tc>
      </w:tr>
      <w:tr w:rsidR="00DE0071" w:rsidRPr="00C526AC" w:rsidTr="00F44B85">
        <w:tc>
          <w:tcPr>
            <w:tcW w:w="455" w:type="pct"/>
            <w:tcBorders>
              <w:top w:val="single" w:sz="4" w:space="0" w:color="auto"/>
              <w:left w:val="single" w:sz="4" w:space="0" w:color="auto"/>
              <w:bottom w:val="single" w:sz="4" w:space="0" w:color="auto"/>
              <w:right w:val="single" w:sz="4" w:space="0" w:color="auto"/>
            </w:tcBorders>
            <w:shd w:val="clear" w:color="auto" w:fill="69889A"/>
          </w:tcPr>
          <w:p w:rsidR="00DE0071" w:rsidRPr="00E02972" w:rsidRDefault="00DE0071" w:rsidP="006E3A87">
            <w:pPr>
              <w:spacing w:before="120" w:after="120"/>
              <w:jc w:val="left"/>
              <w:rPr>
                <w:rFonts w:eastAsia="Times New Roman" w:cs="Arial"/>
                <w:b/>
                <w:bCs/>
                <w:color w:val="FFFFFF" w:themeColor="background1"/>
                <w:sz w:val="16"/>
                <w:szCs w:val="18"/>
                <w:lang w:eastAsia="en-GB"/>
              </w:rPr>
            </w:pPr>
            <w:r w:rsidRPr="00E02972">
              <w:rPr>
                <w:rFonts w:eastAsia="Times New Roman" w:cs="Arial"/>
                <w:b/>
                <w:bCs/>
                <w:color w:val="FFFFFF" w:themeColor="background1"/>
                <w:sz w:val="16"/>
                <w:szCs w:val="18"/>
                <w:lang w:eastAsia="en-GB"/>
              </w:rPr>
              <w:t xml:space="preserve">MTF/OTF- NON-DISCRETIONARY RULES FOR ORDER EXECUTION AND RESTRICTIONS </w:t>
            </w:r>
          </w:p>
        </w:tc>
        <w:tc>
          <w:tcPr>
            <w:tcW w:w="374" w:type="pct"/>
            <w:tcBorders>
              <w:top w:val="single" w:sz="4" w:space="0" w:color="auto"/>
              <w:left w:val="single" w:sz="4" w:space="0" w:color="auto"/>
              <w:bottom w:val="single" w:sz="4" w:space="0" w:color="auto"/>
              <w:right w:val="single" w:sz="4" w:space="0" w:color="auto"/>
            </w:tcBorders>
          </w:tcPr>
          <w:p w:rsidR="00DE0071" w:rsidRPr="00E02972" w:rsidRDefault="006C2CF1" w:rsidP="006E3A87">
            <w:pPr>
              <w:numPr>
                <w:ilvl w:val="0"/>
                <w:numId w:val="2"/>
              </w:numPr>
              <w:spacing w:before="240" w:after="260"/>
              <w:jc w:val="left"/>
              <w:rPr>
                <w:rFonts w:cs="Arial"/>
                <w:sz w:val="16"/>
                <w:szCs w:val="18"/>
              </w:rPr>
            </w:pPr>
            <w:hyperlink r:id="rId203" w:history="1">
              <w:r w:rsidR="00DE0071" w:rsidRPr="00E02972">
                <w:rPr>
                  <w:rStyle w:val="Hyperlink"/>
                  <w:rFonts w:cs="Arial"/>
                  <w:sz w:val="16"/>
                  <w:szCs w:val="18"/>
                </w:rPr>
                <w:t>D</w:t>
              </w:r>
            </w:hyperlink>
            <w:r w:rsidR="00DE0071" w:rsidRPr="00E02972">
              <w:rPr>
                <w:rFonts w:cs="Arial"/>
                <w:sz w:val="16"/>
                <w:szCs w:val="18"/>
              </w:rPr>
              <w:t>: Art 19 &amp; 20</w:t>
            </w:r>
          </w:p>
        </w:tc>
        <w:tc>
          <w:tcPr>
            <w:tcW w:w="1213" w:type="pct"/>
            <w:tcBorders>
              <w:top w:val="single" w:sz="4" w:space="0" w:color="auto"/>
              <w:left w:val="single" w:sz="4" w:space="0" w:color="auto"/>
              <w:bottom w:val="single" w:sz="4" w:space="0" w:color="auto"/>
              <w:right w:val="single" w:sz="4" w:space="0" w:color="auto"/>
            </w:tcBorders>
          </w:tcPr>
          <w:p w:rsidR="00DE0071" w:rsidRPr="00E02972" w:rsidRDefault="00DE0071" w:rsidP="00F44B85">
            <w:pPr>
              <w:pStyle w:val="BodyParagraphText"/>
              <w:jc w:val="both"/>
              <w:rPr>
                <w:rFonts w:cs="Arial"/>
                <w:sz w:val="16"/>
                <w:szCs w:val="18"/>
              </w:rPr>
            </w:pPr>
            <w:r w:rsidRPr="00E02972">
              <w:rPr>
                <w:rFonts w:cs="Arial"/>
                <w:sz w:val="16"/>
                <w:szCs w:val="18"/>
              </w:rPr>
              <w:t>Operators of MTF/OTF required to:</w:t>
            </w:r>
          </w:p>
          <w:p w:rsidR="00DE0071" w:rsidRPr="00E02972" w:rsidRDefault="00DE0071" w:rsidP="00F44B85">
            <w:pPr>
              <w:pStyle w:val="BulletPoint1"/>
              <w:numPr>
                <w:ilvl w:val="0"/>
                <w:numId w:val="9"/>
              </w:numPr>
              <w:tabs>
                <w:tab w:val="clear" w:pos="684"/>
              </w:tabs>
              <w:jc w:val="both"/>
              <w:rPr>
                <w:rFonts w:cs="Arial"/>
                <w:sz w:val="16"/>
                <w:szCs w:val="18"/>
              </w:rPr>
            </w:pPr>
            <w:r w:rsidRPr="00E02972">
              <w:rPr>
                <w:rFonts w:cs="Arial"/>
                <w:sz w:val="16"/>
                <w:szCs w:val="18"/>
              </w:rPr>
              <w:t>Implement and communicate to members non-discretionary rules for execution of orders.</w:t>
            </w:r>
          </w:p>
          <w:p w:rsidR="00DE0071" w:rsidRPr="00E02972" w:rsidRDefault="00DE0071" w:rsidP="00F44B85">
            <w:pPr>
              <w:pStyle w:val="BulletPoint1"/>
              <w:numPr>
                <w:ilvl w:val="0"/>
                <w:numId w:val="9"/>
              </w:numPr>
              <w:tabs>
                <w:tab w:val="clear" w:pos="684"/>
              </w:tabs>
              <w:jc w:val="both"/>
              <w:rPr>
                <w:rFonts w:cs="Arial"/>
                <w:sz w:val="16"/>
                <w:szCs w:val="18"/>
              </w:rPr>
            </w:pPr>
            <w:r w:rsidRPr="00E02972">
              <w:rPr>
                <w:rFonts w:cs="Arial"/>
                <w:sz w:val="16"/>
                <w:szCs w:val="18"/>
              </w:rPr>
              <w:t>Perform due diligence on members to ensure are sufficient good repute, have sufficient level of trading ability, competence and experience, adequate organisational arrangements and sufficient resources for their role.</w:t>
            </w:r>
          </w:p>
          <w:p w:rsidR="00DE0071" w:rsidRPr="00E02972" w:rsidRDefault="00DE0071" w:rsidP="00F44B85">
            <w:pPr>
              <w:pStyle w:val="BulletPoint1"/>
              <w:numPr>
                <w:ilvl w:val="0"/>
                <w:numId w:val="9"/>
              </w:numPr>
              <w:tabs>
                <w:tab w:val="clear" w:pos="684"/>
              </w:tabs>
              <w:jc w:val="both"/>
              <w:rPr>
                <w:rFonts w:cs="Arial"/>
                <w:sz w:val="16"/>
                <w:szCs w:val="18"/>
              </w:rPr>
            </w:pPr>
            <w:r w:rsidRPr="00E02972">
              <w:rPr>
                <w:rFonts w:cs="Arial"/>
                <w:sz w:val="16"/>
                <w:szCs w:val="18"/>
              </w:rPr>
              <w:t>Client consent required to engage in matched principal trading in bonds, structured finance products, emission allowances and certain derivatives (excluding derivatives subject to clearing obligation under EMIR).</w:t>
            </w:r>
          </w:p>
          <w:p w:rsidR="00DE0071" w:rsidRPr="00E02972" w:rsidRDefault="00DE0071" w:rsidP="00F44B85">
            <w:pPr>
              <w:pStyle w:val="BodyParagraphText"/>
              <w:jc w:val="both"/>
              <w:rPr>
                <w:rFonts w:cs="Arial"/>
                <w:sz w:val="16"/>
                <w:szCs w:val="18"/>
              </w:rPr>
            </w:pPr>
          </w:p>
        </w:tc>
        <w:tc>
          <w:tcPr>
            <w:tcW w:w="306" w:type="pct"/>
            <w:tcBorders>
              <w:top w:val="single" w:sz="4" w:space="0" w:color="auto"/>
              <w:left w:val="single" w:sz="4" w:space="0" w:color="auto"/>
              <w:bottom w:val="single" w:sz="4" w:space="0" w:color="auto"/>
              <w:right w:val="single" w:sz="4" w:space="0" w:color="auto"/>
            </w:tcBorders>
          </w:tcPr>
          <w:p w:rsidR="00DE0071" w:rsidRPr="00E02972" w:rsidRDefault="00DE0071" w:rsidP="00F44B85">
            <w:pPr>
              <w:pStyle w:val="BodyParagraphText"/>
              <w:spacing w:line="240" w:lineRule="auto"/>
              <w:jc w:val="both"/>
              <w:rPr>
                <w:rFonts w:cs="Arial"/>
                <w:sz w:val="16"/>
                <w:szCs w:val="18"/>
              </w:rPr>
            </w:pPr>
            <w:r w:rsidRPr="00E02972">
              <w:rPr>
                <w:rFonts w:cs="Arial"/>
                <w:sz w:val="16"/>
                <w:szCs w:val="18"/>
              </w:rPr>
              <w:t>R</w:t>
            </w:r>
            <w:r w:rsidRPr="00E02972">
              <w:rPr>
                <w:rFonts w:cs="Arial"/>
                <w:sz w:val="16"/>
                <w:szCs w:val="18"/>
              </w:rPr>
              <w:br/>
              <w:t>EP</w:t>
            </w:r>
            <w:r w:rsidRPr="00E02972">
              <w:rPr>
                <w:rFonts w:cs="Arial"/>
                <w:sz w:val="16"/>
                <w:szCs w:val="18"/>
              </w:rPr>
              <w:br/>
              <w:t>PSP</w:t>
            </w:r>
            <w:r w:rsidRPr="00E02972">
              <w:rPr>
                <w:rFonts w:cs="Arial"/>
                <w:sz w:val="16"/>
                <w:szCs w:val="18"/>
              </w:rPr>
              <w:br/>
              <w:t>ECP</w:t>
            </w:r>
          </w:p>
        </w:tc>
        <w:tc>
          <w:tcPr>
            <w:tcW w:w="1611" w:type="pct"/>
            <w:tcBorders>
              <w:top w:val="single" w:sz="4" w:space="0" w:color="auto"/>
              <w:left w:val="single" w:sz="4" w:space="0" w:color="auto"/>
              <w:bottom w:val="single" w:sz="4" w:space="0" w:color="auto"/>
              <w:right w:val="single" w:sz="4" w:space="0" w:color="auto"/>
            </w:tcBorders>
          </w:tcPr>
          <w:p w:rsidR="00DE0071" w:rsidRPr="00E02972" w:rsidRDefault="00DE0071" w:rsidP="00F44B85">
            <w:pPr>
              <w:pStyle w:val="BulletPoint1"/>
              <w:numPr>
                <w:ilvl w:val="0"/>
                <w:numId w:val="9"/>
              </w:numPr>
              <w:tabs>
                <w:tab w:val="clear" w:pos="684"/>
              </w:tabs>
              <w:jc w:val="both"/>
              <w:rPr>
                <w:rFonts w:cs="Arial"/>
                <w:sz w:val="16"/>
                <w:szCs w:val="18"/>
              </w:rPr>
            </w:pPr>
            <w:r w:rsidRPr="00E02972">
              <w:rPr>
                <w:rFonts w:cs="Arial"/>
                <w:sz w:val="16"/>
                <w:szCs w:val="18"/>
              </w:rPr>
              <w:t>Prepare any documentation to communicate non-discretionary rules for execution of orders to members.</w:t>
            </w:r>
          </w:p>
          <w:p w:rsidR="00DE0071" w:rsidRPr="00E02972" w:rsidRDefault="00DE0071" w:rsidP="00F44B85">
            <w:pPr>
              <w:pStyle w:val="ListParagraph"/>
              <w:numPr>
                <w:ilvl w:val="0"/>
                <w:numId w:val="17"/>
              </w:numPr>
              <w:spacing w:before="240" w:after="260" w:line="240" w:lineRule="auto"/>
              <w:ind w:right="161"/>
              <w:contextualSpacing w:val="0"/>
              <w:jc w:val="both"/>
              <w:rPr>
                <w:rFonts w:ascii="Arial" w:hAnsi="Arial" w:cs="Arial"/>
                <w:sz w:val="16"/>
                <w:szCs w:val="18"/>
              </w:rPr>
            </w:pPr>
            <w:r w:rsidRPr="00E02972">
              <w:rPr>
                <w:rFonts w:ascii="Arial" w:hAnsi="Arial" w:cs="Arial"/>
                <w:sz w:val="16"/>
                <w:szCs w:val="18"/>
              </w:rPr>
              <w:t>Review and or amend member agreements to ensure assurances are given for compliance with trading rules.</w:t>
            </w:r>
          </w:p>
          <w:p w:rsidR="00DE0071" w:rsidRPr="00E02972" w:rsidRDefault="00DE0071" w:rsidP="00F44B85">
            <w:pPr>
              <w:pStyle w:val="BulletPoint1"/>
              <w:numPr>
                <w:ilvl w:val="0"/>
                <w:numId w:val="9"/>
              </w:numPr>
              <w:tabs>
                <w:tab w:val="clear" w:pos="684"/>
              </w:tabs>
              <w:jc w:val="both"/>
              <w:rPr>
                <w:rFonts w:cs="Arial"/>
                <w:sz w:val="16"/>
                <w:szCs w:val="18"/>
              </w:rPr>
            </w:pPr>
            <w:r w:rsidRPr="00E02972">
              <w:rPr>
                <w:rFonts w:cs="Arial"/>
                <w:sz w:val="16"/>
                <w:szCs w:val="18"/>
              </w:rPr>
              <w:t xml:space="preserve">Prepare due diligence questionnaires to carry out required fact find of members. </w:t>
            </w:r>
          </w:p>
          <w:p w:rsidR="00DE0071" w:rsidRPr="00E02972" w:rsidRDefault="00DE0071" w:rsidP="00F44B85">
            <w:pPr>
              <w:pStyle w:val="BulletPoint1"/>
              <w:numPr>
                <w:ilvl w:val="0"/>
                <w:numId w:val="9"/>
              </w:numPr>
              <w:tabs>
                <w:tab w:val="clear" w:pos="684"/>
              </w:tabs>
              <w:jc w:val="both"/>
              <w:rPr>
                <w:rFonts w:cs="Arial"/>
                <w:sz w:val="16"/>
                <w:szCs w:val="18"/>
              </w:rPr>
            </w:pPr>
            <w:r w:rsidRPr="00E02972">
              <w:rPr>
                <w:rFonts w:cs="Arial"/>
                <w:sz w:val="16"/>
                <w:szCs w:val="18"/>
              </w:rPr>
              <w:t>Prepare documentation or incorporate into agreements with members to obtain and record consent from clients to engage in matched principal trading.</w:t>
            </w:r>
          </w:p>
        </w:tc>
        <w:tc>
          <w:tcPr>
            <w:tcW w:w="625" w:type="pct"/>
            <w:tcBorders>
              <w:top w:val="single" w:sz="4" w:space="0" w:color="auto"/>
              <w:left w:val="single" w:sz="4" w:space="0" w:color="auto"/>
              <w:bottom w:val="single" w:sz="4" w:space="0" w:color="auto"/>
              <w:right w:val="single" w:sz="4" w:space="0" w:color="auto"/>
            </w:tcBorders>
          </w:tcPr>
          <w:p w:rsidR="00EE7BE6" w:rsidRPr="00E02972" w:rsidRDefault="00F44B85" w:rsidP="00EE7BE6">
            <w:pPr>
              <w:pStyle w:val="BulletPoint1"/>
              <w:numPr>
                <w:ilvl w:val="0"/>
                <w:numId w:val="17"/>
              </w:numPr>
              <w:rPr>
                <w:rFonts w:cs="Arial"/>
                <w:sz w:val="16"/>
                <w:szCs w:val="18"/>
              </w:rPr>
            </w:pPr>
            <w:r w:rsidRPr="00E02972">
              <w:rPr>
                <w:rFonts w:cs="Arial"/>
                <w:sz w:val="16"/>
                <w:szCs w:val="18"/>
              </w:rPr>
              <w:t xml:space="preserve">Customer/Member Terms of Business. </w:t>
            </w:r>
          </w:p>
          <w:p w:rsidR="00DE0071" w:rsidRPr="00E02972" w:rsidRDefault="00EE7BE6" w:rsidP="00EE7BE6">
            <w:pPr>
              <w:pStyle w:val="BulletPoint1"/>
              <w:numPr>
                <w:ilvl w:val="0"/>
                <w:numId w:val="17"/>
              </w:numPr>
              <w:rPr>
                <w:rFonts w:cs="Arial"/>
                <w:sz w:val="16"/>
                <w:szCs w:val="18"/>
              </w:rPr>
            </w:pPr>
            <w:r w:rsidRPr="00E02972">
              <w:rPr>
                <w:rFonts w:cs="Arial"/>
                <w:sz w:val="16"/>
                <w:szCs w:val="18"/>
              </w:rPr>
              <w:t>Trading Terms.</w:t>
            </w:r>
          </w:p>
          <w:p w:rsidR="0000353D" w:rsidRPr="00E02972" w:rsidRDefault="00EE7BE6" w:rsidP="00EE7BE6">
            <w:pPr>
              <w:pStyle w:val="BulletPoint1"/>
              <w:numPr>
                <w:ilvl w:val="0"/>
                <w:numId w:val="17"/>
              </w:numPr>
              <w:rPr>
                <w:rFonts w:cs="Arial"/>
                <w:sz w:val="16"/>
                <w:szCs w:val="18"/>
              </w:rPr>
            </w:pPr>
            <w:r w:rsidRPr="00E02972">
              <w:rPr>
                <w:rFonts w:cs="Arial"/>
                <w:sz w:val="16"/>
                <w:szCs w:val="18"/>
              </w:rPr>
              <w:t>Trading Agreements.</w:t>
            </w:r>
          </w:p>
          <w:p w:rsidR="00EE7BE6" w:rsidRPr="00E02972" w:rsidRDefault="0000353D" w:rsidP="00EE7BE6">
            <w:pPr>
              <w:pStyle w:val="BulletPoint1"/>
              <w:numPr>
                <w:ilvl w:val="0"/>
                <w:numId w:val="17"/>
              </w:numPr>
              <w:rPr>
                <w:rFonts w:cs="Arial"/>
                <w:sz w:val="16"/>
                <w:szCs w:val="18"/>
              </w:rPr>
            </w:pPr>
            <w:r w:rsidRPr="00E02972">
              <w:rPr>
                <w:rFonts w:cs="Arial"/>
                <w:sz w:val="16"/>
                <w:szCs w:val="18"/>
              </w:rPr>
              <w:t xml:space="preserve">User terms. </w:t>
            </w:r>
            <w:r w:rsidR="00EE7BE6" w:rsidRPr="00E02972">
              <w:rPr>
                <w:rFonts w:cs="Arial"/>
                <w:sz w:val="16"/>
                <w:szCs w:val="18"/>
              </w:rPr>
              <w:t xml:space="preserve"> </w:t>
            </w:r>
          </w:p>
        </w:tc>
        <w:tc>
          <w:tcPr>
            <w:tcW w:w="416" w:type="pct"/>
            <w:tcBorders>
              <w:top w:val="single" w:sz="4" w:space="0" w:color="auto"/>
              <w:left w:val="single" w:sz="4" w:space="0" w:color="auto"/>
              <w:bottom w:val="single" w:sz="4" w:space="0" w:color="auto"/>
              <w:right w:val="single" w:sz="4" w:space="0" w:color="auto"/>
            </w:tcBorders>
          </w:tcPr>
          <w:p w:rsidR="00DE0071" w:rsidRPr="00C526AC" w:rsidRDefault="00DE0071" w:rsidP="00F44B85">
            <w:pPr>
              <w:pStyle w:val="BulletPoint1"/>
              <w:jc w:val="both"/>
              <w:rPr>
                <w:rFonts w:cs="Arial"/>
                <w:sz w:val="16"/>
                <w:szCs w:val="18"/>
              </w:rPr>
            </w:pPr>
            <w:r w:rsidRPr="00E02972">
              <w:rPr>
                <w:rFonts w:cs="Arial"/>
                <w:sz w:val="16"/>
                <w:szCs w:val="18"/>
              </w:rPr>
              <w:t>Consent required from clients who engage in matched principled trading in in bonds, structured finance products, emission allowances and certain derivatives (excluding derivatives subject to clearing obligation under EMIR).</w:t>
            </w:r>
          </w:p>
          <w:p w:rsidR="00DE0071" w:rsidRPr="00C526AC" w:rsidRDefault="00DE0071" w:rsidP="00F44B85">
            <w:pPr>
              <w:pStyle w:val="BulletPoint1"/>
              <w:jc w:val="both"/>
              <w:rPr>
                <w:rFonts w:cs="Arial"/>
                <w:sz w:val="16"/>
                <w:szCs w:val="18"/>
              </w:rPr>
            </w:pPr>
          </w:p>
          <w:p w:rsidR="00DE0071" w:rsidRPr="00C526AC" w:rsidRDefault="00DE0071" w:rsidP="00F44B85">
            <w:pPr>
              <w:pStyle w:val="ssPara1"/>
              <w:spacing w:before="240"/>
              <w:ind w:left="360"/>
              <w:rPr>
                <w:rFonts w:cs="Arial"/>
                <w:sz w:val="16"/>
                <w:szCs w:val="18"/>
              </w:rPr>
            </w:pPr>
          </w:p>
        </w:tc>
      </w:tr>
    </w:tbl>
    <w:p w:rsidR="00676806" w:rsidRPr="005F19DC" w:rsidRDefault="00676806" w:rsidP="00241C81">
      <w:pPr>
        <w:pStyle w:val="ssPara1"/>
        <w:jc w:val="left"/>
        <w:rPr>
          <w:rFonts w:cs="Arial"/>
          <w:b/>
          <w:sz w:val="18"/>
          <w:szCs w:val="18"/>
        </w:rPr>
      </w:pPr>
    </w:p>
    <w:sectPr w:rsidR="00676806" w:rsidRPr="005F19DC" w:rsidSect="000D1F6F">
      <w:headerReference w:type="default" r:id="rId204"/>
      <w:pgSz w:w="23814" w:h="16839" w:orient="landscape" w:code="8"/>
      <w:pgMar w:top="1191" w:right="1418" w:bottom="1191" w:left="567" w:header="567" w:footer="62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2CF1" w:rsidRDefault="006C2CF1">
      <w:r>
        <w:separator/>
      </w:r>
    </w:p>
  </w:endnote>
  <w:endnote w:type="continuationSeparator" w:id="0">
    <w:p w:rsidR="006C2CF1" w:rsidRDefault="006C2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PMingLiU">
    <w:altName w:val="新細明體"/>
    <w:panose1 w:val="020203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2CF1" w:rsidRDefault="006C2CF1">
      <w:r>
        <w:separator/>
      </w:r>
    </w:p>
  </w:footnote>
  <w:footnote w:type="continuationSeparator" w:id="0">
    <w:p w:rsidR="006C2CF1" w:rsidRDefault="006C2CF1">
      <w:r>
        <w:continuationSeparator/>
      </w:r>
    </w:p>
  </w:footnote>
  <w:footnote w:id="1">
    <w:p w:rsidR="00BD43CE" w:rsidRDefault="00BD43CE">
      <w:pPr>
        <w:pStyle w:val="FootnoteText"/>
      </w:pPr>
      <w:r>
        <w:rPr>
          <w:rStyle w:val="FootnoteReference"/>
        </w:rPr>
        <w:footnoteRef/>
      </w:r>
      <w:r>
        <w:t xml:space="preserve"> </w:t>
      </w:r>
      <w:r w:rsidRPr="00C526AC">
        <w:rPr>
          <w:sz w:val="16"/>
        </w:rPr>
        <w:t>Note this column sets out a non-exhaustive list of suggested documentation firms may need to consider.</w:t>
      </w:r>
      <w:r>
        <w:rPr>
          <w:sz w:val="16"/>
        </w:rPr>
        <w:t xml:space="preserve"> </w:t>
      </w:r>
    </w:p>
  </w:footnote>
  <w:footnote w:id="2">
    <w:p w:rsidR="00BD43CE" w:rsidRPr="004958FC" w:rsidRDefault="00BD43CE" w:rsidP="004958FC">
      <w:pPr>
        <w:pStyle w:val="FootnoteText"/>
        <w:rPr>
          <w:sz w:val="16"/>
        </w:rPr>
      </w:pPr>
      <w:r>
        <w:rPr>
          <w:rStyle w:val="FootnoteReference"/>
        </w:rPr>
        <w:footnoteRef/>
      </w:r>
      <w:r>
        <w:t xml:space="preserve"> </w:t>
      </w:r>
      <w:r w:rsidRPr="004958FC">
        <w:rPr>
          <w:sz w:val="16"/>
        </w:rPr>
        <w:t>Information is to be provided in a durable medium or by means of a website (where it does not constitute a durable medium) provided:</w:t>
      </w:r>
    </w:p>
    <w:p w:rsidR="00BD43CE" w:rsidRPr="004958FC" w:rsidRDefault="00BD43CE" w:rsidP="004958FC">
      <w:pPr>
        <w:pStyle w:val="FootnoteText"/>
        <w:rPr>
          <w:sz w:val="16"/>
        </w:rPr>
      </w:pPr>
      <w:r w:rsidRPr="004958FC">
        <w:rPr>
          <w:sz w:val="16"/>
        </w:rPr>
        <w:t>1)</w:t>
      </w:r>
      <w:r w:rsidRPr="004958FC">
        <w:rPr>
          <w:sz w:val="16"/>
        </w:rPr>
        <w:tab/>
        <w:t>the provision of that information in that medium is appropriate to the context in which the business between the firm and the client is, or is to be, carried on;</w:t>
      </w:r>
    </w:p>
    <w:p w:rsidR="00BD43CE" w:rsidRPr="004958FC" w:rsidRDefault="00BD43CE" w:rsidP="004958FC">
      <w:pPr>
        <w:pStyle w:val="FootnoteText"/>
        <w:rPr>
          <w:sz w:val="16"/>
        </w:rPr>
      </w:pPr>
      <w:r w:rsidRPr="004958FC">
        <w:rPr>
          <w:sz w:val="16"/>
        </w:rPr>
        <w:t>2)</w:t>
      </w:r>
      <w:r w:rsidRPr="004958FC">
        <w:rPr>
          <w:sz w:val="16"/>
        </w:rPr>
        <w:tab/>
        <w:t>the client must specifically consent to the provision of that information in that form;</w:t>
      </w:r>
    </w:p>
    <w:p w:rsidR="00BD43CE" w:rsidRPr="004958FC" w:rsidRDefault="00BD43CE" w:rsidP="004958FC">
      <w:pPr>
        <w:pStyle w:val="FootnoteText"/>
        <w:rPr>
          <w:sz w:val="16"/>
        </w:rPr>
      </w:pPr>
      <w:r w:rsidRPr="004958FC">
        <w:rPr>
          <w:sz w:val="16"/>
        </w:rPr>
        <w:t>3)</w:t>
      </w:r>
      <w:r w:rsidRPr="004958FC">
        <w:rPr>
          <w:sz w:val="16"/>
        </w:rPr>
        <w:tab/>
        <w:t>the client must be notified electronically of the address of the website, and the place on the website where the information may be accessed;</w:t>
      </w:r>
    </w:p>
    <w:p w:rsidR="00BD43CE" w:rsidRPr="004958FC" w:rsidRDefault="00BD43CE" w:rsidP="004958FC">
      <w:pPr>
        <w:pStyle w:val="FootnoteText"/>
        <w:rPr>
          <w:sz w:val="16"/>
        </w:rPr>
      </w:pPr>
      <w:r w:rsidRPr="004958FC">
        <w:rPr>
          <w:sz w:val="16"/>
        </w:rPr>
        <w:t>4)</w:t>
      </w:r>
      <w:r w:rsidRPr="004958FC">
        <w:rPr>
          <w:sz w:val="16"/>
        </w:rPr>
        <w:tab/>
        <w:t>the information must be up to date; and</w:t>
      </w:r>
    </w:p>
    <w:p w:rsidR="00BD43CE" w:rsidRPr="004958FC" w:rsidRDefault="00BD43CE" w:rsidP="004958FC">
      <w:pPr>
        <w:pStyle w:val="FootnoteText"/>
        <w:rPr>
          <w:sz w:val="16"/>
        </w:rPr>
      </w:pPr>
      <w:r w:rsidRPr="004958FC">
        <w:rPr>
          <w:sz w:val="16"/>
        </w:rPr>
        <w:t>5)</w:t>
      </w:r>
      <w:r w:rsidRPr="004958FC">
        <w:rPr>
          <w:sz w:val="16"/>
        </w:rPr>
        <w:tab/>
        <w:t>the information must be accessible continuously by means of that website for such period of time as the client may reasonably need to inspect it.</w:t>
      </w:r>
    </w:p>
  </w:footnote>
  <w:footnote w:id="3">
    <w:p w:rsidR="00BD43CE" w:rsidRPr="004958FC" w:rsidRDefault="00BD43CE">
      <w:pPr>
        <w:pStyle w:val="FootnoteText"/>
        <w:rPr>
          <w:sz w:val="16"/>
        </w:rPr>
      </w:pPr>
      <w:r w:rsidRPr="004958FC">
        <w:rPr>
          <w:rStyle w:val="FootnoteReference"/>
          <w:sz w:val="16"/>
        </w:rPr>
        <w:footnoteRef/>
      </w:r>
      <w:r w:rsidRPr="004958FC">
        <w:rPr>
          <w:sz w:val="16"/>
        </w:rPr>
        <w:t xml:space="preserve"> </w:t>
      </w:r>
      <w:r w:rsidRPr="004958FC">
        <w:rPr>
          <w:sz w:val="16"/>
          <w:lang w:val="en-US"/>
        </w:rPr>
        <w:t xml:space="preserve">Recital 83 of MiFID2 notes that when determining what constitutes ‘good time’, an </w:t>
      </w:r>
      <w:r w:rsidRPr="004958FC">
        <w:rPr>
          <w:rFonts w:eastAsia="Times New Roman" w:cs="Arial"/>
          <w:sz w:val="16"/>
        </w:rPr>
        <w:t>investment firm/</w:t>
      </w:r>
      <w:r w:rsidRPr="004958FC">
        <w:rPr>
          <w:sz w:val="16"/>
          <w:lang w:val="en-US"/>
        </w:rPr>
        <w:t xml:space="preserve"> should take into account the clients need for sufficient time to read and understand any implications before making an investment decision.</w:t>
      </w:r>
      <w:r w:rsidRPr="004958FC">
        <w:rPr>
          <w:rStyle w:val="FootnoteReference"/>
          <w:sz w:val="16"/>
          <w:lang w:val="en-US"/>
        </w:rPr>
        <w:footnoteRef/>
      </w:r>
      <w:r w:rsidRPr="004958FC">
        <w:rPr>
          <w:sz w:val="16"/>
          <w:lang w:val="en-US"/>
        </w:rPr>
        <w:t xml:space="preserve"> It follows that for more complex products or services, or where the client has minimal experience, more time will be expected to be provided to the client.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3CE" w:rsidRPr="00032535" w:rsidRDefault="00BD43CE" w:rsidP="001C53B2">
    <w:pPr>
      <w:pStyle w:val="ssPara1"/>
      <w:jc w:val="left"/>
      <w:rPr>
        <w:rFonts w:cs="Arial"/>
        <w:b/>
        <w:sz w:val="24"/>
        <w:szCs w:val="24"/>
      </w:rPr>
    </w:pPr>
    <w:r>
      <w:rPr>
        <w:rFonts w:cs="Arial"/>
        <w:b/>
        <w:sz w:val="24"/>
        <w:szCs w:val="24"/>
      </w:rPr>
      <w:t>Table of MiFID/MiFIR provisions that have an impact on client documentation – February 2018</w:t>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t xml:space="preserve">   </w:t>
    </w:r>
    <w:r w:rsidRPr="008579E2">
      <w:rPr>
        <w:noProof/>
        <w:lang w:eastAsia="en-GB"/>
      </w:rPr>
      <w:drawing>
        <wp:inline distT="0" distB="0" distL="0" distR="0" wp14:anchorId="553B1ABD" wp14:editId="577DB354">
          <wp:extent cx="2501000" cy="607838"/>
          <wp:effectExtent l="0" t="0" r="0" b="1905"/>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1000" cy="607838"/>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BD43CE" w:rsidRDefault="00BD43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088B11C"/>
    <w:lvl w:ilvl="0">
      <w:start w:val="1"/>
      <w:numFmt w:val="bullet"/>
      <w:lvlText w:val=""/>
      <w:lvlJc w:val="left"/>
      <w:pPr>
        <w:ind w:left="360" w:hanging="360"/>
      </w:pPr>
      <w:rPr>
        <w:rFonts w:ascii="Wingdings" w:hAnsi="Wingdings" w:hint="default"/>
        <w:b w:val="0"/>
        <w:color w:val="auto"/>
      </w:rPr>
    </w:lvl>
  </w:abstractNum>
  <w:abstractNum w:abstractNumId="1" w15:restartNumberingAfterBreak="0">
    <w:nsid w:val="025220B5"/>
    <w:multiLevelType w:val="multilevel"/>
    <w:tmpl w:val="CDF6D29A"/>
    <w:lvl w:ilvl="0">
      <w:start w:val="1"/>
      <w:numFmt w:val="bullet"/>
      <w:lvlText w:val=""/>
      <w:lvlJc w:val="left"/>
      <w:pPr>
        <w:ind w:left="0" w:firstLine="0"/>
      </w:pPr>
      <w:rPr>
        <w:rFonts w:ascii="Symbol" w:hAnsi="Symbol" w:hint="default"/>
      </w:rPr>
    </w:lvl>
    <w:lvl w:ilvl="1">
      <w:start w:val="1"/>
      <w:numFmt w:val="decimal"/>
      <w:suff w:val="nothing"/>
      <w:lvlText w:val="schedule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31A3027"/>
    <w:multiLevelType w:val="multilevel"/>
    <w:tmpl w:val="3650ECEA"/>
    <w:name w:val="Schedule"/>
    <w:lvl w:ilvl="0">
      <w:start w:val="1"/>
      <w:numFmt w:val="none"/>
      <w:pStyle w:val="ssRestartSchedule"/>
      <w:suff w:val="nothing"/>
      <w:lvlText w:val=""/>
      <w:lvlJc w:val="left"/>
      <w:pPr>
        <w:ind w:left="0" w:firstLine="0"/>
      </w:pPr>
      <w:rPr>
        <w:rFonts w:hint="default"/>
      </w:rPr>
    </w:lvl>
    <w:lvl w:ilvl="1">
      <w:start w:val="1"/>
      <w:numFmt w:val="decimal"/>
      <w:pStyle w:val="ssqSchedule"/>
      <w:suff w:val="nothing"/>
      <w:lvlText w:val="schedule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03770A99"/>
    <w:multiLevelType w:val="hybridMultilevel"/>
    <w:tmpl w:val="7B46CCFE"/>
    <w:lvl w:ilvl="0" w:tplc="99A846F8">
      <w:numFmt w:val="bullet"/>
      <w:lvlText w:val="-"/>
      <w:lvlJc w:val="left"/>
      <w:pPr>
        <w:ind w:left="720" w:hanging="360"/>
      </w:pPr>
      <w:rPr>
        <w:rFonts w:ascii="Calibri" w:eastAsiaTheme="minorHAnsi" w:hAnsi="Calibri" w:cstheme="minorHAnsi"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CE67A1"/>
    <w:multiLevelType w:val="hybridMultilevel"/>
    <w:tmpl w:val="7DFCA992"/>
    <w:lvl w:ilvl="0" w:tplc="B4C22986">
      <w:start w:val="1"/>
      <w:numFmt w:val="bullet"/>
      <w:lvlText w:val=""/>
      <w:lvlJc w:val="left"/>
      <w:pPr>
        <w:ind w:left="360" w:hanging="360"/>
      </w:pPr>
      <w:rPr>
        <w:rFonts w:ascii="Wingdings" w:hAnsi="Wingdings" w:hint="default"/>
        <w:color w:val="4F81BD" w:themeColor="accent1"/>
        <w:sz w:val="22"/>
        <w:szCs w:val="22"/>
      </w:rPr>
    </w:lvl>
    <w:lvl w:ilvl="1" w:tplc="1A92A340" w:tentative="1">
      <w:start w:val="1"/>
      <w:numFmt w:val="bullet"/>
      <w:lvlText w:val="o"/>
      <w:lvlJc w:val="left"/>
      <w:pPr>
        <w:ind w:left="1080" w:hanging="360"/>
      </w:pPr>
      <w:rPr>
        <w:rFonts w:ascii="Courier New" w:hAnsi="Courier New" w:cs="Courier New" w:hint="default"/>
      </w:rPr>
    </w:lvl>
    <w:lvl w:ilvl="2" w:tplc="3C5C0AEE" w:tentative="1">
      <w:start w:val="1"/>
      <w:numFmt w:val="bullet"/>
      <w:lvlText w:val=""/>
      <w:lvlJc w:val="left"/>
      <w:pPr>
        <w:ind w:left="1800" w:hanging="360"/>
      </w:pPr>
      <w:rPr>
        <w:rFonts w:ascii="Wingdings" w:hAnsi="Wingdings" w:hint="default"/>
      </w:rPr>
    </w:lvl>
    <w:lvl w:ilvl="3" w:tplc="C7AEFE2C" w:tentative="1">
      <w:start w:val="1"/>
      <w:numFmt w:val="bullet"/>
      <w:lvlText w:val=""/>
      <w:lvlJc w:val="left"/>
      <w:pPr>
        <w:ind w:left="2520" w:hanging="360"/>
      </w:pPr>
      <w:rPr>
        <w:rFonts w:ascii="Symbol" w:hAnsi="Symbol" w:hint="default"/>
      </w:rPr>
    </w:lvl>
    <w:lvl w:ilvl="4" w:tplc="854E8A3C" w:tentative="1">
      <w:start w:val="1"/>
      <w:numFmt w:val="bullet"/>
      <w:lvlText w:val="o"/>
      <w:lvlJc w:val="left"/>
      <w:pPr>
        <w:ind w:left="3240" w:hanging="360"/>
      </w:pPr>
      <w:rPr>
        <w:rFonts w:ascii="Courier New" w:hAnsi="Courier New" w:cs="Courier New" w:hint="default"/>
      </w:rPr>
    </w:lvl>
    <w:lvl w:ilvl="5" w:tplc="C90E9B10" w:tentative="1">
      <w:start w:val="1"/>
      <w:numFmt w:val="bullet"/>
      <w:lvlText w:val=""/>
      <w:lvlJc w:val="left"/>
      <w:pPr>
        <w:ind w:left="3960" w:hanging="360"/>
      </w:pPr>
      <w:rPr>
        <w:rFonts w:ascii="Wingdings" w:hAnsi="Wingdings" w:hint="default"/>
      </w:rPr>
    </w:lvl>
    <w:lvl w:ilvl="6" w:tplc="5BE003E8" w:tentative="1">
      <w:start w:val="1"/>
      <w:numFmt w:val="bullet"/>
      <w:lvlText w:val=""/>
      <w:lvlJc w:val="left"/>
      <w:pPr>
        <w:ind w:left="4680" w:hanging="360"/>
      </w:pPr>
      <w:rPr>
        <w:rFonts w:ascii="Symbol" w:hAnsi="Symbol" w:hint="default"/>
      </w:rPr>
    </w:lvl>
    <w:lvl w:ilvl="7" w:tplc="4EB8710C" w:tentative="1">
      <w:start w:val="1"/>
      <w:numFmt w:val="bullet"/>
      <w:lvlText w:val="o"/>
      <w:lvlJc w:val="left"/>
      <w:pPr>
        <w:ind w:left="5400" w:hanging="360"/>
      </w:pPr>
      <w:rPr>
        <w:rFonts w:ascii="Courier New" w:hAnsi="Courier New" w:cs="Courier New" w:hint="default"/>
      </w:rPr>
    </w:lvl>
    <w:lvl w:ilvl="8" w:tplc="63FACF64" w:tentative="1">
      <w:start w:val="1"/>
      <w:numFmt w:val="bullet"/>
      <w:lvlText w:val=""/>
      <w:lvlJc w:val="left"/>
      <w:pPr>
        <w:ind w:left="6120" w:hanging="360"/>
      </w:pPr>
      <w:rPr>
        <w:rFonts w:ascii="Wingdings" w:hAnsi="Wingdings" w:hint="default"/>
      </w:rPr>
    </w:lvl>
  </w:abstractNum>
  <w:abstractNum w:abstractNumId="5" w15:restartNumberingAfterBreak="0">
    <w:nsid w:val="06941B78"/>
    <w:multiLevelType w:val="multilevel"/>
    <w:tmpl w:val="904EA4D2"/>
    <w:name w:val="Part"/>
    <w:lvl w:ilvl="0">
      <w:start w:val="1"/>
      <w:numFmt w:val="none"/>
      <w:pStyle w:val="ssRestartPart"/>
      <w:suff w:val="nothing"/>
      <w:lvlText w:val=""/>
      <w:lvlJc w:val="left"/>
      <w:pPr>
        <w:ind w:left="0" w:firstLine="0"/>
      </w:pPr>
      <w:rPr>
        <w:rFonts w:hint="default"/>
      </w:rPr>
    </w:lvl>
    <w:lvl w:ilvl="1">
      <w:start w:val="1"/>
      <w:numFmt w:val="decimal"/>
      <w:pStyle w:val="ssqPart"/>
      <w:suff w:val="nothing"/>
      <w:lvlText w:val="part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08F84A78"/>
    <w:multiLevelType w:val="hybridMultilevel"/>
    <w:tmpl w:val="4BEE6A4E"/>
    <w:lvl w:ilvl="0" w:tplc="9B64B0F2">
      <w:start w:val="1"/>
      <w:numFmt w:val="bullet"/>
      <w:lvlText w:val=""/>
      <w:lvlJc w:val="left"/>
      <w:pPr>
        <w:ind w:left="502" w:hanging="360"/>
      </w:pPr>
      <w:rPr>
        <w:rFonts w:ascii="Symbol" w:hAnsi="Symbol" w:hint="default"/>
        <w:color w:val="auto"/>
      </w:rPr>
    </w:lvl>
    <w:lvl w:ilvl="1" w:tplc="3E1053C6">
      <w:start w:val="1"/>
      <w:numFmt w:val="bullet"/>
      <w:lvlText w:val="o"/>
      <w:lvlJc w:val="left"/>
      <w:pPr>
        <w:ind w:left="1440" w:hanging="360"/>
      </w:pPr>
      <w:rPr>
        <w:rFonts w:ascii="Courier New" w:hAnsi="Courier New" w:cs="Courier New" w:hint="default"/>
      </w:rPr>
    </w:lvl>
    <w:lvl w:ilvl="2" w:tplc="2280DA6E" w:tentative="1">
      <w:start w:val="1"/>
      <w:numFmt w:val="bullet"/>
      <w:lvlText w:val=""/>
      <w:lvlJc w:val="left"/>
      <w:pPr>
        <w:ind w:left="2160" w:hanging="360"/>
      </w:pPr>
      <w:rPr>
        <w:rFonts w:ascii="Wingdings" w:hAnsi="Wingdings" w:hint="default"/>
      </w:rPr>
    </w:lvl>
    <w:lvl w:ilvl="3" w:tplc="302C5398" w:tentative="1">
      <w:start w:val="1"/>
      <w:numFmt w:val="bullet"/>
      <w:lvlText w:val=""/>
      <w:lvlJc w:val="left"/>
      <w:pPr>
        <w:ind w:left="2880" w:hanging="360"/>
      </w:pPr>
      <w:rPr>
        <w:rFonts w:ascii="Symbol" w:hAnsi="Symbol" w:hint="default"/>
      </w:rPr>
    </w:lvl>
    <w:lvl w:ilvl="4" w:tplc="6FB87BF6" w:tentative="1">
      <w:start w:val="1"/>
      <w:numFmt w:val="bullet"/>
      <w:lvlText w:val="o"/>
      <w:lvlJc w:val="left"/>
      <w:pPr>
        <w:ind w:left="3600" w:hanging="360"/>
      </w:pPr>
      <w:rPr>
        <w:rFonts w:ascii="Courier New" w:hAnsi="Courier New" w:cs="Courier New" w:hint="default"/>
      </w:rPr>
    </w:lvl>
    <w:lvl w:ilvl="5" w:tplc="E89AE07C" w:tentative="1">
      <w:start w:val="1"/>
      <w:numFmt w:val="bullet"/>
      <w:lvlText w:val=""/>
      <w:lvlJc w:val="left"/>
      <w:pPr>
        <w:ind w:left="4320" w:hanging="360"/>
      </w:pPr>
      <w:rPr>
        <w:rFonts w:ascii="Wingdings" w:hAnsi="Wingdings" w:hint="default"/>
      </w:rPr>
    </w:lvl>
    <w:lvl w:ilvl="6" w:tplc="A8F8CB22" w:tentative="1">
      <w:start w:val="1"/>
      <w:numFmt w:val="bullet"/>
      <w:lvlText w:val=""/>
      <w:lvlJc w:val="left"/>
      <w:pPr>
        <w:ind w:left="5040" w:hanging="360"/>
      </w:pPr>
      <w:rPr>
        <w:rFonts w:ascii="Symbol" w:hAnsi="Symbol" w:hint="default"/>
      </w:rPr>
    </w:lvl>
    <w:lvl w:ilvl="7" w:tplc="6C08F03A" w:tentative="1">
      <w:start w:val="1"/>
      <w:numFmt w:val="bullet"/>
      <w:lvlText w:val="o"/>
      <w:lvlJc w:val="left"/>
      <w:pPr>
        <w:ind w:left="5760" w:hanging="360"/>
      </w:pPr>
      <w:rPr>
        <w:rFonts w:ascii="Courier New" w:hAnsi="Courier New" w:cs="Courier New" w:hint="default"/>
      </w:rPr>
    </w:lvl>
    <w:lvl w:ilvl="8" w:tplc="6F1E54D4" w:tentative="1">
      <w:start w:val="1"/>
      <w:numFmt w:val="bullet"/>
      <w:lvlText w:val=""/>
      <w:lvlJc w:val="left"/>
      <w:pPr>
        <w:ind w:left="6480" w:hanging="360"/>
      </w:pPr>
      <w:rPr>
        <w:rFonts w:ascii="Wingdings" w:hAnsi="Wingdings" w:hint="default"/>
      </w:rPr>
    </w:lvl>
  </w:abstractNum>
  <w:abstractNum w:abstractNumId="7" w15:restartNumberingAfterBreak="0">
    <w:nsid w:val="0D134B83"/>
    <w:multiLevelType w:val="hybridMultilevel"/>
    <w:tmpl w:val="FF9A64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45A00D7"/>
    <w:multiLevelType w:val="hybridMultilevel"/>
    <w:tmpl w:val="C1347C6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9B177C"/>
    <w:multiLevelType w:val="multilevel"/>
    <w:tmpl w:val="E7229E7C"/>
    <w:styleLink w:val="ExhibitNumbering"/>
    <w:lvl w:ilvl="0">
      <w:start w:val="1"/>
      <w:numFmt w:val="none"/>
      <w:suff w:val="nothing"/>
      <w:lvlText w:val=""/>
      <w:lvlJc w:val="left"/>
      <w:pPr>
        <w:ind w:left="0" w:firstLine="0"/>
      </w:pPr>
      <w:rPr>
        <w:rFonts w:hint="default"/>
      </w:rPr>
    </w:lvl>
    <w:lvl w:ilvl="1">
      <w:start w:val="1"/>
      <w:numFmt w:val="decimal"/>
      <w:suff w:val="space"/>
      <w:lvlText w:val="Exhibi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6D46AC5"/>
    <w:multiLevelType w:val="hybridMultilevel"/>
    <w:tmpl w:val="7C9CD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AA4495E"/>
    <w:multiLevelType w:val="multilevel"/>
    <w:tmpl w:val="54D02D98"/>
    <w:styleLink w:val="PartNumbering"/>
    <w:lvl w:ilvl="0">
      <w:start w:val="1"/>
      <w:numFmt w:val="none"/>
      <w:suff w:val="nothing"/>
      <w:lvlText w:val=""/>
      <w:lvlJc w:val="left"/>
      <w:pPr>
        <w:ind w:left="0" w:firstLine="0"/>
      </w:pPr>
      <w:rPr>
        <w:rFonts w:hint="default"/>
      </w:rPr>
    </w:lvl>
    <w:lvl w:ilvl="1">
      <w:start w:val="1"/>
      <w:numFmt w:val="decimal"/>
      <w:suff w:val="space"/>
      <w:lvlText w:val="Par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B141603"/>
    <w:multiLevelType w:val="hybridMultilevel"/>
    <w:tmpl w:val="E4AAE290"/>
    <w:lvl w:ilvl="0" w:tplc="08667FFE">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EA1D8F"/>
    <w:multiLevelType w:val="hybridMultilevel"/>
    <w:tmpl w:val="49D034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080797A"/>
    <w:multiLevelType w:val="hybridMultilevel"/>
    <w:tmpl w:val="D7A8C334"/>
    <w:lvl w:ilvl="0" w:tplc="04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100FB2"/>
    <w:multiLevelType w:val="hybridMultilevel"/>
    <w:tmpl w:val="12268E66"/>
    <w:lvl w:ilvl="0" w:tplc="4D60B33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4A6C09"/>
    <w:multiLevelType w:val="multilevel"/>
    <w:tmpl w:val="2E528D2A"/>
    <w:lvl w:ilvl="0">
      <w:start w:val="1"/>
      <w:numFmt w:val="none"/>
      <w:suff w:val="nothing"/>
      <w:lvlText w:val=""/>
      <w:lvlJc w:val="left"/>
      <w:pPr>
        <w:ind w:left="0" w:firstLine="0"/>
      </w:pPr>
      <w:rPr>
        <w:rFonts w:hint="default"/>
      </w:rPr>
    </w:lvl>
    <w:lvl w:ilvl="1">
      <w:start w:val="1"/>
      <w:numFmt w:val="decimal"/>
      <w:lvlText w:val="%2."/>
      <w:lvlJc w:val="left"/>
      <w:pPr>
        <w:tabs>
          <w:tab w:val="num" w:pos="0"/>
        </w:tabs>
        <w:ind w:left="709" w:hanging="709"/>
      </w:pPr>
      <w:rPr>
        <w:rFonts w:hint="default"/>
      </w:rPr>
    </w:lvl>
    <w:lvl w:ilvl="2">
      <w:start w:val="1"/>
      <w:numFmt w:val="decimal"/>
      <w:lvlText w:val="%2.%3"/>
      <w:lvlJc w:val="left"/>
      <w:pPr>
        <w:tabs>
          <w:tab w:val="num" w:pos="0"/>
        </w:tabs>
        <w:ind w:left="709" w:hanging="709"/>
      </w:pPr>
      <w:rPr>
        <w:rFonts w:hint="default"/>
      </w:rPr>
    </w:lvl>
    <w:lvl w:ilvl="3">
      <w:start w:val="1"/>
      <w:numFmt w:val="upperLetter"/>
      <w:lvlText w:val="(%4)"/>
      <w:lvlJc w:val="left"/>
      <w:pPr>
        <w:tabs>
          <w:tab w:val="num" w:pos="0"/>
        </w:tabs>
        <w:ind w:left="1418" w:hanging="709"/>
      </w:pPr>
      <w:rPr>
        <w:rFonts w:hint="default"/>
      </w:rPr>
    </w:lvl>
    <w:lvl w:ilvl="4">
      <w:start w:val="1"/>
      <w:numFmt w:val="decimal"/>
      <w:lvlText w:val="(%5)"/>
      <w:lvlJc w:val="left"/>
      <w:pPr>
        <w:tabs>
          <w:tab w:val="num" w:pos="0"/>
        </w:tabs>
        <w:ind w:left="1985" w:hanging="567"/>
      </w:pPr>
      <w:rPr>
        <w:rFonts w:hint="default"/>
      </w:rPr>
    </w:lvl>
    <w:lvl w:ilvl="5">
      <w:start w:val="1"/>
      <w:numFmt w:val="lowerLetter"/>
      <w:lvlText w:val="(%6)"/>
      <w:lvlJc w:val="left"/>
      <w:pPr>
        <w:tabs>
          <w:tab w:val="num" w:pos="0"/>
        </w:tabs>
        <w:ind w:left="2552" w:hanging="567"/>
      </w:pPr>
      <w:rPr>
        <w:rFonts w:hint="default"/>
      </w:rPr>
    </w:lvl>
    <w:lvl w:ilvl="6">
      <w:start w:val="1"/>
      <w:numFmt w:val="lowerRoman"/>
      <w:lvlText w:val="(%7)"/>
      <w:lvlJc w:val="left"/>
      <w:pPr>
        <w:tabs>
          <w:tab w:val="num" w:pos="0"/>
        </w:tabs>
        <w:ind w:left="2835" w:hanging="283"/>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2B6A3223"/>
    <w:multiLevelType w:val="multilevel"/>
    <w:tmpl w:val="C8D6362C"/>
    <w:styleLink w:val="ListHeadings"/>
    <w:lvl w:ilvl="0">
      <w:start w:val="1"/>
      <w:numFmt w:val="none"/>
      <w:suff w:val="nothing"/>
      <w:lvlText w:val="%1"/>
      <w:lvlJc w:val="left"/>
      <w:pPr>
        <w:ind w:left="0" w:firstLine="0"/>
      </w:pPr>
      <w:rPr>
        <w:rFonts w:hint="default"/>
      </w:rPr>
    </w:lvl>
    <w:lvl w:ilvl="1">
      <w:start w:val="1"/>
      <w:numFmt w:val="decimal"/>
      <w:lvlText w:val="%2."/>
      <w:lvlJc w:val="left"/>
      <w:pPr>
        <w:tabs>
          <w:tab w:val="num" w:pos="709"/>
        </w:tabs>
        <w:ind w:left="709" w:hanging="709"/>
      </w:pPr>
      <w:rPr>
        <w:rFonts w:hint="default"/>
        <w:b w:val="0"/>
        <w:i w:val="0"/>
        <w:u w:val="none"/>
      </w:rPr>
    </w:lvl>
    <w:lvl w:ilvl="2">
      <w:start w:val="1"/>
      <w:numFmt w:val="decimal"/>
      <w:lvlText w:val="%2.%3"/>
      <w:lvlJc w:val="left"/>
      <w:pPr>
        <w:tabs>
          <w:tab w:val="num" w:pos="709"/>
        </w:tabs>
        <w:ind w:left="709" w:hanging="709"/>
      </w:pPr>
      <w:rPr>
        <w:rFonts w:hint="default"/>
        <w:b w:val="0"/>
        <w:i w:val="0"/>
        <w:u w:val="none"/>
      </w:rPr>
    </w:lvl>
    <w:lvl w:ilvl="3">
      <w:start w:val="1"/>
      <w:numFmt w:val="upperLetter"/>
      <w:lvlText w:val="(%4)"/>
      <w:lvlJc w:val="left"/>
      <w:pPr>
        <w:tabs>
          <w:tab w:val="num" w:pos="1418"/>
        </w:tabs>
        <w:ind w:left="1418" w:hanging="709"/>
      </w:pPr>
      <w:rPr>
        <w:rFonts w:hint="default"/>
        <w:b w:val="0"/>
        <w:i w:val="0"/>
      </w:rPr>
    </w:lvl>
    <w:lvl w:ilvl="4">
      <w:start w:val="1"/>
      <w:numFmt w:val="decimal"/>
      <w:lvlText w:val="(%5)"/>
      <w:lvlJc w:val="left"/>
      <w:pPr>
        <w:tabs>
          <w:tab w:val="num" w:pos="1985"/>
        </w:tabs>
        <w:ind w:left="1985" w:hanging="567"/>
      </w:pPr>
      <w:rPr>
        <w:rFonts w:hint="default"/>
        <w:b w:val="0"/>
        <w:i w:val="0"/>
      </w:rPr>
    </w:lvl>
    <w:lvl w:ilvl="5">
      <w:start w:val="1"/>
      <w:numFmt w:val="lowerLetter"/>
      <w:lvlText w:val="(%6)"/>
      <w:lvlJc w:val="left"/>
      <w:pPr>
        <w:tabs>
          <w:tab w:val="num" w:pos="2552"/>
        </w:tabs>
        <w:ind w:left="2552" w:hanging="567"/>
      </w:pPr>
      <w:rPr>
        <w:rFonts w:hint="default"/>
        <w:b w:val="0"/>
        <w:i w:val="0"/>
      </w:rPr>
    </w:lvl>
    <w:lvl w:ilvl="6">
      <w:start w:val="1"/>
      <w:numFmt w:val="lowerRoman"/>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C087586"/>
    <w:multiLevelType w:val="multilevel"/>
    <w:tmpl w:val="0409001D"/>
    <w:name w:val="Simmons&amp;Simmons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5232DDC"/>
    <w:multiLevelType w:val="multilevel"/>
    <w:tmpl w:val="0409001D"/>
    <w:name w:val="Simmons&amp;Simmon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6BB5FBE"/>
    <w:multiLevelType w:val="multilevel"/>
    <w:tmpl w:val="93FE0BF6"/>
    <w:name w:val="Appendix"/>
    <w:lvl w:ilvl="0">
      <w:start w:val="1"/>
      <w:numFmt w:val="none"/>
      <w:pStyle w:val="ssRestartAppendix"/>
      <w:suff w:val="nothing"/>
      <w:lvlText w:val=""/>
      <w:lvlJc w:val="left"/>
      <w:pPr>
        <w:ind w:left="0" w:firstLine="0"/>
      </w:pPr>
      <w:rPr>
        <w:rFonts w:hint="default"/>
      </w:rPr>
    </w:lvl>
    <w:lvl w:ilvl="1">
      <w:start w:val="1"/>
      <w:numFmt w:val="decimal"/>
      <w:pStyle w:val="ssqAppendix"/>
      <w:suff w:val="nothing"/>
      <w:lvlText w:val="appendix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38F96FE3"/>
    <w:multiLevelType w:val="multilevel"/>
    <w:tmpl w:val="DEEEF714"/>
    <w:name w:val="Exhibit"/>
    <w:lvl w:ilvl="0">
      <w:start w:val="1"/>
      <w:numFmt w:val="none"/>
      <w:pStyle w:val="ssRestartExhibit"/>
      <w:suff w:val="nothing"/>
      <w:lvlText w:val=""/>
      <w:lvlJc w:val="left"/>
      <w:pPr>
        <w:ind w:left="0" w:firstLine="0"/>
      </w:pPr>
      <w:rPr>
        <w:rFonts w:hint="default"/>
      </w:rPr>
    </w:lvl>
    <w:lvl w:ilvl="1">
      <w:start w:val="1"/>
      <w:numFmt w:val="decimal"/>
      <w:pStyle w:val="ssqExhibit"/>
      <w:suff w:val="nothing"/>
      <w:lvlText w:val="exhibit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390B0FE2"/>
    <w:multiLevelType w:val="multilevel"/>
    <w:tmpl w:val="0409001D"/>
    <w:name w:val="Simmons&amp;Simmons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9937EB3"/>
    <w:multiLevelType w:val="multilevel"/>
    <w:tmpl w:val="1130A0CA"/>
    <w:styleLink w:val="SectionNumbering"/>
    <w:lvl w:ilvl="0">
      <w:start w:val="1"/>
      <w:numFmt w:val="none"/>
      <w:suff w:val="nothing"/>
      <w:lvlText w:val="%1"/>
      <w:lvlJc w:val="left"/>
      <w:pPr>
        <w:ind w:left="0" w:firstLine="0"/>
      </w:pPr>
      <w:rPr>
        <w:rFonts w:hint="default"/>
      </w:rPr>
    </w:lvl>
    <w:lvl w:ilvl="1">
      <w:start w:val="1"/>
      <w:numFmt w:val="decimal"/>
      <w:suff w:val="space"/>
      <w:lvlText w:val="Section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C055996"/>
    <w:multiLevelType w:val="multilevel"/>
    <w:tmpl w:val="3EA809C4"/>
    <w:lvl w:ilvl="0">
      <w:start w:val="1"/>
      <w:numFmt w:val="none"/>
      <w:suff w:val="nothing"/>
      <w:lvlText w:val=""/>
      <w:lvlJc w:val="left"/>
      <w:pPr>
        <w:ind w:left="0" w:firstLine="0"/>
      </w:pPr>
      <w:rPr>
        <w:rFonts w:hint="default"/>
      </w:rPr>
    </w:lvl>
    <w:lvl w:ilvl="1">
      <w:start w:val="1"/>
      <w:numFmt w:val="decimal"/>
      <w:suff w:val="nothing"/>
      <w:lvlText w:val="schedule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3E5E55CD"/>
    <w:multiLevelType w:val="hybridMultilevel"/>
    <w:tmpl w:val="95EADAAA"/>
    <w:lvl w:ilvl="0" w:tplc="0C34644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941C4C"/>
    <w:multiLevelType w:val="hybridMultilevel"/>
    <w:tmpl w:val="AACCDF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5E92D06"/>
    <w:multiLevelType w:val="hybridMultilevel"/>
    <w:tmpl w:val="94A29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237B4E"/>
    <w:multiLevelType w:val="multilevel"/>
    <w:tmpl w:val="5D4804C0"/>
    <w:lvl w:ilvl="0">
      <w:start w:val="1"/>
      <w:numFmt w:val="bullet"/>
      <w:lvlText w:val=""/>
      <w:lvlJc w:val="left"/>
      <w:pPr>
        <w:ind w:left="0" w:firstLine="0"/>
      </w:pPr>
      <w:rPr>
        <w:rFonts w:ascii="Symbol" w:hAnsi="Symbol" w:hint="default"/>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709"/>
        </w:tabs>
        <w:ind w:left="709" w:hanging="709"/>
      </w:pPr>
      <w:rPr>
        <w:rFonts w:hint="default"/>
      </w:rPr>
    </w:lvl>
    <w:lvl w:ilvl="3">
      <w:start w:val="1"/>
      <w:numFmt w:val="upperLetter"/>
      <w:lvlText w:val="(%4)"/>
      <w:lvlJc w:val="left"/>
      <w:pPr>
        <w:tabs>
          <w:tab w:val="num" w:pos="1418"/>
        </w:tabs>
        <w:ind w:left="1418" w:hanging="709"/>
      </w:pPr>
      <w:rPr>
        <w:rFonts w:hint="default"/>
      </w:rPr>
    </w:lvl>
    <w:lvl w:ilvl="4">
      <w:start w:val="1"/>
      <w:numFmt w:val="decimal"/>
      <w:lvlText w:val="(%5)"/>
      <w:lvlJc w:val="left"/>
      <w:pPr>
        <w:tabs>
          <w:tab w:val="num" w:pos="1985"/>
        </w:tabs>
        <w:ind w:left="1985" w:hanging="567"/>
      </w:pPr>
      <w:rPr>
        <w:rFonts w:hint="default"/>
      </w:rPr>
    </w:lvl>
    <w:lvl w:ilvl="5">
      <w:start w:val="1"/>
      <w:numFmt w:val="lowerLetter"/>
      <w:lvlText w:val="(%6)"/>
      <w:lvlJc w:val="left"/>
      <w:pPr>
        <w:tabs>
          <w:tab w:val="num" w:pos="2552"/>
        </w:tabs>
        <w:ind w:left="2552" w:hanging="567"/>
      </w:pPr>
      <w:rPr>
        <w:rFonts w:hint="default"/>
      </w:rPr>
    </w:lvl>
    <w:lvl w:ilvl="6">
      <w:start w:val="1"/>
      <w:numFmt w:val="lowerRoman"/>
      <w:lvlText w:val="(%7)"/>
      <w:lvlJc w:val="left"/>
      <w:pPr>
        <w:tabs>
          <w:tab w:val="num" w:pos="3119"/>
        </w:tabs>
        <w:ind w:left="3119" w:hanging="567"/>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464E539F"/>
    <w:multiLevelType w:val="multilevel"/>
    <w:tmpl w:val="71CADD9C"/>
    <w:styleLink w:val="AppendixNumbering"/>
    <w:lvl w:ilvl="0">
      <w:start w:val="1"/>
      <w:numFmt w:val="none"/>
      <w:suff w:val="nothing"/>
      <w:lvlText w:val=""/>
      <w:lvlJc w:val="left"/>
      <w:pPr>
        <w:ind w:left="0" w:firstLine="0"/>
      </w:pPr>
      <w:rPr>
        <w:rFonts w:hint="default"/>
      </w:rPr>
    </w:lvl>
    <w:lvl w:ilvl="1">
      <w:start w:val="1"/>
      <w:numFmt w:val="decimal"/>
      <w:suff w:val="space"/>
      <w:lvlText w:val="Appendix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7D03AF3"/>
    <w:multiLevelType w:val="multilevel"/>
    <w:tmpl w:val="F40CF3F4"/>
    <w:lvl w:ilvl="0">
      <w:start w:val="1"/>
      <w:numFmt w:val="bullet"/>
      <w:lvlText w:val=""/>
      <w:lvlJc w:val="left"/>
      <w:pPr>
        <w:ind w:left="0" w:firstLine="0"/>
      </w:pPr>
      <w:rPr>
        <w:rFonts w:ascii="Symbol" w:hAnsi="Symbol" w:hint="default"/>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709"/>
        </w:tabs>
        <w:ind w:left="709" w:hanging="709"/>
      </w:pPr>
      <w:rPr>
        <w:rFonts w:hint="default"/>
      </w:rPr>
    </w:lvl>
    <w:lvl w:ilvl="3">
      <w:start w:val="1"/>
      <w:numFmt w:val="upperLetter"/>
      <w:lvlText w:val="(%4)"/>
      <w:lvlJc w:val="left"/>
      <w:pPr>
        <w:tabs>
          <w:tab w:val="num" w:pos="1418"/>
        </w:tabs>
        <w:ind w:left="1418" w:hanging="709"/>
      </w:pPr>
      <w:rPr>
        <w:rFonts w:hint="default"/>
      </w:rPr>
    </w:lvl>
    <w:lvl w:ilvl="4">
      <w:start w:val="1"/>
      <w:numFmt w:val="decimal"/>
      <w:lvlText w:val="(%5)"/>
      <w:lvlJc w:val="left"/>
      <w:pPr>
        <w:tabs>
          <w:tab w:val="num" w:pos="1985"/>
        </w:tabs>
        <w:ind w:left="1985" w:hanging="567"/>
      </w:pPr>
      <w:rPr>
        <w:rFonts w:hint="default"/>
      </w:rPr>
    </w:lvl>
    <w:lvl w:ilvl="5">
      <w:start w:val="1"/>
      <w:numFmt w:val="lowerLetter"/>
      <w:lvlText w:val="(%6)"/>
      <w:lvlJc w:val="left"/>
      <w:pPr>
        <w:tabs>
          <w:tab w:val="num" w:pos="2552"/>
        </w:tabs>
        <w:ind w:left="2552" w:hanging="567"/>
      </w:pPr>
      <w:rPr>
        <w:rFonts w:hint="default"/>
      </w:rPr>
    </w:lvl>
    <w:lvl w:ilvl="6">
      <w:start w:val="1"/>
      <w:numFmt w:val="lowerRoman"/>
      <w:lvlText w:val="(%7)"/>
      <w:lvlJc w:val="left"/>
      <w:pPr>
        <w:tabs>
          <w:tab w:val="num" w:pos="3119"/>
        </w:tabs>
        <w:ind w:left="3119" w:hanging="567"/>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4AD75D45"/>
    <w:multiLevelType w:val="multilevel"/>
    <w:tmpl w:val="DAA68A3A"/>
    <w:lvl w:ilvl="0">
      <w:start w:val="1"/>
      <w:numFmt w:val="bullet"/>
      <w:lvlText w:val=""/>
      <w:lvlJc w:val="left"/>
      <w:pPr>
        <w:ind w:left="0" w:firstLine="0"/>
      </w:pPr>
      <w:rPr>
        <w:rFonts w:ascii="Symbol" w:hAnsi="Symbol" w:hint="default"/>
      </w:rPr>
    </w:lvl>
    <w:lvl w:ilvl="1">
      <w:start w:val="1"/>
      <w:numFmt w:val="decimal"/>
      <w:lvlText w:val="%2."/>
      <w:lvlJc w:val="left"/>
      <w:pPr>
        <w:tabs>
          <w:tab w:val="num" w:pos="0"/>
        </w:tabs>
        <w:ind w:left="709" w:hanging="709"/>
      </w:pPr>
      <w:rPr>
        <w:rFonts w:hint="default"/>
      </w:rPr>
    </w:lvl>
    <w:lvl w:ilvl="2">
      <w:start w:val="1"/>
      <w:numFmt w:val="decimal"/>
      <w:lvlText w:val="%2.%3"/>
      <w:lvlJc w:val="left"/>
      <w:pPr>
        <w:tabs>
          <w:tab w:val="num" w:pos="0"/>
        </w:tabs>
        <w:ind w:left="709" w:hanging="709"/>
      </w:pPr>
      <w:rPr>
        <w:rFonts w:hint="default"/>
      </w:rPr>
    </w:lvl>
    <w:lvl w:ilvl="3">
      <w:start w:val="1"/>
      <w:numFmt w:val="upperLetter"/>
      <w:lvlText w:val="(%4)"/>
      <w:lvlJc w:val="left"/>
      <w:pPr>
        <w:tabs>
          <w:tab w:val="num" w:pos="0"/>
        </w:tabs>
        <w:ind w:left="1418" w:hanging="709"/>
      </w:pPr>
      <w:rPr>
        <w:rFonts w:hint="default"/>
      </w:rPr>
    </w:lvl>
    <w:lvl w:ilvl="4">
      <w:start w:val="1"/>
      <w:numFmt w:val="decimal"/>
      <w:lvlText w:val="(%5)"/>
      <w:lvlJc w:val="left"/>
      <w:pPr>
        <w:tabs>
          <w:tab w:val="num" w:pos="0"/>
        </w:tabs>
        <w:ind w:left="1985" w:hanging="567"/>
      </w:pPr>
      <w:rPr>
        <w:rFonts w:hint="default"/>
      </w:rPr>
    </w:lvl>
    <w:lvl w:ilvl="5">
      <w:start w:val="1"/>
      <w:numFmt w:val="lowerLetter"/>
      <w:lvlText w:val="(%6)"/>
      <w:lvlJc w:val="left"/>
      <w:pPr>
        <w:tabs>
          <w:tab w:val="num" w:pos="0"/>
        </w:tabs>
        <w:ind w:left="2552" w:hanging="567"/>
      </w:pPr>
      <w:rPr>
        <w:rFonts w:hint="default"/>
      </w:rPr>
    </w:lvl>
    <w:lvl w:ilvl="6">
      <w:start w:val="1"/>
      <w:numFmt w:val="lowerRoman"/>
      <w:lvlText w:val="(%7)"/>
      <w:lvlJc w:val="left"/>
      <w:pPr>
        <w:tabs>
          <w:tab w:val="num" w:pos="0"/>
        </w:tabs>
        <w:ind w:left="2835" w:hanging="283"/>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4EEA3789"/>
    <w:multiLevelType w:val="hybridMultilevel"/>
    <w:tmpl w:val="609835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F1A6F9C"/>
    <w:multiLevelType w:val="multilevel"/>
    <w:tmpl w:val="0409001D"/>
    <w:name w:val="Simmons&amp;Simmon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F8B4C2C"/>
    <w:multiLevelType w:val="hybridMultilevel"/>
    <w:tmpl w:val="3822C0BC"/>
    <w:lvl w:ilvl="0" w:tplc="9BF45942">
      <w:start w:val="1"/>
      <w:numFmt w:val="bullet"/>
      <w:lvlText w:val=""/>
      <w:lvlJc w:val="left"/>
      <w:pPr>
        <w:ind w:left="720" w:hanging="360"/>
      </w:pPr>
      <w:rPr>
        <w:rFonts w:ascii="Wingdings" w:hAnsi="Wingdings" w:hint="default"/>
        <w:b w:val="0"/>
        <w:i w:val="0"/>
        <w:color w:val="69889A"/>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51E04840"/>
    <w:multiLevelType w:val="hybridMultilevel"/>
    <w:tmpl w:val="19D6A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432E12"/>
    <w:multiLevelType w:val="hybridMultilevel"/>
    <w:tmpl w:val="50D202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36C2FCC"/>
    <w:multiLevelType w:val="hybridMultilevel"/>
    <w:tmpl w:val="5CAC996E"/>
    <w:lvl w:ilvl="0" w:tplc="04090001">
      <w:start w:val="1"/>
      <w:numFmt w:val="bullet"/>
      <w:lvlText w:val=""/>
      <w:lvlJc w:val="left"/>
      <w:pPr>
        <w:ind w:left="502" w:hanging="360"/>
      </w:pPr>
      <w:rPr>
        <w:rFonts w:ascii="Symbol" w:hAnsi="Symbol" w:hint="default"/>
        <w:color w:val="auto"/>
      </w:rPr>
    </w:lvl>
    <w:lvl w:ilvl="1" w:tplc="3E1053C6">
      <w:start w:val="1"/>
      <w:numFmt w:val="bullet"/>
      <w:lvlText w:val="o"/>
      <w:lvlJc w:val="left"/>
      <w:pPr>
        <w:ind w:left="1440" w:hanging="360"/>
      </w:pPr>
      <w:rPr>
        <w:rFonts w:ascii="Courier New" w:hAnsi="Courier New" w:cs="Courier New" w:hint="default"/>
      </w:rPr>
    </w:lvl>
    <w:lvl w:ilvl="2" w:tplc="2280DA6E" w:tentative="1">
      <w:start w:val="1"/>
      <w:numFmt w:val="bullet"/>
      <w:lvlText w:val=""/>
      <w:lvlJc w:val="left"/>
      <w:pPr>
        <w:ind w:left="2160" w:hanging="360"/>
      </w:pPr>
      <w:rPr>
        <w:rFonts w:ascii="Wingdings" w:hAnsi="Wingdings" w:hint="default"/>
      </w:rPr>
    </w:lvl>
    <w:lvl w:ilvl="3" w:tplc="302C5398" w:tentative="1">
      <w:start w:val="1"/>
      <w:numFmt w:val="bullet"/>
      <w:lvlText w:val=""/>
      <w:lvlJc w:val="left"/>
      <w:pPr>
        <w:ind w:left="2880" w:hanging="360"/>
      </w:pPr>
      <w:rPr>
        <w:rFonts w:ascii="Symbol" w:hAnsi="Symbol" w:hint="default"/>
      </w:rPr>
    </w:lvl>
    <w:lvl w:ilvl="4" w:tplc="6FB87BF6" w:tentative="1">
      <w:start w:val="1"/>
      <w:numFmt w:val="bullet"/>
      <w:lvlText w:val="o"/>
      <w:lvlJc w:val="left"/>
      <w:pPr>
        <w:ind w:left="3600" w:hanging="360"/>
      </w:pPr>
      <w:rPr>
        <w:rFonts w:ascii="Courier New" w:hAnsi="Courier New" w:cs="Courier New" w:hint="default"/>
      </w:rPr>
    </w:lvl>
    <w:lvl w:ilvl="5" w:tplc="E89AE07C" w:tentative="1">
      <w:start w:val="1"/>
      <w:numFmt w:val="bullet"/>
      <w:lvlText w:val=""/>
      <w:lvlJc w:val="left"/>
      <w:pPr>
        <w:ind w:left="4320" w:hanging="360"/>
      </w:pPr>
      <w:rPr>
        <w:rFonts w:ascii="Wingdings" w:hAnsi="Wingdings" w:hint="default"/>
      </w:rPr>
    </w:lvl>
    <w:lvl w:ilvl="6" w:tplc="A8F8CB22" w:tentative="1">
      <w:start w:val="1"/>
      <w:numFmt w:val="bullet"/>
      <w:lvlText w:val=""/>
      <w:lvlJc w:val="left"/>
      <w:pPr>
        <w:ind w:left="5040" w:hanging="360"/>
      </w:pPr>
      <w:rPr>
        <w:rFonts w:ascii="Symbol" w:hAnsi="Symbol" w:hint="default"/>
      </w:rPr>
    </w:lvl>
    <w:lvl w:ilvl="7" w:tplc="6C08F03A" w:tentative="1">
      <w:start w:val="1"/>
      <w:numFmt w:val="bullet"/>
      <w:lvlText w:val="o"/>
      <w:lvlJc w:val="left"/>
      <w:pPr>
        <w:ind w:left="5760" w:hanging="360"/>
      </w:pPr>
      <w:rPr>
        <w:rFonts w:ascii="Courier New" w:hAnsi="Courier New" w:cs="Courier New" w:hint="default"/>
      </w:rPr>
    </w:lvl>
    <w:lvl w:ilvl="8" w:tplc="6F1E54D4" w:tentative="1">
      <w:start w:val="1"/>
      <w:numFmt w:val="bullet"/>
      <w:lvlText w:val=""/>
      <w:lvlJc w:val="left"/>
      <w:pPr>
        <w:ind w:left="6480" w:hanging="360"/>
      </w:pPr>
      <w:rPr>
        <w:rFonts w:ascii="Wingdings" w:hAnsi="Wingdings" w:hint="default"/>
      </w:rPr>
    </w:lvl>
  </w:abstractNum>
  <w:abstractNum w:abstractNumId="38" w15:restartNumberingAfterBreak="0">
    <w:nsid w:val="53BB73DF"/>
    <w:multiLevelType w:val="hybridMultilevel"/>
    <w:tmpl w:val="FF7AAD00"/>
    <w:lvl w:ilvl="0" w:tplc="4E50A0DA">
      <w:start w:val="1"/>
      <w:numFmt w:val="bullet"/>
      <w:lvlText w:val=""/>
      <w:lvlJc w:val="left"/>
      <w:pPr>
        <w:ind w:left="502" w:hanging="360"/>
      </w:pPr>
      <w:rPr>
        <w:rFonts w:ascii="Symbol" w:hAnsi="Symbol" w:hint="default"/>
        <w:color w:val="auto"/>
      </w:rPr>
    </w:lvl>
    <w:lvl w:ilvl="1" w:tplc="3E1053C6">
      <w:start w:val="1"/>
      <w:numFmt w:val="bullet"/>
      <w:lvlText w:val="o"/>
      <w:lvlJc w:val="left"/>
      <w:pPr>
        <w:ind w:left="1440" w:hanging="360"/>
      </w:pPr>
      <w:rPr>
        <w:rFonts w:ascii="Courier New" w:hAnsi="Courier New" w:cs="Courier New" w:hint="default"/>
      </w:rPr>
    </w:lvl>
    <w:lvl w:ilvl="2" w:tplc="2280DA6E" w:tentative="1">
      <w:start w:val="1"/>
      <w:numFmt w:val="bullet"/>
      <w:lvlText w:val=""/>
      <w:lvlJc w:val="left"/>
      <w:pPr>
        <w:ind w:left="2160" w:hanging="360"/>
      </w:pPr>
      <w:rPr>
        <w:rFonts w:ascii="Wingdings" w:hAnsi="Wingdings" w:hint="default"/>
      </w:rPr>
    </w:lvl>
    <w:lvl w:ilvl="3" w:tplc="302C5398" w:tentative="1">
      <w:start w:val="1"/>
      <w:numFmt w:val="bullet"/>
      <w:lvlText w:val=""/>
      <w:lvlJc w:val="left"/>
      <w:pPr>
        <w:ind w:left="2880" w:hanging="360"/>
      </w:pPr>
      <w:rPr>
        <w:rFonts w:ascii="Symbol" w:hAnsi="Symbol" w:hint="default"/>
      </w:rPr>
    </w:lvl>
    <w:lvl w:ilvl="4" w:tplc="6FB87BF6" w:tentative="1">
      <w:start w:val="1"/>
      <w:numFmt w:val="bullet"/>
      <w:lvlText w:val="o"/>
      <w:lvlJc w:val="left"/>
      <w:pPr>
        <w:ind w:left="3600" w:hanging="360"/>
      </w:pPr>
      <w:rPr>
        <w:rFonts w:ascii="Courier New" w:hAnsi="Courier New" w:cs="Courier New" w:hint="default"/>
      </w:rPr>
    </w:lvl>
    <w:lvl w:ilvl="5" w:tplc="E89AE07C" w:tentative="1">
      <w:start w:val="1"/>
      <w:numFmt w:val="bullet"/>
      <w:lvlText w:val=""/>
      <w:lvlJc w:val="left"/>
      <w:pPr>
        <w:ind w:left="4320" w:hanging="360"/>
      </w:pPr>
      <w:rPr>
        <w:rFonts w:ascii="Wingdings" w:hAnsi="Wingdings" w:hint="default"/>
      </w:rPr>
    </w:lvl>
    <w:lvl w:ilvl="6" w:tplc="A8F8CB22" w:tentative="1">
      <w:start w:val="1"/>
      <w:numFmt w:val="bullet"/>
      <w:lvlText w:val=""/>
      <w:lvlJc w:val="left"/>
      <w:pPr>
        <w:ind w:left="5040" w:hanging="360"/>
      </w:pPr>
      <w:rPr>
        <w:rFonts w:ascii="Symbol" w:hAnsi="Symbol" w:hint="default"/>
      </w:rPr>
    </w:lvl>
    <w:lvl w:ilvl="7" w:tplc="6C08F03A" w:tentative="1">
      <w:start w:val="1"/>
      <w:numFmt w:val="bullet"/>
      <w:lvlText w:val="o"/>
      <w:lvlJc w:val="left"/>
      <w:pPr>
        <w:ind w:left="5760" w:hanging="360"/>
      </w:pPr>
      <w:rPr>
        <w:rFonts w:ascii="Courier New" w:hAnsi="Courier New" w:cs="Courier New" w:hint="default"/>
      </w:rPr>
    </w:lvl>
    <w:lvl w:ilvl="8" w:tplc="6F1E54D4" w:tentative="1">
      <w:start w:val="1"/>
      <w:numFmt w:val="bullet"/>
      <w:lvlText w:val=""/>
      <w:lvlJc w:val="left"/>
      <w:pPr>
        <w:ind w:left="6480" w:hanging="360"/>
      </w:pPr>
      <w:rPr>
        <w:rFonts w:ascii="Wingdings" w:hAnsi="Wingdings" w:hint="default"/>
      </w:rPr>
    </w:lvl>
  </w:abstractNum>
  <w:abstractNum w:abstractNumId="39" w15:restartNumberingAfterBreak="0">
    <w:nsid w:val="59FF50DD"/>
    <w:multiLevelType w:val="hybridMultilevel"/>
    <w:tmpl w:val="7C484334"/>
    <w:lvl w:ilvl="0" w:tplc="0C3464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000006"/>
    <w:multiLevelType w:val="hybridMultilevel"/>
    <w:tmpl w:val="3C12EB7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8858F9"/>
    <w:multiLevelType w:val="hybridMultilevel"/>
    <w:tmpl w:val="070A7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CF1A26"/>
    <w:multiLevelType w:val="hybridMultilevel"/>
    <w:tmpl w:val="4426B304"/>
    <w:lvl w:ilvl="0" w:tplc="37BEC9A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3F33F23"/>
    <w:multiLevelType w:val="hybridMultilevel"/>
    <w:tmpl w:val="CF0E07C0"/>
    <w:lvl w:ilvl="0" w:tplc="8696941A">
      <w:start w:val="1"/>
      <w:numFmt w:val="bullet"/>
      <w:lvlText w:val=""/>
      <w:lvlJc w:val="left"/>
      <w:pPr>
        <w:ind w:left="720" w:hanging="360"/>
      </w:pPr>
      <w:rPr>
        <w:rFonts w:ascii="Symbol" w:hAnsi="Symbol" w:hint="default"/>
      </w:rPr>
    </w:lvl>
    <w:lvl w:ilvl="1" w:tplc="2842B60A">
      <w:start w:val="1"/>
      <w:numFmt w:val="bullet"/>
      <w:lvlText w:val="o"/>
      <w:lvlJc w:val="left"/>
      <w:pPr>
        <w:ind w:left="1440" w:hanging="360"/>
      </w:pPr>
      <w:rPr>
        <w:rFonts w:ascii="Courier New" w:hAnsi="Courier New" w:cs="Courier New" w:hint="default"/>
      </w:rPr>
    </w:lvl>
    <w:lvl w:ilvl="2" w:tplc="263C1250">
      <w:start w:val="1"/>
      <w:numFmt w:val="bullet"/>
      <w:lvlText w:val=""/>
      <w:lvlJc w:val="left"/>
      <w:pPr>
        <w:ind w:left="2160" w:hanging="360"/>
      </w:pPr>
      <w:rPr>
        <w:rFonts w:ascii="Wingdings" w:hAnsi="Wingdings" w:hint="default"/>
      </w:rPr>
    </w:lvl>
    <w:lvl w:ilvl="3" w:tplc="CF0A36F2">
      <w:start w:val="1"/>
      <w:numFmt w:val="bullet"/>
      <w:lvlText w:val=""/>
      <w:lvlJc w:val="left"/>
      <w:pPr>
        <w:ind w:left="2880" w:hanging="360"/>
      </w:pPr>
      <w:rPr>
        <w:rFonts w:ascii="Symbol" w:hAnsi="Symbol" w:hint="default"/>
      </w:rPr>
    </w:lvl>
    <w:lvl w:ilvl="4" w:tplc="66BCAC12">
      <w:start w:val="1"/>
      <w:numFmt w:val="bullet"/>
      <w:lvlText w:val="o"/>
      <w:lvlJc w:val="left"/>
      <w:pPr>
        <w:ind w:left="3600" w:hanging="360"/>
      </w:pPr>
      <w:rPr>
        <w:rFonts w:ascii="Courier New" w:hAnsi="Courier New" w:cs="Courier New" w:hint="default"/>
      </w:rPr>
    </w:lvl>
    <w:lvl w:ilvl="5" w:tplc="BC383C04">
      <w:start w:val="1"/>
      <w:numFmt w:val="bullet"/>
      <w:lvlText w:val=""/>
      <w:lvlJc w:val="left"/>
      <w:pPr>
        <w:ind w:left="4320" w:hanging="360"/>
      </w:pPr>
      <w:rPr>
        <w:rFonts w:ascii="Wingdings" w:hAnsi="Wingdings" w:hint="default"/>
      </w:rPr>
    </w:lvl>
    <w:lvl w:ilvl="6" w:tplc="EA98696C">
      <w:start w:val="1"/>
      <w:numFmt w:val="bullet"/>
      <w:lvlText w:val=""/>
      <w:lvlJc w:val="left"/>
      <w:pPr>
        <w:ind w:left="5040" w:hanging="360"/>
      </w:pPr>
      <w:rPr>
        <w:rFonts w:ascii="Symbol" w:hAnsi="Symbol" w:hint="default"/>
      </w:rPr>
    </w:lvl>
    <w:lvl w:ilvl="7" w:tplc="CA1C4202">
      <w:start w:val="1"/>
      <w:numFmt w:val="bullet"/>
      <w:lvlText w:val="o"/>
      <w:lvlJc w:val="left"/>
      <w:pPr>
        <w:ind w:left="5760" w:hanging="360"/>
      </w:pPr>
      <w:rPr>
        <w:rFonts w:ascii="Courier New" w:hAnsi="Courier New" w:cs="Courier New" w:hint="default"/>
      </w:rPr>
    </w:lvl>
    <w:lvl w:ilvl="8" w:tplc="BF88649C">
      <w:start w:val="1"/>
      <w:numFmt w:val="bullet"/>
      <w:lvlText w:val=""/>
      <w:lvlJc w:val="left"/>
      <w:pPr>
        <w:ind w:left="6480" w:hanging="360"/>
      </w:pPr>
      <w:rPr>
        <w:rFonts w:ascii="Wingdings" w:hAnsi="Wingdings" w:hint="default"/>
      </w:rPr>
    </w:lvl>
  </w:abstractNum>
  <w:abstractNum w:abstractNumId="44" w15:restartNumberingAfterBreak="0">
    <w:nsid w:val="696F19CC"/>
    <w:multiLevelType w:val="hybridMultilevel"/>
    <w:tmpl w:val="D7AC5FCA"/>
    <w:lvl w:ilvl="0" w:tplc="9A0C6BBE">
      <w:start w:val="1"/>
      <w:numFmt w:val="bullet"/>
      <w:pStyle w:val="BulletPoint3"/>
      <w:lvlText w:val=""/>
      <w:lvlJc w:val="left"/>
      <w:pPr>
        <w:ind w:left="2160" w:hanging="360"/>
      </w:pPr>
      <w:rPr>
        <w:rFonts w:ascii="Wingdings" w:hAnsi="Wingdings" w:hint="default"/>
        <w:color w:val="69889A"/>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5" w15:restartNumberingAfterBreak="0">
    <w:nsid w:val="6B3B0B99"/>
    <w:multiLevelType w:val="hybridMultilevel"/>
    <w:tmpl w:val="4F4A4FC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FB75D6"/>
    <w:multiLevelType w:val="hybridMultilevel"/>
    <w:tmpl w:val="D102B7F0"/>
    <w:lvl w:ilvl="0" w:tplc="0C3464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6E03DB"/>
    <w:multiLevelType w:val="hybridMultilevel"/>
    <w:tmpl w:val="512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2B37AC"/>
    <w:multiLevelType w:val="multilevel"/>
    <w:tmpl w:val="4442EDA6"/>
    <w:name w:val="Simmons&amp;Simmons"/>
    <w:lvl w:ilvl="0">
      <w:start w:val="1"/>
      <w:numFmt w:val="none"/>
      <w:pStyle w:val="ssRestartNumber"/>
      <w:suff w:val="nothing"/>
      <w:lvlText w:val=""/>
      <w:lvlJc w:val="left"/>
      <w:pPr>
        <w:ind w:left="0" w:firstLine="0"/>
      </w:pPr>
      <w:rPr>
        <w:rFonts w:hint="default"/>
      </w:rPr>
    </w:lvl>
    <w:lvl w:ilvl="1">
      <w:start w:val="1"/>
      <w:numFmt w:val="decimal"/>
      <w:pStyle w:val="Heading1"/>
      <w:lvlText w:val="%2."/>
      <w:lvlJc w:val="left"/>
      <w:pPr>
        <w:tabs>
          <w:tab w:val="num" w:pos="709"/>
        </w:tabs>
        <w:ind w:left="709" w:hanging="709"/>
      </w:pPr>
      <w:rPr>
        <w:rFonts w:hint="default"/>
        <w:b w:val="0"/>
        <w:i w:val="0"/>
        <w:u w:val="none"/>
      </w:rPr>
    </w:lvl>
    <w:lvl w:ilvl="2">
      <w:start w:val="1"/>
      <w:numFmt w:val="decimal"/>
      <w:pStyle w:val="Heading2"/>
      <w:lvlText w:val="%2.%3"/>
      <w:lvlJc w:val="left"/>
      <w:pPr>
        <w:tabs>
          <w:tab w:val="num" w:pos="709"/>
        </w:tabs>
        <w:ind w:left="709" w:hanging="709"/>
      </w:pPr>
      <w:rPr>
        <w:rFonts w:hint="default"/>
        <w:b w:val="0"/>
        <w:i w:val="0"/>
      </w:rPr>
    </w:lvl>
    <w:lvl w:ilvl="3">
      <w:start w:val="1"/>
      <w:numFmt w:val="upperLetter"/>
      <w:lvlText w:val="(%4)"/>
      <w:lvlJc w:val="left"/>
      <w:pPr>
        <w:tabs>
          <w:tab w:val="num" w:pos="1418"/>
        </w:tabs>
        <w:ind w:left="1418" w:hanging="709"/>
      </w:pPr>
      <w:rPr>
        <w:rFonts w:hint="default"/>
        <w:b w:val="0"/>
        <w:i w:val="0"/>
      </w:rPr>
    </w:lvl>
    <w:lvl w:ilvl="4">
      <w:start w:val="1"/>
      <w:numFmt w:val="decimal"/>
      <w:pStyle w:val="Heading4"/>
      <w:lvlText w:val="(%5)"/>
      <w:lvlJc w:val="left"/>
      <w:pPr>
        <w:tabs>
          <w:tab w:val="num" w:pos="1985"/>
        </w:tabs>
        <w:ind w:left="1985" w:hanging="567"/>
      </w:pPr>
      <w:rPr>
        <w:rFonts w:hint="default"/>
        <w:b w:val="0"/>
        <w:i w:val="0"/>
      </w:rPr>
    </w:lvl>
    <w:lvl w:ilvl="5">
      <w:start w:val="1"/>
      <w:numFmt w:val="lowerLetter"/>
      <w:pStyle w:val="Heading5"/>
      <w:lvlText w:val="(%6)"/>
      <w:lvlJc w:val="left"/>
      <w:pPr>
        <w:tabs>
          <w:tab w:val="num" w:pos="2552"/>
        </w:tabs>
        <w:ind w:left="2552" w:hanging="567"/>
      </w:pPr>
      <w:rPr>
        <w:rFonts w:hint="default"/>
        <w:b w:val="0"/>
        <w:i w:val="0"/>
      </w:rPr>
    </w:lvl>
    <w:lvl w:ilvl="6">
      <w:start w:val="1"/>
      <w:numFmt w:val="lowerRoman"/>
      <w:pStyle w:val="Heading6"/>
      <w:lvlText w:val="(%7)"/>
      <w:lvlJc w:val="left"/>
      <w:pPr>
        <w:tabs>
          <w:tab w:val="num" w:pos="3119"/>
        </w:tabs>
        <w:ind w:left="3119" w:hanging="567"/>
      </w:pPr>
      <w:rPr>
        <w:rFonts w:hint="default"/>
        <w:b w:val="0"/>
        <w:i w:val="0"/>
      </w:rPr>
    </w:lvl>
    <w:lvl w:ilvl="7">
      <w:start w:val="1"/>
      <w:numFmt w:val="none"/>
      <w:pStyle w:val="Heading7"/>
      <w:suff w:val="nothing"/>
      <w:lvlText w:val=""/>
      <w:lvlJc w:val="left"/>
      <w:pPr>
        <w:ind w:left="0" w:firstLine="0"/>
      </w:pPr>
      <w:rPr>
        <w:rFonts w:hint="default"/>
      </w:rPr>
    </w:lvl>
    <w:lvl w:ilvl="8">
      <w:start w:val="1"/>
      <w:numFmt w:val="none"/>
      <w:pStyle w:val="Heading8"/>
      <w:suff w:val="nothing"/>
      <w:lvlText w:val=""/>
      <w:lvlJc w:val="left"/>
      <w:pPr>
        <w:ind w:left="0" w:firstLine="0"/>
      </w:pPr>
      <w:rPr>
        <w:rFonts w:hint="default"/>
      </w:rPr>
    </w:lvl>
  </w:abstractNum>
  <w:abstractNum w:abstractNumId="49" w15:restartNumberingAfterBreak="0">
    <w:nsid w:val="795B60DA"/>
    <w:multiLevelType w:val="hybridMultilevel"/>
    <w:tmpl w:val="BD54D80E"/>
    <w:lvl w:ilvl="0" w:tplc="8F96D96E">
      <w:start w:val="2"/>
      <w:numFmt w:val="bullet"/>
      <w:pStyle w:val="BulletPoint2"/>
      <w:lvlText w:val="-"/>
      <w:lvlJc w:val="left"/>
      <w:pPr>
        <w:ind w:left="757" w:hanging="360"/>
      </w:pPr>
      <w:rPr>
        <w:rFonts w:ascii="Arial" w:hAnsi="Arial" w:hint="default"/>
        <w:b/>
        <w:i w:val="0"/>
        <w:color w:val="69889A"/>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95D27F5"/>
    <w:multiLevelType w:val="hybridMultilevel"/>
    <w:tmpl w:val="25860DA4"/>
    <w:lvl w:ilvl="0" w:tplc="001200E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B1225AB"/>
    <w:multiLevelType w:val="hybridMultilevel"/>
    <w:tmpl w:val="31CA8340"/>
    <w:lvl w:ilvl="0" w:tplc="C92645C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F466FC9"/>
    <w:multiLevelType w:val="multilevel"/>
    <w:tmpl w:val="5D4804C0"/>
    <w:lvl w:ilvl="0">
      <w:start w:val="1"/>
      <w:numFmt w:val="bullet"/>
      <w:lvlText w:val=""/>
      <w:lvlJc w:val="left"/>
      <w:pPr>
        <w:ind w:left="0" w:firstLine="0"/>
      </w:pPr>
      <w:rPr>
        <w:rFonts w:ascii="Symbol" w:hAnsi="Symbol" w:hint="default"/>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709"/>
        </w:tabs>
        <w:ind w:left="709" w:hanging="709"/>
      </w:pPr>
      <w:rPr>
        <w:rFonts w:hint="default"/>
      </w:rPr>
    </w:lvl>
    <w:lvl w:ilvl="3">
      <w:start w:val="1"/>
      <w:numFmt w:val="upperLetter"/>
      <w:lvlText w:val="(%4)"/>
      <w:lvlJc w:val="left"/>
      <w:pPr>
        <w:tabs>
          <w:tab w:val="num" w:pos="1418"/>
        </w:tabs>
        <w:ind w:left="1418" w:hanging="709"/>
      </w:pPr>
      <w:rPr>
        <w:rFonts w:hint="default"/>
      </w:rPr>
    </w:lvl>
    <w:lvl w:ilvl="4">
      <w:start w:val="1"/>
      <w:numFmt w:val="decimal"/>
      <w:lvlText w:val="(%5)"/>
      <w:lvlJc w:val="left"/>
      <w:pPr>
        <w:tabs>
          <w:tab w:val="num" w:pos="1985"/>
        </w:tabs>
        <w:ind w:left="1985" w:hanging="567"/>
      </w:pPr>
      <w:rPr>
        <w:rFonts w:hint="default"/>
      </w:rPr>
    </w:lvl>
    <w:lvl w:ilvl="5">
      <w:start w:val="1"/>
      <w:numFmt w:val="lowerLetter"/>
      <w:lvlText w:val="(%6)"/>
      <w:lvlJc w:val="left"/>
      <w:pPr>
        <w:tabs>
          <w:tab w:val="num" w:pos="2552"/>
        </w:tabs>
        <w:ind w:left="2552" w:hanging="567"/>
      </w:pPr>
      <w:rPr>
        <w:rFonts w:hint="default"/>
      </w:rPr>
    </w:lvl>
    <w:lvl w:ilvl="6">
      <w:start w:val="1"/>
      <w:numFmt w:val="lowerRoman"/>
      <w:lvlText w:val="(%7)"/>
      <w:lvlJc w:val="left"/>
      <w:pPr>
        <w:tabs>
          <w:tab w:val="num" w:pos="3119"/>
        </w:tabs>
        <w:ind w:left="3119" w:hanging="567"/>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3" w15:restartNumberingAfterBreak="0">
    <w:nsid w:val="7FE00787"/>
    <w:multiLevelType w:val="multilevel"/>
    <w:tmpl w:val="FA040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8"/>
  </w:num>
  <w:num w:numId="2">
    <w:abstractNumId w:val="16"/>
  </w:num>
  <w:num w:numId="3">
    <w:abstractNumId w:val="5"/>
  </w:num>
  <w:num w:numId="4">
    <w:abstractNumId w:val="2"/>
  </w:num>
  <w:num w:numId="5">
    <w:abstractNumId w:val="24"/>
  </w:num>
  <w:num w:numId="6">
    <w:abstractNumId w:val="21"/>
  </w:num>
  <w:num w:numId="7">
    <w:abstractNumId w:val="30"/>
  </w:num>
  <w:num w:numId="8">
    <w:abstractNumId w:val="20"/>
  </w:num>
  <w:num w:numId="9">
    <w:abstractNumId w:val="0"/>
  </w:num>
  <w:num w:numId="10">
    <w:abstractNumId w:val="11"/>
  </w:num>
  <w:num w:numId="11">
    <w:abstractNumId w:val="29"/>
  </w:num>
  <w:num w:numId="12">
    <w:abstractNumId w:val="17"/>
  </w:num>
  <w:num w:numId="13">
    <w:abstractNumId w:val="44"/>
  </w:num>
  <w:num w:numId="14">
    <w:abstractNumId w:val="23"/>
  </w:num>
  <w:num w:numId="15">
    <w:abstractNumId w:val="49"/>
  </w:num>
  <w:num w:numId="16">
    <w:abstractNumId w:val="9"/>
  </w:num>
  <w:num w:numId="17">
    <w:abstractNumId w:val="13"/>
  </w:num>
  <w:num w:numId="18">
    <w:abstractNumId w:val="53"/>
  </w:num>
  <w:num w:numId="19">
    <w:abstractNumId w:val="3"/>
  </w:num>
  <w:num w:numId="20">
    <w:abstractNumId w:val="37"/>
  </w:num>
  <w:num w:numId="21">
    <w:abstractNumId w:val="43"/>
  </w:num>
  <w:num w:numId="22">
    <w:abstractNumId w:val="45"/>
  </w:num>
  <w:num w:numId="23">
    <w:abstractNumId w:val="40"/>
  </w:num>
  <w:num w:numId="24">
    <w:abstractNumId w:val="27"/>
  </w:num>
  <w:num w:numId="25">
    <w:abstractNumId w:val="47"/>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46"/>
  </w:num>
  <w:num w:numId="29">
    <w:abstractNumId w:val="39"/>
  </w:num>
  <w:num w:numId="30">
    <w:abstractNumId w:val="4"/>
  </w:num>
  <w:num w:numId="31">
    <w:abstractNumId w:val="50"/>
  </w:num>
  <w:num w:numId="32">
    <w:abstractNumId w:val="51"/>
  </w:num>
  <w:num w:numId="33">
    <w:abstractNumId w:val="8"/>
  </w:num>
  <w:num w:numId="34">
    <w:abstractNumId w:val="35"/>
  </w:num>
  <w:num w:numId="35">
    <w:abstractNumId w:val="52"/>
  </w:num>
  <w:num w:numId="36">
    <w:abstractNumId w:val="28"/>
  </w:num>
  <w:num w:numId="37">
    <w:abstractNumId w:val="6"/>
  </w:num>
  <w:num w:numId="38">
    <w:abstractNumId w:val="38"/>
  </w:num>
  <w:num w:numId="39">
    <w:abstractNumId w:val="41"/>
  </w:num>
  <w:num w:numId="40">
    <w:abstractNumId w:val="32"/>
  </w:num>
  <w:num w:numId="41">
    <w:abstractNumId w:val="26"/>
  </w:num>
  <w:num w:numId="42">
    <w:abstractNumId w:val="1"/>
  </w:num>
  <w:num w:numId="43">
    <w:abstractNumId w:val="15"/>
  </w:num>
  <w:num w:numId="44">
    <w:abstractNumId w:val="42"/>
  </w:num>
  <w:num w:numId="45">
    <w:abstractNumId w:val="36"/>
  </w:num>
  <w:num w:numId="46">
    <w:abstractNumId w:val="10"/>
  </w:num>
  <w:num w:numId="47">
    <w:abstractNumId w:val="14"/>
  </w:num>
  <w:num w:numId="48">
    <w:abstractNumId w:val="31"/>
  </w:num>
  <w:num w:numId="49">
    <w:abstractNumId w:val="12"/>
  </w:num>
  <w:num w:numId="50">
    <w:abstractNumId w:val="7"/>
  </w:num>
  <w:num w:numId="51">
    <w:abstractNumId w:val="3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CultureID" w:val="English-UK"/>
    <w:docVar w:name="TMS_OfficeID" w:val="London"/>
    <w:docVar w:name="TMS_TEMPLATE_ID" w:val="General"/>
  </w:docVars>
  <w:rsids>
    <w:rsidRoot w:val="005B5854"/>
    <w:rsid w:val="0000353D"/>
    <w:rsid w:val="0000375B"/>
    <w:rsid w:val="00003B76"/>
    <w:rsid w:val="0001136C"/>
    <w:rsid w:val="00015EA2"/>
    <w:rsid w:val="00032535"/>
    <w:rsid w:val="000346CB"/>
    <w:rsid w:val="00034E3F"/>
    <w:rsid w:val="0003545D"/>
    <w:rsid w:val="00044E5C"/>
    <w:rsid w:val="00050C92"/>
    <w:rsid w:val="000510FA"/>
    <w:rsid w:val="00053F24"/>
    <w:rsid w:val="00064257"/>
    <w:rsid w:val="00064986"/>
    <w:rsid w:val="00071B28"/>
    <w:rsid w:val="0008612F"/>
    <w:rsid w:val="000865D3"/>
    <w:rsid w:val="000919F3"/>
    <w:rsid w:val="000964BD"/>
    <w:rsid w:val="000A0231"/>
    <w:rsid w:val="000A5A92"/>
    <w:rsid w:val="000B09BF"/>
    <w:rsid w:val="000B1390"/>
    <w:rsid w:val="000B301D"/>
    <w:rsid w:val="000C5916"/>
    <w:rsid w:val="000D1F6F"/>
    <w:rsid w:val="000E0985"/>
    <w:rsid w:val="000E2AC0"/>
    <w:rsid w:val="000E6EFB"/>
    <w:rsid w:val="000F2C35"/>
    <w:rsid w:val="000F3711"/>
    <w:rsid w:val="00100CE2"/>
    <w:rsid w:val="00101241"/>
    <w:rsid w:val="00103592"/>
    <w:rsid w:val="00106039"/>
    <w:rsid w:val="001060FD"/>
    <w:rsid w:val="001138DB"/>
    <w:rsid w:val="00114DC0"/>
    <w:rsid w:val="00116673"/>
    <w:rsid w:val="00116C4D"/>
    <w:rsid w:val="00122278"/>
    <w:rsid w:val="0012337C"/>
    <w:rsid w:val="00123B0D"/>
    <w:rsid w:val="00131D8F"/>
    <w:rsid w:val="00134261"/>
    <w:rsid w:val="001354A1"/>
    <w:rsid w:val="00135677"/>
    <w:rsid w:val="00143322"/>
    <w:rsid w:val="00143896"/>
    <w:rsid w:val="00146606"/>
    <w:rsid w:val="001473E5"/>
    <w:rsid w:val="00150A26"/>
    <w:rsid w:val="001570C6"/>
    <w:rsid w:val="00163379"/>
    <w:rsid w:val="00176254"/>
    <w:rsid w:val="00185278"/>
    <w:rsid w:val="00191C60"/>
    <w:rsid w:val="00193306"/>
    <w:rsid w:val="00194B5A"/>
    <w:rsid w:val="00196557"/>
    <w:rsid w:val="001A50C6"/>
    <w:rsid w:val="001A6825"/>
    <w:rsid w:val="001B24BC"/>
    <w:rsid w:val="001B325C"/>
    <w:rsid w:val="001C19D7"/>
    <w:rsid w:val="001C53B2"/>
    <w:rsid w:val="001D4C59"/>
    <w:rsid w:val="001E382D"/>
    <w:rsid w:val="001F17BC"/>
    <w:rsid w:val="001F23B2"/>
    <w:rsid w:val="001F5A5F"/>
    <w:rsid w:val="00202B9B"/>
    <w:rsid w:val="00206333"/>
    <w:rsid w:val="002068C6"/>
    <w:rsid w:val="002075EA"/>
    <w:rsid w:val="00213BF5"/>
    <w:rsid w:val="002145F3"/>
    <w:rsid w:val="00214C99"/>
    <w:rsid w:val="00215132"/>
    <w:rsid w:val="002172F2"/>
    <w:rsid w:val="002208F4"/>
    <w:rsid w:val="002239DA"/>
    <w:rsid w:val="002366C3"/>
    <w:rsid w:val="002374BC"/>
    <w:rsid w:val="0024109A"/>
    <w:rsid w:val="00241C81"/>
    <w:rsid w:val="00242058"/>
    <w:rsid w:val="0024268B"/>
    <w:rsid w:val="00243721"/>
    <w:rsid w:val="00246601"/>
    <w:rsid w:val="00250869"/>
    <w:rsid w:val="002547B3"/>
    <w:rsid w:val="00256CEF"/>
    <w:rsid w:val="00260099"/>
    <w:rsid w:val="0026169E"/>
    <w:rsid w:val="00263BBD"/>
    <w:rsid w:val="00264165"/>
    <w:rsid w:val="00266EB7"/>
    <w:rsid w:val="00272F42"/>
    <w:rsid w:val="00290310"/>
    <w:rsid w:val="0029088B"/>
    <w:rsid w:val="002A080A"/>
    <w:rsid w:val="002A6353"/>
    <w:rsid w:val="002A6FF0"/>
    <w:rsid w:val="002B1393"/>
    <w:rsid w:val="002B301D"/>
    <w:rsid w:val="002B491D"/>
    <w:rsid w:val="002C0AB1"/>
    <w:rsid w:val="002C1830"/>
    <w:rsid w:val="002C462B"/>
    <w:rsid w:val="002C5C06"/>
    <w:rsid w:val="002D03AC"/>
    <w:rsid w:val="002D12DB"/>
    <w:rsid w:val="002D3FAF"/>
    <w:rsid w:val="002E587B"/>
    <w:rsid w:val="002F6988"/>
    <w:rsid w:val="0030487D"/>
    <w:rsid w:val="00306452"/>
    <w:rsid w:val="0031124C"/>
    <w:rsid w:val="003162B0"/>
    <w:rsid w:val="00320116"/>
    <w:rsid w:val="00327081"/>
    <w:rsid w:val="00343E90"/>
    <w:rsid w:val="0035251F"/>
    <w:rsid w:val="00362631"/>
    <w:rsid w:val="00373FD4"/>
    <w:rsid w:val="003A1A56"/>
    <w:rsid w:val="003B0C4F"/>
    <w:rsid w:val="003B0C5A"/>
    <w:rsid w:val="003C0BCD"/>
    <w:rsid w:val="003C6414"/>
    <w:rsid w:val="003D06EC"/>
    <w:rsid w:val="003D7460"/>
    <w:rsid w:val="003E3277"/>
    <w:rsid w:val="003E419A"/>
    <w:rsid w:val="003F7996"/>
    <w:rsid w:val="0040048C"/>
    <w:rsid w:val="00406206"/>
    <w:rsid w:val="004078CF"/>
    <w:rsid w:val="00410A0B"/>
    <w:rsid w:val="00414ED0"/>
    <w:rsid w:val="004357E6"/>
    <w:rsid w:val="004372A7"/>
    <w:rsid w:val="0044045B"/>
    <w:rsid w:val="00443BC2"/>
    <w:rsid w:val="00453328"/>
    <w:rsid w:val="00455A1A"/>
    <w:rsid w:val="00457D8D"/>
    <w:rsid w:val="00457E41"/>
    <w:rsid w:val="004622E4"/>
    <w:rsid w:val="004639C6"/>
    <w:rsid w:val="00465953"/>
    <w:rsid w:val="00465A4A"/>
    <w:rsid w:val="00470B1E"/>
    <w:rsid w:val="0047146D"/>
    <w:rsid w:val="00471FD9"/>
    <w:rsid w:val="00473AF9"/>
    <w:rsid w:val="00475E7B"/>
    <w:rsid w:val="00482034"/>
    <w:rsid w:val="004860AF"/>
    <w:rsid w:val="00486A01"/>
    <w:rsid w:val="004928A1"/>
    <w:rsid w:val="00493ADC"/>
    <w:rsid w:val="00494E74"/>
    <w:rsid w:val="004958FC"/>
    <w:rsid w:val="004A1D35"/>
    <w:rsid w:val="004A360E"/>
    <w:rsid w:val="004A6313"/>
    <w:rsid w:val="004B366A"/>
    <w:rsid w:val="004C460E"/>
    <w:rsid w:val="004C6067"/>
    <w:rsid w:val="004D1A45"/>
    <w:rsid w:val="004D2084"/>
    <w:rsid w:val="004D3468"/>
    <w:rsid w:val="004D584D"/>
    <w:rsid w:val="004D760D"/>
    <w:rsid w:val="004D78CD"/>
    <w:rsid w:val="004E3F51"/>
    <w:rsid w:val="004F1D13"/>
    <w:rsid w:val="005004C3"/>
    <w:rsid w:val="005058DB"/>
    <w:rsid w:val="0050793D"/>
    <w:rsid w:val="0052484E"/>
    <w:rsid w:val="00525037"/>
    <w:rsid w:val="005250EC"/>
    <w:rsid w:val="0052737F"/>
    <w:rsid w:val="00534619"/>
    <w:rsid w:val="00546A20"/>
    <w:rsid w:val="005548E2"/>
    <w:rsid w:val="00566B4A"/>
    <w:rsid w:val="005704C7"/>
    <w:rsid w:val="005720C0"/>
    <w:rsid w:val="0057682B"/>
    <w:rsid w:val="00595373"/>
    <w:rsid w:val="005973D1"/>
    <w:rsid w:val="005974F9"/>
    <w:rsid w:val="005A4A36"/>
    <w:rsid w:val="005B427D"/>
    <w:rsid w:val="005B5854"/>
    <w:rsid w:val="005B7288"/>
    <w:rsid w:val="005C0DE4"/>
    <w:rsid w:val="005C4570"/>
    <w:rsid w:val="005D3F1E"/>
    <w:rsid w:val="005D6CD4"/>
    <w:rsid w:val="005E2CCA"/>
    <w:rsid w:val="005E5BC8"/>
    <w:rsid w:val="005E7A45"/>
    <w:rsid w:val="005F19DC"/>
    <w:rsid w:val="005F78DC"/>
    <w:rsid w:val="005F7CC2"/>
    <w:rsid w:val="00600524"/>
    <w:rsid w:val="006022C2"/>
    <w:rsid w:val="00614675"/>
    <w:rsid w:val="00616280"/>
    <w:rsid w:val="00617724"/>
    <w:rsid w:val="00624278"/>
    <w:rsid w:val="006330D1"/>
    <w:rsid w:val="00644DBE"/>
    <w:rsid w:val="00653CE6"/>
    <w:rsid w:val="006607CE"/>
    <w:rsid w:val="00665A99"/>
    <w:rsid w:val="00674045"/>
    <w:rsid w:val="00676806"/>
    <w:rsid w:val="0069011E"/>
    <w:rsid w:val="006903A5"/>
    <w:rsid w:val="0069234B"/>
    <w:rsid w:val="00692541"/>
    <w:rsid w:val="006949E3"/>
    <w:rsid w:val="006A56B7"/>
    <w:rsid w:val="006B7B22"/>
    <w:rsid w:val="006C2CF1"/>
    <w:rsid w:val="006C3496"/>
    <w:rsid w:val="006D01F6"/>
    <w:rsid w:val="006D10F0"/>
    <w:rsid w:val="006E0DC1"/>
    <w:rsid w:val="006E3A87"/>
    <w:rsid w:val="006E4E77"/>
    <w:rsid w:val="006E7CED"/>
    <w:rsid w:val="006F3BC4"/>
    <w:rsid w:val="006F7870"/>
    <w:rsid w:val="00703EDF"/>
    <w:rsid w:val="007163AC"/>
    <w:rsid w:val="0072141D"/>
    <w:rsid w:val="0072322D"/>
    <w:rsid w:val="00724DEA"/>
    <w:rsid w:val="007307B0"/>
    <w:rsid w:val="00732881"/>
    <w:rsid w:val="0073359A"/>
    <w:rsid w:val="007344D2"/>
    <w:rsid w:val="00740305"/>
    <w:rsid w:val="0074525D"/>
    <w:rsid w:val="00761BF6"/>
    <w:rsid w:val="00762C8B"/>
    <w:rsid w:val="0078721B"/>
    <w:rsid w:val="007936A7"/>
    <w:rsid w:val="00793E32"/>
    <w:rsid w:val="00794475"/>
    <w:rsid w:val="007A05BF"/>
    <w:rsid w:val="007A2297"/>
    <w:rsid w:val="007A33BD"/>
    <w:rsid w:val="007A71A3"/>
    <w:rsid w:val="007B315B"/>
    <w:rsid w:val="007B3437"/>
    <w:rsid w:val="007B646A"/>
    <w:rsid w:val="007C142C"/>
    <w:rsid w:val="007D6E17"/>
    <w:rsid w:val="007E0C30"/>
    <w:rsid w:val="007E7D9E"/>
    <w:rsid w:val="007F309E"/>
    <w:rsid w:val="008121E5"/>
    <w:rsid w:val="0081567C"/>
    <w:rsid w:val="00821926"/>
    <w:rsid w:val="00825834"/>
    <w:rsid w:val="008269C8"/>
    <w:rsid w:val="008311E3"/>
    <w:rsid w:val="00832741"/>
    <w:rsid w:val="00834417"/>
    <w:rsid w:val="008353F9"/>
    <w:rsid w:val="00841683"/>
    <w:rsid w:val="00851935"/>
    <w:rsid w:val="008579E2"/>
    <w:rsid w:val="00861508"/>
    <w:rsid w:val="00863244"/>
    <w:rsid w:val="00863D36"/>
    <w:rsid w:val="00864AFE"/>
    <w:rsid w:val="00873A45"/>
    <w:rsid w:val="00884FD0"/>
    <w:rsid w:val="00887721"/>
    <w:rsid w:val="00896228"/>
    <w:rsid w:val="008A18DC"/>
    <w:rsid w:val="008B5126"/>
    <w:rsid w:val="008C0FC8"/>
    <w:rsid w:val="008C354E"/>
    <w:rsid w:val="008C5D11"/>
    <w:rsid w:val="008D449A"/>
    <w:rsid w:val="008D4B24"/>
    <w:rsid w:val="008E2CB9"/>
    <w:rsid w:val="008E2E65"/>
    <w:rsid w:val="008E4B4E"/>
    <w:rsid w:val="008E6774"/>
    <w:rsid w:val="008F265A"/>
    <w:rsid w:val="008F46B3"/>
    <w:rsid w:val="008F754A"/>
    <w:rsid w:val="00901AA5"/>
    <w:rsid w:val="00903624"/>
    <w:rsid w:val="009067F0"/>
    <w:rsid w:val="0092227B"/>
    <w:rsid w:val="0092285C"/>
    <w:rsid w:val="00923465"/>
    <w:rsid w:val="00942370"/>
    <w:rsid w:val="00946385"/>
    <w:rsid w:val="00951F4F"/>
    <w:rsid w:val="0095709F"/>
    <w:rsid w:val="009609F0"/>
    <w:rsid w:val="00977384"/>
    <w:rsid w:val="00981366"/>
    <w:rsid w:val="009929FC"/>
    <w:rsid w:val="00992CD9"/>
    <w:rsid w:val="00995EE0"/>
    <w:rsid w:val="00997E9C"/>
    <w:rsid w:val="009A598C"/>
    <w:rsid w:val="009A7DF0"/>
    <w:rsid w:val="009B631B"/>
    <w:rsid w:val="009B6D9A"/>
    <w:rsid w:val="009D4EB0"/>
    <w:rsid w:val="009E05DF"/>
    <w:rsid w:val="009F102B"/>
    <w:rsid w:val="009F39F3"/>
    <w:rsid w:val="00A0377A"/>
    <w:rsid w:val="00A14439"/>
    <w:rsid w:val="00A14AF0"/>
    <w:rsid w:val="00A15D81"/>
    <w:rsid w:val="00A41076"/>
    <w:rsid w:val="00A457EB"/>
    <w:rsid w:val="00A6735B"/>
    <w:rsid w:val="00A67E32"/>
    <w:rsid w:val="00A72C2B"/>
    <w:rsid w:val="00A74E44"/>
    <w:rsid w:val="00A74E88"/>
    <w:rsid w:val="00A84108"/>
    <w:rsid w:val="00A87ADC"/>
    <w:rsid w:val="00A90284"/>
    <w:rsid w:val="00A92CF2"/>
    <w:rsid w:val="00A956DA"/>
    <w:rsid w:val="00AA13C0"/>
    <w:rsid w:val="00AA22C1"/>
    <w:rsid w:val="00AB6016"/>
    <w:rsid w:val="00AB79D9"/>
    <w:rsid w:val="00AC0660"/>
    <w:rsid w:val="00AC4A51"/>
    <w:rsid w:val="00AC6438"/>
    <w:rsid w:val="00AD5192"/>
    <w:rsid w:val="00AE308A"/>
    <w:rsid w:val="00AF143E"/>
    <w:rsid w:val="00AF352E"/>
    <w:rsid w:val="00AF572D"/>
    <w:rsid w:val="00B00EC2"/>
    <w:rsid w:val="00B02277"/>
    <w:rsid w:val="00B04590"/>
    <w:rsid w:val="00B045D8"/>
    <w:rsid w:val="00B0690C"/>
    <w:rsid w:val="00B11CEA"/>
    <w:rsid w:val="00B13236"/>
    <w:rsid w:val="00B137F1"/>
    <w:rsid w:val="00B146A1"/>
    <w:rsid w:val="00B147B4"/>
    <w:rsid w:val="00B22A7E"/>
    <w:rsid w:val="00B249F9"/>
    <w:rsid w:val="00B25E0D"/>
    <w:rsid w:val="00B277BD"/>
    <w:rsid w:val="00B31702"/>
    <w:rsid w:val="00B31F8B"/>
    <w:rsid w:val="00B3755D"/>
    <w:rsid w:val="00B4292A"/>
    <w:rsid w:val="00B53B05"/>
    <w:rsid w:val="00B56B0D"/>
    <w:rsid w:val="00B66D39"/>
    <w:rsid w:val="00B75A66"/>
    <w:rsid w:val="00B82BE4"/>
    <w:rsid w:val="00B8351C"/>
    <w:rsid w:val="00B87789"/>
    <w:rsid w:val="00BA37E0"/>
    <w:rsid w:val="00BB574D"/>
    <w:rsid w:val="00BB7CFC"/>
    <w:rsid w:val="00BC0C43"/>
    <w:rsid w:val="00BC3D5A"/>
    <w:rsid w:val="00BC5441"/>
    <w:rsid w:val="00BC6E1E"/>
    <w:rsid w:val="00BD2169"/>
    <w:rsid w:val="00BD43CE"/>
    <w:rsid w:val="00BD58C5"/>
    <w:rsid w:val="00BE24BA"/>
    <w:rsid w:val="00BE303E"/>
    <w:rsid w:val="00BE367E"/>
    <w:rsid w:val="00BE59BB"/>
    <w:rsid w:val="00BE6CD2"/>
    <w:rsid w:val="00BE7E17"/>
    <w:rsid w:val="00BF27CD"/>
    <w:rsid w:val="00BF6C80"/>
    <w:rsid w:val="00BF6EDA"/>
    <w:rsid w:val="00C13951"/>
    <w:rsid w:val="00C17B99"/>
    <w:rsid w:val="00C20FF6"/>
    <w:rsid w:val="00C220BD"/>
    <w:rsid w:val="00C246B8"/>
    <w:rsid w:val="00C259F3"/>
    <w:rsid w:val="00C3065F"/>
    <w:rsid w:val="00C31756"/>
    <w:rsid w:val="00C34432"/>
    <w:rsid w:val="00C36F6B"/>
    <w:rsid w:val="00C45AC9"/>
    <w:rsid w:val="00C5022C"/>
    <w:rsid w:val="00C51B7B"/>
    <w:rsid w:val="00C526AC"/>
    <w:rsid w:val="00C6021A"/>
    <w:rsid w:val="00C6221D"/>
    <w:rsid w:val="00C72A2B"/>
    <w:rsid w:val="00C7633D"/>
    <w:rsid w:val="00C87704"/>
    <w:rsid w:val="00C90DEC"/>
    <w:rsid w:val="00CA0657"/>
    <w:rsid w:val="00CC0E53"/>
    <w:rsid w:val="00CC489F"/>
    <w:rsid w:val="00CD2DD3"/>
    <w:rsid w:val="00CD441C"/>
    <w:rsid w:val="00CD4CC4"/>
    <w:rsid w:val="00CD6424"/>
    <w:rsid w:val="00CD6467"/>
    <w:rsid w:val="00CE1BCD"/>
    <w:rsid w:val="00CE3974"/>
    <w:rsid w:val="00CE4CEE"/>
    <w:rsid w:val="00CE51D9"/>
    <w:rsid w:val="00CF53C5"/>
    <w:rsid w:val="00D0351E"/>
    <w:rsid w:val="00D042EF"/>
    <w:rsid w:val="00D10B49"/>
    <w:rsid w:val="00D159E6"/>
    <w:rsid w:val="00D2677F"/>
    <w:rsid w:val="00D37DEF"/>
    <w:rsid w:val="00D44C02"/>
    <w:rsid w:val="00D44FEF"/>
    <w:rsid w:val="00D47AC5"/>
    <w:rsid w:val="00D609EA"/>
    <w:rsid w:val="00D60D03"/>
    <w:rsid w:val="00D6124B"/>
    <w:rsid w:val="00D70773"/>
    <w:rsid w:val="00D72820"/>
    <w:rsid w:val="00D7784B"/>
    <w:rsid w:val="00D77932"/>
    <w:rsid w:val="00D8197C"/>
    <w:rsid w:val="00D83A55"/>
    <w:rsid w:val="00D87CAA"/>
    <w:rsid w:val="00D925E0"/>
    <w:rsid w:val="00DA1006"/>
    <w:rsid w:val="00DA264F"/>
    <w:rsid w:val="00DB43F0"/>
    <w:rsid w:val="00DC664D"/>
    <w:rsid w:val="00DC757C"/>
    <w:rsid w:val="00DE0071"/>
    <w:rsid w:val="00DE31CD"/>
    <w:rsid w:val="00DE4ACA"/>
    <w:rsid w:val="00DE6477"/>
    <w:rsid w:val="00DF45A2"/>
    <w:rsid w:val="00E00DEE"/>
    <w:rsid w:val="00E02972"/>
    <w:rsid w:val="00E05102"/>
    <w:rsid w:val="00E12F78"/>
    <w:rsid w:val="00E147B9"/>
    <w:rsid w:val="00E16E2B"/>
    <w:rsid w:val="00E23D22"/>
    <w:rsid w:val="00E42BF8"/>
    <w:rsid w:val="00E51D18"/>
    <w:rsid w:val="00E5283A"/>
    <w:rsid w:val="00E55997"/>
    <w:rsid w:val="00E56D5A"/>
    <w:rsid w:val="00E6246F"/>
    <w:rsid w:val="00E629BD"/>
    <w:rsid w:val="00E64B0C"/>
    <w:rsid w:val="00E705ED"/>
    <w:rsid w:val="00E73FCE"/>
    <w:rsid w:val="00E81711"/>
    <w:rsid w:val="00E84F36"/>
    <w:rsid w:val="00E85335"/>
    <w:rsid w:val="00E85890"/>
    <w:rsid w:val="00E916A0"/>
    <w:rsid w:val="00E95447"/>
    <w:rsid w:val="00E966B2"/>
    <w:rsid w:val="00EA00C9"/>
    <w:rsid w:val="00EA2104"/>
    <w:rsid w:val="00EA5D4F"/>
    <w:rsid w:val="00EA65F1"/>
    <w:rsid w:val="00EB08EC"/>
    <w:rsid w:val="00EB5D34"/>
    <w:rsid w:val="00EC1E25"/>
    <w:rsid w:val="00EC3CA7"/>
    <w:rsid w:val="00EC53EE"/>
    <w:rsid w:val="00ED0D89"/>
    <w:rsid w:val="00EE2643"/>
    <w:rsid w:val="00EE2887"/>
    <w:rsid w:val="00EE7BE6"/>
    <w:rsid w:val="00EF56B9"/>
    <w:rsid w:val="00F0505C"/>
    <w:rsid w:val="00F07EA1"/>
    <w:rsid w:val="00F10AD6"/>
    <w:rsid w:val="00F200D9"/>
    <w:rsid w:val="00F24E4F"/>
    <w:rsid w:val="00F27B5C"/>
    <w:rsid w:val="00F3001A"/>
    <w:rsid w:val="00F44B85"/>
    <w:rsid w:val="00F60705"/>
    <w:rsid w:val="00F6160F"/>
    <w:rsid w:val="00F701F2"/>
    <w:rsid w:val="00F830B1"/>
    <w:rsid w:val="00F87DF6"/>
    <w:rsid w:val="00F949DE"/>
    <w:rsid w:val="00F9584C"/>
    <w:rsid w:val="00FB304D"/>
    <w:rsid w:val="00FB41A8"/>
    <w:rsid w:val="00FC1CA9"/>
    <w:rsid w:val="00FC4FA3"/>
    <w:rsid w:val="00FD2ED6"/>
    <w:rsid w:val="00FD3906"/>
    <w:rsid w:val="00FD3D25"/>
    <w:rsid w:val="00FD4FE7"/>
    <w:rsid w:val="00FE05E6"/>
    <w:rsid w:val="00FF0476"/>
    <w:rsid w:val="00FF2FF1"/>
    <w:rsid w:val="00FF3360"/>
    <w:rsid w:val="00FF5FA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51DC73-3FBD-4975-9DEA-5D4708020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D0C80"/>
    <w:pPr>
      <w:jc w:val="both"/>
    </w:pPr>
    <w:rPr>
      <w:rFonts w:ascii="Arial" w:hAnsi="Arial"/>
      <w:sz w:val="22"/>
      <w:szCs w:val="22"/>
      <w:lang w:eastAsia="zh-CN"/>
    </w:rPr>
  </w:style>
  <w:style w:type="paragraph" w:styleId="Heading1">
    <w:name w:val="heading 1"/>
    <w:basedOn w:val="Normal"/>
    <w:next w:val="ssPara1"/>
    <w:link w:val="Heading1Char"/>
    <w:qFormat/>
    <w:rsid w:val="00CA65D2"/>
    <w:pPr>
      <w:keepNext/>
      <w:widowControl w:val="0"/>
      <w:numPr>
        <w:ilvl w:val="1"/>
        <w:numId w:val="1"/>
      </w:numPr>
      <w:spacing w:after="260"/>
      <w:outlineLvl w:val="0"/>
    </w:pPr>
    <w:rPr>
      <w:rFonts w:cs="Arial"/>
      <w:b/>
      <w:bCs/>
      <w:kern w:val="32"/>
      <w:szCs w:val="32"/>
      <w:u w:val="single"/>
    </w:rPr>
  </w:style>
  <w:style w:type="paragraph" w:styleId="Heading2">
    <w:name w:val="heading 2"/>
    <w:basedOn w:val="Normal"/>
    <w:next w:val="ssPara2"/>
    <w:qFormat/>
    <w:rsid w:val="00CA65D2"/>
    <w:pPr>
      <w:keepNext/>
      <w:widowControl w:val="0"/>
      <w:numPr>
        <w:ilvl w:val="2"/>
        <w:numId w:val="1"/>
      </w:numPr>
      <w:spacing w:after="260"/>
      <w:outlineLvl w:val="1"/>
    </w:pPr>
    <w:rPr>
      <w:rFonts w:cs="Arial"/>
      <w:b/>
      <w:bCs/>
      <w:iCs/>
    </w:rPr>
  </w:style>
  <w:style w:type="paragraph" w:styleId="Heading3">
    <w:name w:val="heading 3"/>
    <w:basedOn w:val="Normal"/>
    <w:next w:val="ssPara3"/>
    <w:uiPriority w:val="9"/>
    <w:qFormat/>
    <w:rsid w:val="00CA65D2"/>
    <w:pPr>
      <w:keepNext/>
      <w:widowControl w:val="0"/>
      <w:spacing w:after="260"/>
      <w:outlineLvl w:val="2"/>
    </w:pPr>
    <w:rPr>
      <w:rFonts w:cs="Arial"/>
      <w:b/>
      <w:bCs/>
      <w:szCs w:val="26"/>
    </w:rPr>
  </w:style>
  <w:style w:type="paragraph" w:styleId="Heading4">
    <w:name w:val="heading 4"/>
    <w:basedOn w:val="Normal"/>
    <w:next w:val="ssPara4"/>
    <w:qFormat/>
    <w:rsid w:val="00CA65D2"/>
    <w:pPr>
      <w:keepNext/>
      <w:widowControl w:val="0"/>
      <w:numPr>
        <w:ilvl w:val="4"/>
        <w:numId w:val="1"/>
      </w:numPr>
      <w:spacing w:after="260"/>
      <w:outlineLvl w:val="3"/>
    </w:pPr>
    <w:rPr>
      <w:b/>
      <w:bCs/>
      <w:szCs w:val="28"/>
    </w:rPr>
  </w:style>
  <w:style w:type="paragraph" w:styleId="Heading5">
    <w:name w:val="heading 5"/>
    <w:basedOn w:val="Normal"/>
    <w:next w:val="ssPara5"/>
    <w:qFormat/>
    <w:rsid w:val="00CA65D2"/>
    <w:pPr>
      <w:keepNext/>
      <w:widowControl w:val="0"/>
      <w:numPr>
        <w:ilvl w:val="5"/>
        <w:numId w:val="1"/>
      </w:numPr>
      <w:spacing w:after="260"/>
      <w:outlineLvl w:val="4"/>
    </w:pPr>
    <w:rPr>
      <w:b/>
      <w:bCs/>
      <w:iCs/>
    </w:rPr>
  </w:style>
  <w:style w:type="paragraph" w:styleId="Heading6">
    <w:name w:val="heading 6"/>
    <w:basedOn w:val="Normal"/>
    <w:next w:val="ssPara6"/>
    <w:qFormat/>
    <w:rsid w:val="00CA65D2"/>
    <w:pPr>
      <w:keepNext/>
      <w:widowControl w:val="0"/>
      <w:numPr>
        <w:ilvl w:val="6"/>
        <w:numId w:val="1"/>
      </w:numPr>
      <w:spacing w:after="260"/>
      <w:outlineLvl w:val="5"/>
    </w:pPr>
    <w:rPr>
      <w:b/>
      <w:bCs/>
    </w:rPr>
  </w:style>
  <w:style w:type="paragraph" w:styleId="Heading7">
    <w:name w:val="heading 7"/>
    <w:basedOn w:val="Normal"/>
    <w:next w:val="Normal"/>
    <w:qFormat/>
    <w:rsid w:val="00CA65D2"/>
    <w:pPr>
      <w:numPr>
        <w:ilvl w:val="7"/>
        <w:numId w:val="1"/>
      </w:numPr>
      <w:outlineLvl w:val="6"/>
    </w:pPr>
    <w:rPr>
      <w:szCs w:val="24"/>
    </w:rPr>
  </w:style>
  <w:style w:type="paragraph" w:styleId="Heading8">
    <w:name w:val="heading 8"/>
    <w:basedOn w:val="Normal"/>
    <w:next w:val="Normal"/>
    <w:qFormat/>
    <w:rsid w:val="00CA65D2"/>
    <w:pPr>
      <w:numPr>
        <w:ilvl w:val="8"/>
        <w:numId w:val="1"/>
      </w:numPr>
      <w:outlineLvl w:val="7"/>
    </w:pPr>
    <w:rPr>
      <w:iCs/>
      <w:szCs w:val="24"/>
    </w:rPr>
  </w:style>
  <w:style w:type="paragraph" w:styleId="Heading9">
    <w:name w:val="heading 9"/>
    <w:basedOn w:val="Normal"/>
    <w:next w:val="Normal"/>
    <w:qFormat/>
    <w:rsid w:val="00367A27"/>
    <w:p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sPara1">
    <w:name w:val="ssPara1"/>
    <w:basedOn w:val="Normal"/>
    <w:link w:val="ssPara1Char"/>
    <w:qFormat/>
    <w:rsid w:val="0060762C"/>
    <w:pPr>
      <w:spacing w:after="260"/>
    </w:pPr>
  </w:style>
  <w:style w:type="paragraph" w:customStyle="1" w:styleId="ssPara2">
    <w:name w:val="ssPara2"/>
    <w:basedOn w:val="Normal"/>
    <w:rsid w:val="0060762C"/>
    <w:pPr>
      <w:spacing w:after="260"/>
      <w:ind w:left="709"/>
    </w:pPr>
  </w:style>
  <w:style w:type="paragraph" w:customStyle="1" w:styleId="ssPara3">
    <w:name w:val="ssPara3"/>
    <w:basedOn w:val="Normal"/>
    <w:rsid w:val="0060762C"/>
    <w:pPr>
      <w:spacing w:after="260"/>
      <w:ind w:left="1418"/>
    </w:pPr>
  </w:style>
  <w:style w:type="paragraph" w:customStyle="1" w:styleId="ssPara4">
    <w:name w:val="ssPara4"/>
    <w:basedOn w:val="Normal"/>
    <w:rsid w:val="0060762C"/>
    <w:pPr>
      <w:spacing w:after="260"/>
      <w:ind w:left="1985"/>
    </w:pPr>
  </w:style>
  <w:style w:type="paragraph" w:customStyle="1" w:styleId="ssPara5">
    <w:name w:val="ssPara5"/>
    <w:basedOn w:val="Normal"/>
    <w:rsid w:val="0060762C"/>
    <w:pPr>
      <w:spacing w:after="260"/>
      <w:ind w:left="2552"/>
    </w:pPr>
  </w:style>
  <w:style w:type="paragraph" w:customStyle="1" w:styleId="ssPara6">
    <w:name w:val="ssPara6"/>
    <w:basedOn w:val="Normal"/>
    <w:rsid w:val="0060762C"/>
    <w:pPr>
      <w:spacing w:after="260"/>
      <w:ind w:left="3119"/>
    </w:pPr>
  </w:style>
  <w:style w:type="paragraph" w:customStyle="1" w:styleId="ssNoHeading1">
    <w:name w:val="ssNoHeading1"/>
    <w:basedOn w:val="Heading1"/>
    <w:rsid w:val="00B060B8"/>
    <w:pPr>
      <w:keepNext w:val="0"/>
      <w:widowControl/>
    </w:pPr>
    <w:rPr>
      <w:b w:val="0"/>
      <w:szCs w:val="22"/>
      <w:u w:val="none"/>
    </w:rPr>
  </w:style>
  <w:style w:type="paragraph" w:customStyle="1" w:styleId="ssNoHeading2">
    <w:name w:val="ssNoHeading2"/>
    <w:basedOn w:val="Heading2"/>
    <w:rsid w:val="00B060B8"/>
    <w:pPr>
      <w:keepNext w:val="0"/>
      <w:widowControl/>
    </w:pPr>
    <w:rPr>
      <w:b w:val="0"/>
    </w:rPr>
  </w:style>
  <w:style w:type="paragraph" w:customStyle="1" w:styleId="ssNoHeading3">
    <w:name w:val="ssNoHeading3"/>
    <w:basedOn w:val="Heading3"/>
    <w:rsid w:val="00B060B8"/>
    <w:pPr>
      <w:keepNext w:val="0"/>
      <w:widowControl/>
    </w:pPr>
    <w:rPr>
      <w:b w:val="0"/>
    </w:rPr>
  </w:style>
  <w:style w:type="paragraph" w:customStyle="1" w:styleId="ssNoHeading4">
    <w:name w:val="ssNoHeading4"/>
    <w:basedOn w:val="Heading4"/>
    <w:rsid w:val="00B060B8"/>
    <w:pPr>
      <w:keepNext w:val="0"/>
      <w:widowControl/>
    </w:pPr>
    <w:rPr>
      <w:b w:val="0"/>
    </w:rPr>
  </w:style>
  <w:style w:type="paragraph" w:customStyle="1" w:styleId="ssNoHeading5">
    <w:name w:val="ssNoHeading5"/>
    <w:basedOn w:val="Heading5"/>
    <w:rsid w:val="00B060B8"/>
    <w:pPr>
      <w:keepNext w:val="0"/>
      <w:widowControl/>
    </w:pPr>
    <w:rPr>
      <w:b w:val="0"/>
    </w:rPr>
  </w:style>
  <w:style w:type="paragraph" w:customStyle="1" w:styleId="ssNoHeading6">
    <w:name w:val="ssNoHeading6"/>
    <w:basedOn w:val="Heading6"/>
    <w:rsid w:val="00B060B8"/>
    <w:pPr>
      <w:keepNext w:val="0"/>
      <w:widowControl/>
    </w:pPr>
    <w:rPr>
      <w:b w:val="0"/>
    </w:rPr>
  </w:style>
  <w:style w:type="paragraph" w:customStyle="1" w:styleId="ssRestartNumber">
    <w:name w:val="ssRestartNumber"/>
    <w:basedOn w:val="Normal"/>
    <w:next w:val="ssPara1"/>
    <w:rsid w:val="00CA65D2"/>
    <w:pPr>
      <w:numPr>
        <w:numId w:val="1"/>
      </w:numPr>
    </w:pPr>
    <w:rPr>
      <w:color w:val="FF0000"/>
    </w:rPr>
  </w:style>
  <w:style w:type="paragraph" w:customStyle="1" w:styleId="ssqPart">
    <w:name w:val="ssqPart"/>
    <w:basedOn w:val="Normal"/>
    <w:next w:val="ssPara1"/>
    <w:uiPriority w:val="43"/>
    <w:qFormat/>
    <w:rsid w:val="00DB29D9"/>
    <w:pPr>
      <w:numPr>
        <w:ilvl w:val="1"/>
        <w:numId w:val="3"/>
      </w:numPr>
      <w:spacing w:after="260"/>
      <w:jc w:val="center"/>
    </w:pPr>
    <w:rPr>
      <w:b/>
      <w:caps/>
    </w:rPr>
  </w:style>
  <w:style w:type="paragraph" w:customStyle="1" w:styleId="ssRestartPart">
    <w:name w:val="ssRestartPart"/>
    <w:basedOn w:val="Normal"/>
    <w:next w:val="ssPara1"/>
    <w:uiPriority w:val="44"/>
    <w:rsid w:val="00DB29D9"/>
    <w:pPr>
      <w:numPr>
        <w:numId w:val="3"/>
      </w:numPr>
    </w:pPr>
    <w:rPr>
      <w:color w:val="FF0000"/>
    </w:rPr>
  </w:style>
  <w:style w:type="paragraph" w:customStyle="1" w:styleId="ssRestartSchedule">
    <w:name w:val="ssRestartSchedule"/>
    <w:basedOn w:val="Normal"/>
    <w:next w:val="ssPara1"/>
    <w:rsid w:val="008B5DC3"/>
    <w:pPr>
      <w:numPr>
        <w:numId w:val="4"/>
      </w:numPr>
    </w:pPr>
    <w:rPr>
      <w:color w:val="FF0000"/>
    </w:rPr>
  </w:style>
  <w:style w:type="paragraph" w:customStyle="1" w:styleId="ssqSchedule">
    <w:name w:val="ssqSchedule"/>
    <w:basedOn w:val="Normal"/>
    <w:next w:val="ssPara1"/>
    <w:rsid w:val="008B5DC3"/>
    <w:pPr>
      <w:numPr>
        <w:ilvl w:val="1"/>
        <w:numId w:val="4"/>
      </w:numPr>
      <w:spacing w:after="260"/>
      <w:jc w:val="center"/>
    </w:pPr>
    <w:rPr>
      <w:b/>
      <w:caps/>
    </w:rPr>
  </w:style>
  <w:style w:type="paragraph" w:customStyle="1" w:styleId="ssqExhibit">
    <w:name w:val="ssqExhibit"/>
    <w:basedOn w:val="Normal"/>
    <w:next w:val="ssPara1"/>
    <w:uiPriority w:val="41"/>
    <w:qFormat/>
    <w:rsid w:val="002468A8"/>
    <w:pPr>
      <w:numPr>
        <w:ilvl w:val="1"/>
        <w:numId w:val="6"/>
      </w:numPr>
      <w:spacing w:after="260"/>
      <w:jc w:val="center"/>
    </w:pPr>
    <w:rPr>
      <w:b/>
      <w:caps/>
    </w:rPr>
  </w:style>
  <w:style w:type="paragraph" w:customStyle="1" w:styleId="ssRestartExhibit">
    <w:name w:val="ssRestartExhibit"/>
    <w:basedOn w:val="Normal"/>
    <w:next w:val="ssPara1"/>
    <w:uiPriority w:val="42"/>
    <w:rsid w:val="002468A8"/>
    <w:pPr>
      <w:numPr>
        <w:numId w:val="6"/>
      </w:numPr>
    </w:pPr>
    <w:rPr>
      <w:color w:val="FF0000"/>
    </w:rPr>
  </w:style>
  <w:style w:type="paragraph" w:customStyle="1" w:styleId="ssqToCAdd">
    <w:name w:val="ssqToCAdd"/>
    <w:basedOn w:val="ssPara1"/>
    <w:next w:val="ssPara1"/>
    <w:rsid w:val="0034673E"/>
  </w:style>
  <w:style w:type="paragraph" w:customStyle="1" w:styleId="ssqAppendix">
    <w:name w:val="ssqAppendix"/>
    <w:basedOn w:val="Normal"/>
    <w:next w:val="ssPara1"/>
    <w:uiPriority w:val="39"/>
    <w:qFormat/>
    <w:rsid w:val="00CB7D04"/>
    <w:pPr>
      <w:numPr>
        <w:ilvl w:val="1"/>
        <w:numId w:val="8"/>
      </w:numPr>
      <w:spacing w:after="260"/>
      <w:jc w:val="center"/>
    </w:pPr>
    <w:rPr>
      <w:b/>
      <w:caps/>
    </w:rPr>
  </w:style>
  <w:style w:type="paragraph" w:customStyle="1" w:styleId="ssRestartAppendix">
    <w:name w:val="ssRestartAppendix"/>
    <w:basedOn w:val="Normal"/>
    <w:next w:val="ssPara1"/>
    <w:uiPriority w:val="40"/>
    <w:rsid w:val="004108F5"/>
    <w:pPr>
      <w:numPr>
        <w:numId w:val="8"/>
      </w:numPr>
    </w:pPr>
    <w:rPr>
      <w:color w:val="FF0000"/>
    </w:rPr>
  </w:style>
  <w:style w:type="paragraph" w:styleId="TOC1">
    <w:name w:val="toc 1"/>
    <w:basedOn w:val="Normal"/>
    <w:next w:val="Normal"/>
    <w:autoRedefine/>
    <w:uiPriority w:val="39"/>
    <w:rsid w:val="00B87789"/>
    <w:pPr>
      <w:tabs>
        <w:tab w:val="left" w:leader="dot" w:pos="18144"/>
      </w:tabs>
      <w:spacing w:before="220"/>
      <w:ind w:left="709" w:right="595" w:hanging="709"/>
    </w:pPr>
  </w:style>
  <w:style w:type="paragraph" w:styleId="TOC2">
    <w:name w:val="toc 2"/>
    <w:basedOn w:val="Normal"/>
    <w:next w:val="Normal"/>
    <w:autoRedefine/>
    <w:uiPriority w:val="39"/>
    <w:rsid w:val="00B87789"/>
    <w:pPr>
      <w:tabs>
        <w:tab w:val="left" w:leader="dot" w:pos="18144"/>
      </w:tabs>
      <w:ind w:left="1418" w:right="595" w:hanging="709"/>
    </w:pPr>
  </w:style>
  <w:style w:type="paragraph" w:styleId="TOC3">
    <w:name w:val="toc 3"/>
    <w:basedOn w:val="Normal"/>
    <w:next w:val="Normal"/>
    <w:autoRedefine/>
    <w:rsid w:val="00D33221"/>
    <w:pPr>
      <w:tabs>
        <w:tab w:val="right" w:leader="dot" w:pos="9497"/>
      </w:tabs>
      <w:ind w:left="2127" w:right="595" w:hanging="709"/>
    </w:pPr>
  </w:style>
  <w:style w:type="paragraph" w:styleId="TOC4">
    <w:name w:val="toc 4"/>
    <w:basedOn w:val="Normal"/>
    <w:next w:val="Normal"/>
    <w:autoRedefine/>
    <w:rsid w:val="00D33221"/>
    <w:pPr>
      <w:tabs>
        <w:tab w:val="right" w:leader="dot" w:pos="9497"/>
      </w:tabs>
      <w:ind w:left="2694" w:right="595" w:hanging="709"/>
    </w:pPr>
  </w:style>
  <w:style w:type="paragraph" w:styleId="BodyText">
    <w:name w:val="Body Text"/>
    <w:basedOn w:val="Normal"/>
    <w:link w:val="BodyTextChar"/>
    <w:rsid w:val="00D04C79"/>
    <w:pPr>
      <w:spacing w:after="120"/>
    </w:pPr>
  </w:style>
  <w:style w:type="character" w:customStyle="1" w:styleId="BodyTextChar">
    <w:name w:val="Body Text Char"/>
    <w:link w:val="BodyText"/>
    <w:rsid w:val="00D04C79"/>
    <w:rPr>
      <w:rFonts w:ascii="Arial" w:hAnsi="Arial"/>
      <w:sz w:val="22"/>
      <w:szCs w:val="22"/>
      <w:lang w:eastAsia="zh-CN"/>
    </w:rPr>
  </w:style>
  <w:style w:type="paragraph" w:styleId="BalloonText">
    <w:name w:val="Balloon Text"/>
    <w:basedOn w:val="Normal"/>
    <w:link w:val="BalloonTextChar"/>
    <w:rsid w:val="00B87789"/>
    <w:rPr>
      <w:rFonts w:ascii="Tahoma" w:hAnsi="Tahoma" w:cs="Tahoma"/>
      <w:sz w:val="16"/>
      <w:szCs w:val="16"/>
    </w:rPr>
  </w:style>
  <w:style w:type="character" w:customStyle="1" w:styleId="BalloonTextChar">
    <w:name w:val="Balloon Text Char"/>
    <w:basedOn w:val="DefaultParagraphFont"/>
    <w:link w:val="BalloonText"/>
    <w:rsid w:val="00B87789"/>
    <w:rPr>
      <w:rFonts w:ascii="Tahoma" w:hAnsi="Tahoma" w:cs="Tahoma"/>
      <w:sz w:val="16"/>
      <w:szCs w:val="16"/>
      <w:lang w:eastAsia="zh-CN"/>
    </w:rPr>
  </w:style>
  <w:style w:type="character" w:styleId="Hyperlink">
    <w:name w:val="Hyperlink"/>
    <w:basedOn w:val="DefaultParagraphFont"/>
    <w:uiPriority w:val="99"/>
    <w:unhideWhenUsed/>
    <w:rsid w:val="00B87789"/>
    <w:rPr>
      <w:color w:val="0000FF" w:themeColor="hyperlink"/>
      <w:u w:val="single"/>
    </w:rPr>
  </w:style>
  <w:style w:type="paragraph" w:styleId="Footer">
    <w:name w:val="footer"/>
    <w:basedOn w:val="Normal"/>
    <w:link w:val="FooterChar"/>
    <w:rsid w:val="00B87789"/>
    <w:pPr>
      <w:tabs>
        <w:tab w:val="center" w:pos="4513"/>
        <w:tab w:val="right" w:pos="9026"/>
      </w:tabs>
    </w:pPr>
  </w:style>
  <w:style w:type="character" w:customStyle="1" w:styleId="FooterChar">
    <w:name w:val="Footer Char"/>
    <w:basedOn w:val="DefaultParagraphFont"/>
    <w:link w:val="Footer"/>
    <w:rsid w:val="00B87789"/>
    <w:rPr>
      <w:rFonts w:ascii="Arial" w:hAnsi="Arial"/>
      <w:sz w:val="22"/>
      <w:szCs w:val="22"/>
      <w:lang w:eastAsia="zh-CN"/>
    </w:rPr>
  </w:style>
  <w:style w:type="character" w:styleId="PageNumber">
    <w:name w:val="page number"/>
    <w:basedOn w:val="DefaultParagraphFont"/>
    <w:rsid w:val="00B87789"/>
  </w:style>
  <w:style w:type="table" w:styleId="TableGrid">
    <w:name w:val="Table Grid"/>
    <w:basedOn w:val="TableNormal"/>
    <w:rsid w:val="0025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6F7870"/>
    <w:rPr>
      <w:rFonts w:ascii="Arial" w:hAnsi="Arial" w:cs="Arial"/>
      <w:b/>
      <w:bCs/>
      <w:kern w:val="32"/>
      <w:sz w:val="22"/>
      <w:szCs w:val="32"/>
      <w:u w:val="single"/>
      <w:lang w:eastAsia="zh-CN"/>
    </w:rPr>
  </w:style>
  <w:style w:type="character" w:customStyle="1" w:styleId="ssPara1Char">
    <w:name w:val="ssPara1 Char"/>
    <w:link w:val="ssPara1"/>
    <w:locked/>
    <w:rsid w:val="00EF56B9"/>
    <w:rPr>
      <w:rFonts w:ascii="Arial" w:hAnsi="Arial"/>
      <w:sz w:val="22"/>
      <w:szCs w:val="22"/>
      <w:lang w:eastAsia="zh-CN"/>
    </w:rPr>
  </w:style>
  <w:style w:type="paragraph" w:styleId="Header">
    <w:name w:val="header"/>
    <w:basedOn w:val="Normal"/>
    <w:link w:val="HeaderChar"/>
    <w:uiPriority w:val="99"/>
    <w:rsid w:val="00EF56B9"/>
    <w:pPr>
      <w:tabs>
        <w:tab w:val="center" w:pos="4513"/>
        <w:tab w:val="right" w:pos="9026"/>
      </w:tabs>
    </w:pPr>
  </w:style>
  <w:style w:type="character" w:customStyle="1" w:styleId="HeaderChar">
    <w:name w:val="Header Char"/>
    <w:basedOn w:val="DefaultParagraphFont"/>
    <w:link w:val="Header"/>
    <w:uiPriority w:val="99"/>
    <w:rsid w:val="00EF56B9"/>
    <w:rPr>
      <w:rFonts w:ascii="Arial" w:hAnsi="Arial"/>
      <w:sz w:val="22"/>
      <w:szCs w:val="22"/>
      <w:lang w:eastAsia="zh-CN"/>
    </w:rPr>
  </w:style>
  <w:style w:type="numbering" w:customStyle="1" w:styleId="PartNumbering">
    <w:name w:val="Part Numbering"/>
    <w:uiPriority w:val="99"/>
    <w:rsid w:val="00DC757C"/>
    <w:pPr>
      <w:numPr>
        <w:numId w:val="10"/>
      </w:numPr>
    </w:pPr>
  </w:style>
  <w:style w:type="paragraph" w:styleId="ListParagraph">
    <w:name w:val="List Paragraph"/>
    <w:basedOn w:val="Normal"/>
    <w:uiPriority w:val="34"/>
    <w:qFormat/>
    <w:rsid w:val="00290310"/>
    <w:pPr>
      <w:spacing w:after="200" w:line="276" w:lineRule="auto"/>
      <w:ind w:left="720"/>
      <w:contextualSpacing/>
      <w:jc w:val="left"/>
    </w:pPr>
    <w:rPr>
      <w:rFonts w:asciiTheme="minorHAnsi" w:eastAsiaTheme="minorHAnsi" w:hAnsiTheme="minorHAnsi" w:cstheme="minorBidi"/>
      <w:lang w:eastAsia="en-US"/>
    </w:rPr>
  </w:style>
  <w:style w:type="numbering" w:customStyle="1" w:styleId="AppendixNumbering">
    <w:name w:val="Appendix Numbering"/>
    <w:uiPriority w:val="99"/>
    <w:rsid w:val="00BF6C80"/>
    <w:pPr>
      <w:numPr>
        <w:numId w:val="11"/>
      </w:numPr>
    </w:pPr>
  </w:style>
  <w:style w:type="paragraph" w:customStyle="1" w:styleId="BodyParagraphText">
    <w:name w:val="Body Paragraph Text"/>
    <w:basedOn w:val="Normal"/>
    <w:uiPriority w:val="99"/>
    <w:rsid w:val="00BF6C80"/>
    <w:pPr>
      <w:keepLines/>
      <w:spacing w:before="160" w:line="260" w:lineRule="exact"/>
      <w:jc w:val="left"/>
    </w:pPr>
    <w:rPr>
      <w:rFonts w:eastAsia="Times New Roman"/>
      <w:lang w:eastAsia="en-GB"/>
    </w:rPr>
  </w:style>
  <w:style w:type="numbering" w:customStyle="1" w:styleId="ListHeadings">
    <w:name w:val="ListHeadings"/>
    <w:rsid w:val="00241C81"/>
    <w:pPr>
      <w:numPr>
        <w:numId w:val="12"/>
      </w:numPr>
    </w:pPr>
  </w:style>
  <w:style w:type="paragraph" w:customStyle="1" w:styleId="BulletPoint1">
    <w:name w:val="Bullet Point 1"/>
    <w:basedOn w:val="Normal"/>
    <w:uiPriority w:val="99"/>
    <w:rsid w:val="00241C81"/>
    <w:pPr>
      <w:tabs>
        <w:tab w:val="left" w:pos="684"/>
      </w:tabs>
      <w:spacing w:before="120" w:after="40"/>
      <w:jc w:val="left"/>
    </w:pPr>
    <w:rPr>
      <w:rFonts w:eastAsia="Times New Roman"/>
      <w:color w:val="000000"/>
      <w:sz w:val="18"/>
      <w:szCs w:val="4"/>
      <w:lang w:eastAsia="en-GB"/>
    </w:rPr>
  </w:style>
  <w:style w:type="paragraph" w:customStyle="1" w:styleId="BulletPoint3">
    <w:name w:val="Bullet Point 3"/>
    <w:basedOn w:val="ListParagraph"/>
    <w:uiPriority w:val="99"/>
    <w:qFormat/>
    <w:rsid w:val="00B137F1"/>
    <w:pPr>
      <w:numPr>
        <w:numId w:val="13"/>
      </w:numPr>
      <w:spacing w:before="120" w:after="120" w:line="240" w:lineRule="auto"/>
      <w:ind w:left="1071" w:hanging="357"/>
      <w:contextualSpacing w:val="0"/>
    </w:pPr>
    <w:rPr>
      <w:rFonts w:ascii="Arial" w:eastAsia="Times New Roman" w:hAnsi="Arial" w:cs="Arial"/>
      <w:iCs/>
      <w:sz w:val="18"/>
      <w:szCs w:val="18"/>
      <w:lang w:eastAsia="en-GB"/>
    </w:rPr>
  </w:style>
  <w:style w:type="paragraph" w:customStyle="1" w:styleId="BulletPoint2">
    <w:name w:val="Bullet Point 2"/>
    <w:basedOn w:val="BulletPoint1"/>
    <w:rsid w:val="00B137F1"/>
    <w:pPr>
      <w:numPr>
        <w:numId w:val="15"/>
      </w:numPr>
      <w:tabs>
        <w:tab w:val="clear" w:pos="684"/>
      </w:tabs>
      <w:spacing w:before="80"/>
    </w:pPr>
  </w:style>
  <w:style w:type="numbering" w:customStyle="1" w:styleId="SectionNumbering">
    <w:name w:val="SectionNumbering"/>
    <w:rsid w:val="00B137F1"/>
    <w:pPr>
      <w:numPr>
        <w:numId w:val="14"/>
      </w:numPr>
    </w:pPr>
  </w:style>
  <w:style w:type="numbering" w:customStyle="1" w:styleId="ExhibitNumbering">
    <w:name w:val="Exhibit Numbering"/>
    <w:uiPriority w:val="99"/>
    <w:rsid w:val="002D12DB"/>
    <w:pPr>
      <w:numPr>
        <w:numId w:val="16"/>
      </w:numPr>
    </w:pPr>
  </w:style>
  <w:style w:type="paragraph" w:styleId="TOC5">
    <w:name w:val="toc 5"/>
    <w:basedOn w:val="Normal"/>
    <w:next w:val="Normal"/>
    <w:autoRedefine/>
    <w:rsid w:val="00482034"/>
    <w:pPr>
      <w:spacing w:after="100"/>
      <w:ind w:left="880"/>
    </w:pPr>
  </w:style>
  <w:style w:type="numbering" w:customStyle="1" w:styleId="ExhibitNumbering0">
    <w:name w:val="ExhibitNumbering"/>
    <w:rsid w:val="00482034"/>
  </w:style>
  <w:style w:type="numbering" w:customStyle="1" w:styleId="ListHeadings0">
    <w:name w:val="List Headings"/>
    <w:uiPriority w:val="99"/>
    <w:rsid w:val="000E6EFB"/>
  </w:style>
  <w:style w:type="paragraph" w:customStyle="1" w:styleId="Topic">
    <w:name w:val="Topic"/>
    <w:basedOn w:val="Normal"/>
    <w:qFormat/>
    <w:rsid w:val="000E6EFB"/>
    <w:pPr>
      <w:jc w:val="left"/>
    </w:pPr>
    <w:rPr>
      <w:rFonts w:eastAsia="Arial"/>
      <w:b/>
      <w:color w:val="FFFFFF" w:themeColor="background1"/>
      <w:sz w:val="18"/>
      <w:lang w:eastAsia="en-GB"/>
    </w:rPr>
  </w:style>
  <w:style w:type="paragraph" w:styleId="TOC9">
    <w:name w:val="toc 9"/>
    <w:basedOn w:val="Normal"/>
    <w:next w:val="Normal"/>
    <w:autoRedefine/>
    <w:rsid w:val="001E382D"/>
    <w:pPr>
      <w:spacing w:after="100"/>
      <w:ind w:left="1760"/>
    </w:pPr>
  </w:style>
  <w:style w:type="paragraph" w:styleId="TOC7">
    <w:name w:val="toc 7"/>
    <w:basedOn w:val="Normal"/>
    <w:next w:val="Normal"/>
    <w:autoRedefine/>
    <w:uiPriority w:val="39"/>
    <w:rsid w:val="00EA00C9"/>
    <w:pPr>
      <w:spacing w:after="100"/>
      <w:ind w:left="1320"/>
    </w:pPr>
  </w:style>
  <w:style w:type="paragraph" w:styleId="NormalWeb">
    <w:name w:val="Normal (Web)"/>
    <w:basedOn w:val="Normal"/>
    <w:uiPriority w:val="99"/>
    <w:unhideWhenUsed/>
    <w:rsid w:val="00B4292A"/>
    <w:pPr>
      <w:spacing w:after="192" w:line="360" w:lineRule="atLeast"/>
      <w:jc w:val="left"/>
    </w:pPr>
    <w:rPr>
      <w:rFonts w:ascii="Times New Roman" w:eastAsia="Times New Roman" w:hAnsi="Times New Roman"/>
      <w:sz w:val="24"/>
      <w:szCs w:val="24"/>
      <w:lang w:val="en-US" w:eastAsia="en-US"/>
    </w:rPr>
  </w:style>
  <w:style w:type="paragraph" w:styleId="FootnoteText">
    <w:name w:val="footnote text"/>
    <w:basedOn w:val="Normal"/>
    <w:link w:val="FootnoteTextChar"/>
    <w:semiHidden/>
    <w:unhideWhenUsed/>
    <w:rsid w:val="000F3711"/>
    <w:rPr>
      <w:sz w:val="20"/>
      <w:szCs w:val="20"/>
    </w:rPr>
  </w:style>
  <w:style w:type="character" w:customStyle="1" w:styleId="FootnoteTextChar">
    <w:name w:val="Footnote Text Char"/>
    <w:basedOn w:val="DefaultParagraphFont"/>
    <w:link w:val="FootnoteText"/>
    <w:semiHidden/>
    <w:rsid w:val="000F3711"/>
    <w:rPr>
      <w:rFonts w:ascii="Arial" w:hAnsi="Arial"/>
      <w:lang w:eastAsia="zh-CN"/>
    </w:rPr>
  </w:style>
  <w:style w:type="character" w:styleId="FootnoteReference">
    <w:name w:val="footnote reference"/>
    <w:basedOn w:val="DefaultParagraphFont"/>
    <w:semiHidden/>
    <w:unhideWhenUsed/>
    <w:rsid w:val="000F3711"/>
    <w:rPr>
      <w:vertAlign w:val="superscript"/>
    </w:rPr>
  </w:style>
  <w:style w:type="paragraph" w:styleId="BodyText2">
    <w:name w:val="Body Text 2"/>
    <w:basedOn w:val="Normal"/>
    <w:link w:val="BodyText2Char"/>
    <w:semiHidden/>
    <w:unhideWhenUsed/>
    <w:rsid w:val="004958FC"/>
    <w:pPr>
      <w:spacing w:after="120" w:line="480" w:lineRule="auto"/>
    </w:pPr>
  </w:style>
  <w:style w:type="character" w:customStyle="1" w:styleId="BodyText2Char">
    <w:name w:val="Body Text 2 Char"/>
    <w:basedOn w:val="DefaultParagraphFont"/>
    <w:link w:val="BodyText2"/>
    <w:semiHidden/>
    <w:rsid w:val="004958FC"/>
    <w:rPr>
      <w:rFonts w:ascii="Arial" w:hAnsi="Arial"/>
      <w:sz w:val="22"/>
      <w:szCs w:val="22"/>
      <w:lang w:eastAsia="zh-CN"/>
    </w:rPr>
  </w:style>
  <w:style w:type="character" w:styleId="BookTitle">
    <w:name w:val="Book Title"/>
    <w:basedOn w:val="DefaultParagraphFont"/>
    <w:qFormat/>
    <w:rsid w:val="00D37DEF"/>
    <w:rPr>
      <w:b/>
      <w:bCs/>
      <w:smallCaps/>
      <w:spacing w:val="5"/>
    </w:rPr>
  </w:style>
  <w:style w:type="character" w:styleId="Emphasis">
    <w:name w:val="Emphasis"/>
    <w:basedOn w:val="DefaultParagraphFont"/>
    <w:qFormat/>
    <w:rsid w:val="00D37DEF"/>
    <w:rPr>
      <w:i/>
      <w:iCs/>
    </w:rPr>
  </w:style>
  <w:style w:type="character" w:styleId="FollowedHyperlink">
    <w:name w:val="FollowedHyperlink"/>
    <w:basedOn w:val="DefaultParagraphFont"/>
    <w:semiHidden/>
    <w:unhideWhenUsed/>
    <w:rsid w:val="00494E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177234">
      <w:bodyDiv w:val="1"/>
      <w:marLeft w:val="0"/>
      <w:marRight w:val="0"/>
      <w:marTop w:val="0"/>
      <w:marBottom w:val="0"/>
      <w:divBdr>
        <w:top w:val="none" w:sz="0" w:space="0" w:color="auto"/>
        <w:left w:val="none" w:sz="0" w:space="0" w:color="auto"/>
        <w:bottom w:val="none" w:sz="0" w:space="0" w:color="auto"/>
        <w:right w:val="none" w:sz="0" w:space="0" w:color="auto"/>
      </w:divBdr>
    </w:div>
    <w:div w:id="948583724">
      <w:bodyDiv w:val="1"/>
      <w:marLeft w:val="0"/>
      <w:marRight w:val="0"/>
      <w:marTop w:val="0"/>
      <w:marBottom w:val="0"/>
      <w:divBdr>
        <w:top w:val="none" w:sz="0" w:space="0" w:color="auto"/>
        <w:left w:val="none" w:sz="0" w:space="0" w:color="auto"/>
        <w:bottom w:val="none" w:sz="0" w:space="0" w:color="auto"/>
        <w:right w:val="none" w:sz="0" w:space="0" w:color="auto"/>
      </w:divBdr>
      <w:divsChild>
        <w:div w:id="1369333137">
          <w:marLeft w:val="0"/>
          <w:marRight w:val="0"/>
          <w:marTop w:val="0"/>
          <w:marBottom w:val="0"/>
          <w:divBdr>
            <w:top w:val="none" w:sz="0" w:space="0" w:color="auto"/>
            <w:left w:val="none" w:sz="0" w:space="0" w:color="auto"/>
            <w:bottom w:val="none" w:sz="0" w:space="0" w:color="auto"/>
            <w:right w:val="none" w:sz="0" w:space="0" w:color="auto"/>
          </w:divBdr>
          <w:divsChild>
            <w:div w:id="1152218532">
              <w:marLeft w:val="0"/>
              <w:marRight w:val="0"/>
              <w:marTop w:val="0"/>
              <w:marBottom w:val="0"/>
              <w:divBdr>
                <w:top w:val="none" w:sz="0" w:space="0" w:color="auto"/>
                <w:left w:val="none" w:sz="0" w:space="0" w:color="auto"/>
                <w:bottom w:val="none" w:sz="0" w:space="0" w:color="auto"/>
                <w:right w:val="none" w:sz="0" w:space="0" w:color="auto"/>
              </w:divBdr>
              <w:divsChild>
                <w:div w:id="641540574">
                  <w:marLeft w:val="0"/>
                  <w:marRight w:val="0"/>
                  <w:marTop w:val="0"/>
                  <w:marBottom w:val="0"/>
                  <w:divBdr>
                    <w:top w:val="single" w:sz="6" w:space="30" w:color="E7E7E7"/>
                    <w:left w:val="single" w:sz="6" w:space="0" w:color="E7E7E7"/>
                    <w:bottom w:val="single" w:sz="6" w:space="19" w:color="E7E7E7"/>
                    <w:right w:val="single" w:sz="6" w:space="0" w:color="E7E7E7"/>
                  </w:divBdr>
                  <w:divsChild>
                    <w:div w:id="779836603">
                      <w:marLeft w:val="0"/>
                      <w:marRight w:val="0"/>
                      <w:marTop w:val="0"/>
                      <w:marBottom w:val="0"/>
                      <w:divBdr>
                        <w:top w:val="none" w:sz="0" w:space="0" w:color="auto"/>
                        <w:left w:val="none" w:sz="0" w:space="0" w:color="auto"/>
                        <w:bottom w:val="none" w:sz="0" w:space="0" w:color="auto"/>
                        <w:right w:val="none" w:sz="0" w:space="0" w:color="auto"/>
                      </w:divBdr>
                      <w:divsChild>
                        <w:div w:id="1492990564">
                          <w:marLeft w:val="0"/>
                          <w:marRight w:val="0"/>
                          <w:marTop w:val="0"/>
                          <w:marBottom w:val="0"/>
                          <w:divBdr>
                            <w:top w:val="none" w:sz="0" w:space="0" w:color="auto"/>
                            <w:left w:val="none" w:sz="0" w:space="0" w:color="auto"/>
                            <w:bottom w:val="none" w:sz="0" w:space="0" w:color="auto"/>
                            <w:right w:val="none" w:sz="0" w:space="0" w:color="auto"/>
                          </w:divBdr>
                          <w:divsChild>
                            <w:div w:id="367607257">
                              <w:marLeft w:val="0"/>
                              <w:marRight w:val="0"/>
                              <w:marTop w:val="0"/>
                              <w:marBottom w:val="0"/>
                              <w:divBdr>
                                <w:top w:val="none" w:sz="0" w:space="0" w:color="auto"/>
                                <w:left w:val="none" w:sz="0" w:space="0" w:color="auto"/>
                                <w:bottom w:val="none" w:sz="0" w:space="0" w:color="auto"/>
                                <w:right w:val="none" w:sz="0" w:space="0" w:color="auto"/>
                              </w:divBdr>
                              <w:divsChild>
                                <w:div w:id="124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0129443">
      <w:bodyDiv w:val="1"/>
      <w:marLeft w:val="0"/>
      <w:marRight w:val="0"/>
      <w:marTop w:val="0"/>
      <w:marBottom w:val="0"/>
      <w:divBdr>
        <w:top w:val="none" w:sz="0" w:space="0" w:color="auto"/>
        <w:left w:val="none" w:sz="0" w:space="0" w:color="auto"/>
        <w:bottom w:val="none" w:sz="0" w:space="0" w:color="auto"/>
        <w:right w:val="none" w:sz="0" w:space="0" w:color="auto"/>
      </w:divBdr>
    </w:div>
    <w:div w:id="158606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esma.europa.eu/sites/default/files/library/2015/11/2014-1569_final_report_-_esmas_technical_advice_to_the_commission_on_mifid_ii_and_mifir.pdf" TargetMode="External"/><Relationship Id="rId21" Type="http://schemas.openxmlformats.org/officeDocument/2006/relationships/hyperlink" Target="https://www.esma.europa.eu/sites/default/files/library/2015/11/2014-1569_final_report_-_esmas_technical_advice_to_the_commission_on_mifid_ii_and_mifir.pdf" TargetMode="External"/><Relationship Id="rId42" Type="http://schemas.openxmlformats.org/officeDocument/2006/relationships/hyperlink" Target="http://www.elexica.com/~/media/Files/Microsites/MiFID/MiFID2%20legislative/DR%20April%202016%20%20Chp3%20S7%20Art%2071%20Eligible%20Counterparties.DOCX" TargetMode="External"/><Relationship Id="rId63" Type="http://schemas.openxmlformats.org/officeDocument/2006/relationships/hyperlink" Target="https://www.esma.europa.eu/sites/default/files/library/2015/11/2014-549_-_consultation_paper_mifid_ii_-_mifir.pdf" TargetMode="External"/><Relationship Id="rId84" Type="http://schemas.openxmlformats.org/officeDocument/2006/relationships/hyperlink" Target="https://www.esma.europa.eu/sites/default/files/library/2015/11/2014-549_-_consultation_paper_mifid_ii_-_mifir.pdf" TargetMode="External"/><Relationship Id="rId138" Type="http://schemas.openxmlformats.org/officeDocument/2006/relationships/hyperlink" Target="http://eur-lex.europa.eu/legal-content/EN/TXT/PDF/?uri=CELEX:32017R0565&amp;from=en" TargetMode="External"/><Relationship Id="rId159" Type="http://schemas.openxmlformats.org/officeDocument/2006/relationships/hyperlink" Target="http://eur-lex.europa.eu/legal-content/EN/TXT/PDF/?uri=CELEX:32017R0590&amp;from=EN" TargetMode="External"/><Relationship Id="rId170" Type="http://schemas.openxmlformats.org/officeDocument/2006/relationships/hyperlink" Target="https://www.esma.europa.eu/sites/default/files/library/esma70-872942901-3_final_report_-_draft_its_4.pdf" TargetMode="External"/><Relationship Id="rId191" Type="http://schemas.openxmlformats.org/officeDocument/2006/relationships/hyperlink" Target="http://www.elexica.com/~/media/Files/Microsites/MiFID/MiFID2%20legislative/Commission%20Delegated%20Regulations/Commission%20Delegated%20Regulation%20DR27%20RTS.pdf" TargetMode="External"/><Relationship Id="rId205" Type="http://schemas.openxmlformats.org/officeDocument/2006/relationships/fontTable" Target="fontTable.xml"/><Relationship Id="rId16" Type="http://schemas.openxmlformats.org/officeDocument/2006/relationships/hyperlink" Target="http://eur-lex.europa.eu/legal-content/EN/TXT/PDF/?uri=CELEX:32017L0593&amp;from=EN" TargetMode="External"/><Relationship Id="rId107" Type="http://schemas.openxmlformats.org/officeDocument/2006/relationships/hyperlink" Target="http://eur-lex.europa.eu/legal-content/EN/TXT/PDF/?uri=CELEX:32014L0065&amp;from=EN" TargetMode="External"/><Relationship Id="rId11" Type="http://schemas.openxmlformats.org/officeDocument/2006/relationships/hyperlink" Target="http://www.elexica.com/~/media/Files/Microsites/MiFID/MiFID2%20legislative/DR%20DOCS/DR%20April%202016%20%20Chp3%20S1%20Art%204451%20%20Information%20to%20Clients%20and%20Potential%20Clients.DOCX" TargetMode="External"/><Relationship Id="rId32" Type="http://schemas.openxmlformats.org/officeDocument/2006/relationships/hyperlink" Target="https://www.esma.europa.eu/sites/default/files/library/2015/11/2014-549_-_consultation_paper_mifid_ii_-_mifir.pdf" TargetMode="External"/><Relationship Id="rId37" Type="http://schemas.openxmlformats.org/officeDocument/2006/relationships/hyperlink" Target="http://www.esma.europa.eu/consultation/Consultation-Paper-MiFID-IIMiFIR" TargetMode="External"/><Relationship Id="rId53" Type="http://schemas.openxmlformats.org/officeDocument/2006/relationships/hyperlink" Target="https://www.esma.europa.eu/sites/default/files/library/2015/11/2014-549_-_consultation_paper_mifid_ii_-_mifir.pdf" TargetMode="External"/><Relationship Id="rId58" Type="http://schemas.openxmlformats.org/officeDocument/2006/relationships/hyperlink" Target="http://www.esma.europa.eu/consultation/Consultation-Paper-MiFID-IIMiFIR" TargetMode="External"/><Relationship Id="rId74" Type="http://schemas.openxmlformats.org/officeDocument/2006/relationships/hyperlink" Target="http://eur-lex.europa.eu/legal-content/EN/TXT/PDF/?uri=CELEX:32017R0565&amp;from=en" TargetMode="External"/><Relationship Id="rId79" Type="http://schemas.openxmlformats.org/officeDocument/2006/relationships/hyperlink" Target="http://eur-lex.europa.eu/legal-content/EN/TXT/PDF/?uri=CELEX:32017R0565&amp;from=en" TargetMode="External"/><Relationship Id="rId102" Type="http://schemas.openxmlformats.org/officeDocument/2006/relationships/hyperlink" Target="http://eur-lex.europa.eu/legal-content/EN/TXT/PDF/?uri=CELEX:32017R0576&amp;from=EN" TargetMode="External"/><Relationship Id="rId123" Type="http://schemas.openxmlformats.org/officeDocument/2006/relationships/hyperlink" Target="https://www.esma.europa.eu/sites/default/files/library/2015/11/2014-1569_final_report_-_esmas_technical_advice_to_the_commission_on_mifid_ii_and_mifir.pdf" TargetMode="External"/><Relationship Id="rId128" Type="http://schemas.openxmlformats.org/officeDocument/2006/relationships/hyperlink" Target="http://www.esma.europa.eu/consultation/Consultation-Paper-MiFID-IIMiFIR" TargetMode="External"/><Relationship Id="rId144" Type="http://schemas.openxmlformats.org/officeDocument/2006/relationships/hyperlink" Target="http://eur-lex.europa.eu/legal-content/EN/TXT/PDF/?uri=CELEX:32017R0565&amp;from=en" TargetMode="External"/><Relationship Id="rId149" Type="http://schemas.openxmlformats.org/officeDocument/2006/relationships/hyperlink" Target="https://www.esma.europa.eu/sites/default/files/library/2015/11/2014-549_-_consultation_paper_mifid_ii_-_mifir.pdf" TargetMode="External"/><Relationship Id="rId5" Type="http://schemas.openxmlformats.org/officeDocument/2006/relationships/settings" Target="settings.xml"/><Relationship Id="rId90" Type="http://schemas.openxmlformats.org/officeDocument/2006/relationships/hyperlink" Target="https://www.esma.europa.eu/sites/default/files/library/2015-1787_-_guidelines_on_complex_debt_instruments_and_structured_deposits.pdf" TargetMode="External"/><Relationship Id="rId95" Type="http://schemas.openxmlformats.org/officeDocument/2006/relationships/hyperlink" Target="https://www.esma.europa.eu/system/files_force/library/2015-1783_-_final_report_on_complex_debt_instruments_and_structured_deposits.pdf?download=1" TargetMode="External"/><Relationship Id="rId160" Type="http://schemas.openxmlformats.org/officeDocument/2006/relationships/hyperlink" Target="http://ec.europa.eu/transparency/regdoc/rep/3/2016/EN/3-2016-4733-EN-F1-1-ANNEX-1.PDF" TargetMode="External"/><Relationship Id="rId165" Type="http://schemas.openxmlformats.org/officeDocument/2006/relationships/hyperlink" Target="https://www.esma.europa.eu/sites/default/files/library/2015/11/2014-1569_final_report_-_esmas_technical_advice_to_the_commission_on_mifid_ii_and_mifir.pdf" TargetMode="External"/><Relationship Id="rId181" Type="http://schemas.openxmlformats.org/officeDocument/2006/relationships/hyperlink" Target="http://eur-lex.europa.eu/legal-content/EN/TXT/PDF/?uri=CELEX:32017R0578&amp;from=EN" TargetMode="External"/><Relationship Id="rId186" Type="http://schemas.openxmlformats.org/officeDocument/2006/relationships/hyperlink" Target="http://www.esma.europa.eu/consultation/Consultation-Paper-MiFID-IIMiFIR" TargetMode="External"/><Relationship Id="rId22" Type="http://schemas.openxmlformats.org/officeDocument/2006/relationships/hyperlink" Target="http://eur-lex.europa.eu/legal-content/EN/TXT/PDF/?uri=CELEX:32017L0593&amp;from=EN" TargetMode="External"/><Relationship Id="rId27" Type="http://schemas.openxmlformats.org/officeDocument/2006/relationships/hyperlink" Target="https://www.esma.europa.eu/sites/default/files/library/2015/11/2014-1569_final_report_-_esmas_technical_advice_to_the_commission_on_mifid_ii_and_mifir.pdf" TargetMode="External"/><Relationship Id="rId43" Type="http://schemas.openxmlformats.org/officeDocument/2006/relationships/hyperlink" Target="http://eur-lex.europa.eu/legal-content/EN/TXT/PDF/?uri=CELEX:32014L0065&amp;from=EN" TargetMode="External"/><Relationship Id="rId48" Type="http://schemas.openxmlformats.org/officeDocument/2006/relationships/hyperlink" Target="http://www.elexica.com/~/media/Files/Microsites/MiFID/MiFID2%20legislative/DR%20April%202016%20%20Chp%201%20Art%20120%20%20Scope%20and%20Definitions.DOCX" TargetMode="External"/><Relationship Id="rId64" Type="http://schemas.openxmlformats.org/officeDocument/2006/relationships/hyperlink" Target="https://www.esma.europa.eu/sites/default/files/library/2015/11/2014-1569_final_report_-_esmas_technical_advice_to_the_commission_on_mifid_ii_and_mifir.pdf" TargetMode="External"/><Relationship Id="rId69" Type="http://schemas.openxmlformats.org/officeDocument/2006/relationships/hyperlink" Target="https://www.esma.europa.eu/sites/default/files/library/2015/11/2014-549_-_consultation_paper_mifid_ii_-_mifir.pdf" TargetMode="External"/><Relationship Id="rId113" Type="http://schemas.openxmlformats.org/officeDocument/2006/relationships/hyperlink" Target="http://eur-lex.europa.eu/legal-content/EN/TXT/PDF/?uri=CELEX:32014L0065&amp;from=EN" TargetMode="External"/><Relationship Id="rId118" Type="http://schemas.openxmlformats.org/officeDocument/2006/relationships/hyperlink" Target="http://eur-lex.europa.eu/legal-content/EN/TXT/PDF/?uri=CELEX:32017R0565&amp;from=en" TargetMode="External"/><Relationship Id="rId134" Type="http://schemas.openxmlformats.org/officeDocument/2006/relationships/hyperlink" Target="https://www.esma.europa.eu/sites/default/files/library/2015-1909_guidelines_on_transaction_reporting_reference_data_order_record_keeping_and_clock_synchronisation.pdf" TargetMode="External"/><Relationship Id="rId139" Type="http://schemas.openxmlformats.org/officeDocument/2006/relationships/hyperlink" Target="http://eur-lex.europa.eu/legal-content/EN/TXT/PDF/?uri=CELEX:32014L0065&amp;from=EN" TargetMode="External"/><Relationship Id="rId80" Type="http://schemas.openxmlformats.org/officeDocument/2006/relationships/hyperlink" Target="http://www.elexica.com/~/media/Files/Microsites/MiFID/MiFID2%20legislative/DR%20DOCS/DR%20April%202016%20%20Chp3%20S3%20Art%205458%20Assessment%20of%20Suitability%20and%20Appropriateness.DOCX" TargetMode="External"/><Relationship Id="rId85" Type="http://schemas.openxmlformats.org/officeDocument/2006/relationships/hyperlink" Target="https://www.esma.europa.eu/sites/default/files/library/2015/11/2014-1569_final_report_-_esmas_technical_advice_to_the_commission_on_mifid_ii_and_mifir.pdf" TargetMode="External"/><Relationship Id="rId150" Type="http://schemas.openxmlformats.org/officeDocument/2006/relationships/hyperlink" Target="https://www.esma.europa.eu/sites/default/files/library/2015/11/2014-1569_final_report_-_esmas_technical_advice_to_the_commission_on_mifid_ii_and_mifir.pdf" TargetMode="External"/><Relationship Id="rId155" Type="http://schemas.openxmlformats.org/officeDocument/2006/relationships/hyperlink" Target="https://www.esma.europa.eu/sites/default/files/library/2015/11/2015-esma-1464_-_final_report_-_draft_rts_and_its_on_mifid_ii_and_mifir.pdf" TargetMode="External"/><Relationship Id="rId171" Type="http://schemas.openxmlformats.org/officeDocument/2006/relationships/hyperlink" Target="https://www.esma.europa.eu/sites/default/files/library/esma70-872942901-3_final_report_-_draft_its_4.pdf" TargetMode="External"/><Relationship Id="rId176" Type="http://schemas.openxmlformats.org/officeDocument/2006/relationships/hyperlink" Target="https://www.esma.europa.eu/sites/default/files/library/2015/11/2014-1570_cp_mifid_ii.pdf" TargetMode="External"/><Relationship Id="rId192" Type="http://schemas.openxmlformats.org/officeDocument/2006/relationships/hyperlink" Target="http://eur-lex.europa.eu/legal-content/EN/TXT/PDF/?uri=CELEX:32017R0589&amp;from=EN" TargetMode="External"/><Relationship Id="rId197" Type="http://schemas.openxmlformats.org/officeDocument/2006/relationships/hyperlink" Target="https://www.esma.europa.eu/sites/default/files/library/2015/11/2014-1570_cp_mifid_ii.pdf" TargetMode="External"/><Relationship Id="rId206" Type="http://schemas.openxmlformats.org/officeDocument/2006/relationships/theme" Target="theme/theme1.xml"/><Relationship Id="rId201" Type="http://schemas.openxmlformats.org/officeDocument/2006/relationships/hyperlink" Target="https://www.esma.europa.eu/sites/default/files/library/esma70-872942901-38_qas_markets_structures_issues.pdf" TargetMode="External"/><Relationship Id="rId12" Type="http://schemas.openxmlformats.org/officeDocument/2006/relationships/hyperlink" Target="http://eur-lex.europa.eu/legal-content/EN/TXT/PDF/?uri=CELEX:32014L0065&amp;from=EN" TargetMode="External"/><Relationship Id="rId17" Type="http://schemas.openxmlformats.org/officeDocument/2006/relationships/hyperlink" Target="https://www.esma.europa.eu/sites/default/files/library/2016-1436_cp_guidelines_on_product_governance.pdf" TargetMode="External"/><Relationship Id="rId33" Type="http://schemas.openxmlformats.org/officeDocument/2006/relationships/hyperlink" Target="https://www.esma.europa.eu/sites/default/files/library/2015/11/2014-1569_final_report_-_esmas_technical_advice_to_the_commission_on_mifid_ii_and_mifir.pdf" TargetMode="External"/><Relationship Id="rId38" Type="http://schemas.openxmlformats.org/officeDocument/2006/relationships/hyperlink" Target="https://www.esma.europa.eu/sites/default/files/library/2015/11/2014-549_-_consultation_paper_mifid_ii_-_mifir.pdf" TargetMode="External"/><Relationship Id="rId59" Type="http://schemas.openxmlformats.org/officeDocument/2006/relationships/hyperlink" Target="https://www.esma.europa.eu/sites/default/files/library/2015/11/2014-549_-_consultation_paper_mifid_ii_-_mifir.pdf" TargetMode="External"/><Relationship Id="rId103" Type="http://schemas.openxmlformats.org/officeDocument/2006/relationships/hyperlink" Target="http://ec.europa.eu/transparency/regdoc/rep/3/2016/EN/3-2016-3337-EN-F1-1-ANNEX-1.PDF" TargetMode="External"/><Relationship Id="rId108" Type="http://schemas.openxmlformats.org/officeDocument/2006/relationships/hyperlink" Target="http://www.esma.europa.eu/consultation/Consultation-Paper-MiFID-IIMiFIR" TargetMode="External"/><Relationship Id="rId124" Type="http://schemas.openxmlformats.org/officeDocument/2006/relationships/hyperlink" Target="http://eur-lex.europa.eu/legal-content/EN/TXT/PDF/?uri=CELEX:32017R0565&amp;from=en" TargetMode="External"/><Relationship Id="rId129" Type="http://schemas.openxmlformats.org/officeDocument/2006/relationships/hyperlink" Target="https://www.esma.europa.eu/sites/default/files/library/2015/11/2014-549_-_consultation_paper_mifid_ii_-_mifir.pdf" TargetMode="External"/><Relationship Id="rId54" Type="http://schemas.openxmlformats.org/officeDocument/2006/relationships/hyperlink" Target="https://www.esma.europa.eu/sites/default/files/library/2015/11/2014-1569_final_report_-_esmas_technical_advice_to_the_commission_on_mifid_ii_and_mifir.pdf" TargetMode="External"/><Relationship Id="rId70" Type="http://schemas.openxmlformats.org/officeDocument/2006/relationships/hyperlink" Target="https://www.esma.europa.eu/sites/default/files/library/2015/11/2014-1569_final_report_-_esmas_technical_advice_to_the_commission_on_mifid_ii_and_mifir.pdf" TargetMode="External"/><Relationship Id="rId75" Type="http://schemas.openxmlformats.org/officeDocument/2006/relationships/hyperlink" Target="http://eur-lex.europa.eu/legal-content/EN/TXT/PDF/?uri=CELEX:32014L0065&amp;from=EN" TargetMode="External"/><Relationship Id="rId91" Type="http://schemas.openxmlformats.org/officeDocument/2006/relationships/hyperlink" Target="https://www.esma.europa.eu/sites/default/files/library/2015-1787_-_guidelines_on_complex_debt_instruments_and_structured_deposits.pdf" TargetMode="External"/><Relationship Id="rId96" Type="http://schemas.openxmlformats.org/officeDocument/2006/relationships/hyperlink" Target="http://eur-lex.europa.eu/legal-content/EN/TXT/PDF/?uri=CELEX:32014L0065&amp;from=EN" TargetMode="External"/><Relationship Id="rId140" Type="http://schemas.openxmlformats.org/officeDocument/2006/relationships/hyperlink" Target="http://www.esma.europa.eu/consultation/Consultation-Paper-MiFID-IIMiFIR" TargetMode="External"/><Relationship Id="rId145" Type="http://schemas.openxmlformats.org/officeDocument/2006/relationships/hyperlink" Target="http://www.elexica.com/~/media/Files/Microsites/MiFID/MiFID2%20legislative/DR%20April%202016%20%20Chp3%20S8%20Art%207276%20RecordKeeping.DOCX" TargetMode="External"/><Relationship Id="rId161" Type="http://schemas.openxmlformats.org/officeDocument/2006/relationships/hyperlink" Target="https://www.esma.europa.eu/sites/default/files/library/2015-1909_guidelines_on_transaction_reporting_reference_data_order_record_keeping_and_clock_synchronisation.pdf" TargetMode="External"/><Relationship Id="rId166" Type="http://schemas.openxmlformats.org/officeDocument/2006/relationships/hyperlink" Target="http://www.esma.europa.eu/consultation/Discussion-Paper-MiFID-IIMiFIR" TargetMode="External"/><Relationship Id="rId182" Type="http://schemas.openxmlformats.org/officeDocument/2006/relationships/hyperlink" Target="http://eur-lex.europa.eu/legal-content/EN/TXT/PDF/?uri=CELEX:32017R0578&amp;from=EN" TargetMode="External"/><Relationship Id="rId187" Type="http://schemas.openxmlformats.org/officeDocument/2006/relationships/hyperlink" Target="https://www.esma.europa.eu/sites/default/files/library/2015/11/2014-549_-_consultation_paper_mifid_ii_-_mifir.pdf"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www.esma.europa.eu/sites/default/files/library/2016-1436_cp_guidelines_on_product_governance.pdf" TargetMode="External"/><Relationship Id="rId28" Type="http://schemas.openxmlformats.org/officeDocument/2006/relationships/hyperlink" Target="http://eur-lex.europa.eu/legal-content/EN/TXT/PDF/?uri=CELEX:32017R0565&amp;from=en" TargetMode="External"/><Relationship Id="rId49" Type="http://schemas.openxmlformats.org/officeDocument/2006/relationships/hyperlink" Target="http://www.elexica.com/~/media/Files/Microsites/MiFID/MiFID2%20legislative/DR%20April%202016%20%20Chp3%20S1%20Art%204451%20%20Information%20to%20Clients%20and%20Potential%20Clients.DOCX" TargetMode="External"/><Relationship Id="rId114" Type="http://schemas.openxmlformats.org/officeDocument/2006/relationships/hyperlink" Target="http://www.esma.europa.eu/consultation/Consultation-Paper-MiFID-IIMiFIR" TargetMode="External"/><Relationship Id="rId119" Type="http://schemas.openxmlformats.org/officeDocument/2006/relationships/hyperlink" Target="http://www.elexica.com/~/media/Files/Microsites/MiFID/MiFID2%20legislative/DR%20DOCS/DR%20April%202016%20%20Chp2%20S1%20Art%202129%20%20Organisation.DOCX" TargetMode="External"/><Relationship Id="rId44" Type="http://schemas.openxmlformats.org/officeDocument/2006/relationships/hyperlink" Target="http://www.esma.europa.eu/consultation/Consultation-Paper-MiFID-IIMiFIR" TargetMode="External"/><Relationship Id="rId60" Type="http://schemas.openxmlformats.org/officeDocument/2006/relationships/hyperlink" Target="https://www.esma.europa.eu/sites/default/files/library/2015/11/2014-1569_final_report_-_esmas_technical_advice_to_the_commission_on_mifid_ii_and_mifir.pdf" TargetMode="External"/><Relationship Id="rId65" Type="http://schemas.openxmlformats.org/officeDocument/2006/relationships/hyperlink" Target="http://eur-lex.europa.eu/legal-content/EN/TXT/PDF/?uri=CELEX:32017R0565&amp;from=en" TargetMode="External"/><Relationship Id="rId81" Type="http://schemas.openxmlformats.org/officeDocument/2006/relationships/hyperlink" Target="https://www.esma.europa.eu/press-news/esma-news/esma-updates-its-qas-mifid-iimifir-investor-protection-topics-0" TargetMode="External"/><Relationship Id="rId86" Type="http://schemas.openxmlformats.org/officeDocument/2006/relationships/hyperlink" Target="http://eur-lex.europa.eu/legal-content/EN/TXT/PDF/?uri=CELEX:32017R0565&amp;from=en" TargetMode="External"/><Relationship Id="rId130" Type="http://schemas.openxmlformats.org/officeDocument/2006/relationships/hyperlink" Target="https://www.esma.europa.eu/sites/default/files/library/2015/11/2014-549_-_consultation_paper_mifid_ii_-_mifir.pdf" TargetMode="External"/><Relationship Id="rId135" Type="http://schemas.openxmlformats.org/officeDocument/2006/relationships/hyperlink" Target="https://www.esma.europa.eu/sites/default/files/library/2016-1452_guidelines_mifid_ii_transaction_reporting.pdf" TargetMode="External"/><Relationship Id="rId151" Type="http://schemas.openxmlformats.org/officeDocument/2006/relationships/hyperlink" Target="http://eur-lex.europa.eu/legal-content/EN/TXT/PDF/?uri=CELEX:32017L0593&amp;from=EN" TargetMode="External"/><Relationship Id="rId156" Type="http://schemas.openxmlformats.org/officeDocument/2006/relationships/hyperlink" Target="https://www.esma.europa.eu/file/18248/download?token=MTq7PC-J" TargetMode="External"/><Relationship Id="rId177" Type="http://schemas.openxmlformats.org/officeDocument/2006/relationships/hyperlink" Target="https://www.esma.europa.eu/sites/default/files/library/2015/11/2014-1570_cp_mifid_ii.pdf" TargetMode="External"/><Relationship Id="rId198" Type="http://schemas.openxmlformats.org/officeDocument/2006/relationships/hyperlink" Target="http://www.esma.europa.eu/news/ESMA-readies-MiFID-II-MAR-and-CSDR?t=580&amp;o=page%2FMarkets-Financial-Instruments-Directive-MiFID-II" TargetMode="External"/><Relationship Id="rId172" Type="http://schemas.openxmlformats.org/officeDocument/2006/relationships/hyperlink" Target="http://eur-lex.europa.eu/legal-content/EN/TXT/PDF/?uri=CELEX:32014L0065&amp;from=EN" TargetMode="External"/><Relationship Id="rId193" Type="http://schemas.openxmlformats.org/officeDocument/2006/relationships/hyperlink" Target="http://www.elexica.com/~/media/Files/Microsites/MiFID/MiFID2%20legislative/Commission%20Delegated%20Regulations/DR27%20ANNEX.pdf" TargetMode="External"/><Relationship Id="rId202" Type="http://schemas.openxmlformats.org/officeDocument/2006/relationships/hyperlink" Target="https://www.esma.europa.eu/sites/default/files/library/mifid_ii_mifir_qa_on_market_structures_topics.pdf" TargetMode="External"/><Relationship Id="rId13" Type="http://schemas.openxmlformats.org/officeDocument/2006/relationships/hyperlink" Target="http://www.esma.europa.eu/consultation/Consultation-Paper-MiFID-IIMiFIR" TargetMode="External"/><Relationship Id="rId18" Type="http://schemas.openxmlformats.org/officeDocument/2006/relationships/hyperlink" Target="http://eur-lex.europa.eu/legal-content/EN/TXT/PDF/?uri=CELEX:32014L0065&amp;from=EN" TargetMode="External"/><Relationship Id="rId39" Type="http://schemas.openxmlformats.org/officeDocument/2006/relationships/hyperlink" Target="https://www.esma.europa.eu/sites/default/files/library/2015/11/2014-1569_final_report_-_esmas_technical_advice_to_the_commission_on_mifid_ii_and_mifir.pdf" TargetMode="External"/><Relationship Id="rId109" Type="http://schemas.openxmlformats.org/officeDocument/2006/relationships/hyperlink" Target="https://www.esma.europa.eu/sites/default/files/library/2015/11/2014-549_-_consultation_paper_mifid_ii_-_mifir.pdf" TargetMode="External"/><Relationship Id="rId34" Type="http://schemas.openxmlformats.org/officeDocument/2006/relationships/hyperlink" Target="http://eur-lex.europa.eu/legal-content/EN/TXT/PDF/?uri=CELEX:32017R0565&amp;from=en" TargetMode="External"/><Relationship Id="rId50" Type="http://schemas.openxmlformats.org/officeDocument/2006/relationships/hyperlink" Target="http://www.elexica.com/~/media/Files/Microsites/MiFID/MiFID2%20legislative/DR%20April%202016%20%20Chp3%20S2%20Art%205253%20Investment%20Advice.DOCX" TargetMode="External"/><Relationship Id="rId55" Type="http://schemas.openxmlformats.org/officeDocument/2006/relationships/hyperlink" Target="http://eur-lex.europa.eu/legal-content/EN/TXT/PDF/?uri=CELEX:32017R0565&amp;from=en" TargetMode="External"/><Relationship Id="rId76" Type="http://schemas.openxmlformats.org/officeDocument/2006/relationships/hyperlink" Target="http://www.esma.europa.eu/consultation/Consultation-Paper-MiFID-IIMiFIR" TargetMode="External"/><Relationship Id="rId97" Type="http://schemas.openxmlformats.org/officeDocument/2006/relationships/hyperlink" Target="http://www.esma.europa.eu/consultation/Consultation-Paper-MiFID-IIMiFIR" TargetMode="External"/><Relationship Id="rId104" Type="http://schemas.openxmlformats.org/officeDocument/2006/relationships/hyperlink" Target="https://www.esma.europa.eu/press-news/esma-news/esma-updates-its-qas-mifid-iimifir-investor-protection-topics-0" TargetMode="External"/><Relationship Id="rId120" Type="http://schemas.openxmlformats.org/officeDocument/2006/relationships/hyperlink" Target="http://eur-lex.europa.eu/legal-content/EN/TXT/PDF/?uri=CELEX:32014L0065&amp;from=EN" TargetMode="External"/><Relationship Id="rId125" Type="http://schemas.openxmlformats.org/officeDocument/2006/relationships/hyperlink" Target="http://www.elexica.com/~/media/Files/Microsites/MiFID/MiFID2%20legislative/DR%20April%202016%20%20Chp2%20S3%20Art%203343%20%20Conflicts%20of%20Interest.DOCX" TargetMode="External"/><Relationship Id="rId141" Type="http://schemas.openxmlformats.org/officeDocument/2006/relationships/hyperlink" Target="https://www.esma.europa.eu/sites/default/files/library/2015/11/2014-549_-_consultation_paper_mifid_ii_-_mifir.pdf" TargetMode="External"/><Relationship Id="rId146" Type="http://schemas.openxmlformats.org/officeDocument/2006/relationships/hyperlink" Target="https://www.esma.europa.eu/press-news/esma-news/esma-updates-its-qas-mifid-iimifir-investor-protection-topics-0" TargetMode="External"/><Relationship Id="rId167" Type="http://schemas.openxmlformats.org/officeDocument/2006/relationships/hyperlink" Target="https://www.esma.europa.eu/sites/default/files/library/2015/11/2014-1570_cp_mifid_ii.pdf" TargetMode="External"/><Relationship Id="rId188" Type="http://schemas.openxmlformats.org/officeDocument/2006/relationships/hyperlink" Target="https://www.esma.europa.eu/sites/default/files/library/2015/11/2014-1569_final_report_-_esmas_technical_advice_to_the_commission_on_mifid_ii_and_mifir.pdf" TargetMode="External"/><Relationship Id="rId7" Type="http://schemas.openxmlformats.org/officeDocument/2006/relationships/footnotes" Target="footnotes.xml"/><Relationship Id="rId71" Type="http://schemas.openxmlformats.org/officeDocument/2006/relationships/hyperlink" Target="http://eur-lex.europa.eu/legal-content/EN/TXT/PDF/?uri=CELEX:32017R0565&amp;from=en" TargetMode="External"/><Relationship Id="rId92" Type="http://schemas.openxmlformats.org/officeDocument/2006/relationships/hyperlink" Target="http://eur-lex.europa.eu/legal-content/EN/TXT/PDF/?uri=CELEX:32017R0565&amp;from=en" TargetMode="External"/><Relationship Id="rId162" Type="http://schemas.openxmlformats.org/officeDocument/2006/relationships/hyperlink" Target="https://www.esma.europa.eu/sites/default/files/library/2016-1452_guidelines_mifid_ii_transaction_reporting.pdf" TargetMode="External"/><Relationship Id="rId183" Type="http://schemas.openxmlformats.org/officeDocument/2006/relationships/hyperlink" Target="http://eur-lex.europa.eu/legal-content/EN/TXT/PDF/?uri=CELEX:32017R0578&amp;from=EN" TargetMode="External"/><Relationship Id="rId2" Type="http://schemas.openxmlformats.org/officeDocument/2006/relationships/customXml" Target="../customXml/item2.xml"/><Relationship Id="rId29" Type="http://schemas.openxmlformats.org/officeDocument/2006/relationships/hyperlink" Target="http://www.elexica.com/~/media/Files/Microsites/MiFID/MiFID2%20legislative/DR%20DOCS/DR%20April%202016%20%20Chp3%20S1%20Art%204451%20%20Information%20to%20Clients%20and%20Potential%20Clients.DOCX" TargetMode="External"/><Relationship Id="rId24" Type="http://schemas.openxmlformats.org/officeDocument/2006/relationships/hyperlink" Target="http://eur-lex.europa.eu/legal-content/EN/TXT/PDF/?uri=CELEX:32014L0065&amp;from=EN" TargetMode="External"/><Relationship Id="rId40" Type="http://schemas.openxmlformats.org/officeDocument/2006/relationships/hyperlink" Target="http://eur-lex.europa.eu/legal-content/EN/TXT/PDF/?uri=CELEX:32017R0565&amp;from=en" TargetMode="External"/><Relationship Id="rId45" Type="http://schemas.openxmlformats.org/officeDocument/2006/relationships/hyperlink" Target="https://www.esma.europa.eu/sites/default/files/library/2015/11/2014-549_-_consultation_paper_mifid_ii_-_mifir.pdf" TargetMode="External"/><Relationship Id="rId66" Type="http://schemas.openxmlformats.org/officeDocument/2006/relationships/hyperlink" Target="http://www.elexica.com/~/media/Files/Microsites/MiFID/MiFID2%20legislative/DR%20April%202016%20%20Chp3%20S3%20Art%205458%20Assessment%20of%20Suitability%20and%20Appropriateness.DOCX" TargetMode="External"/><Relationship Id="rId87" Type="http://schemas.openxmlformats.org/officeDocument/2006/relationships/hyperlink" Target="http://www.elexica.com/~/media/Files/Microsites/MiFID/MiFID2%20legislative/DR%20DOCS/DR%20April%202016%20%20Chp3%20S3%20Art%205458%20Assessment%20of%20Suitability%20and%20Appropriateness.DOCX" TargetMode="External"/><Relationship Id="rId110" Type="http://schemas.openxmlformats.org/officeDocument/2006/relationships/hyperlink" Target="https://www.esma.europa.eu/sites/default/files/library/2015/11/2014-1569_final_report_-_esmas_technical_advice_to_the_commission_on_mifid_ii_and_mifir.pdf" TargetMode="External"/><Relationship Id="rId115" Type="http://schemas.openxmlformats.org/officeDocument/2006/relationships/hyperlink" Target="https://www.esma.europa.eu/sites/default/files/library/2015/11/2014-549_-_consultation_paper_mifid_ii_-_mifir.pdf" TargetMode="External"/><Relationship Id="rId131" Type="http://schemas.openxmlformats.org/officeDocument/2006/relationships/hyperlink" Target="https://www.esma.europa.eu/sites/default/files/library/2015/11/2014-1569_final_report_-_esmas_technical_advice_to_the_commission_on_mifid_ii_and_mifir.pdf" TargetMode="External"/><Relationship Id="rId136" Type="http://schemas.openxmlformats.org/officeDocument/2006/relationships/hyperlink" Target="https://www.esma.europa.eu/press-news/esma-news/esma-updates-its-qas-mifid-iimifir-investor-protection-topics-0" TargetMode="External"/><Relationship Id="rId157" Type="http://schemas.openxmlformats.org/officeDocument/2006/relationships/hyperlink" Target="http://eur-lex.europa.eu/legal-content/EN/TXT/PDF/?uri=CELEX:32017R0590&amp;from=EN" TargetMode="External"/><Relationship Id="rId178" Type="http://schemas.openxmlformats.org/officeDocument/2006/relationships/hyperlink" Target="https://www.esma.europa.eu/sites/default/files/library/2015/11/2015-esma-1464_-_final_report_-_draft_rts_and_its_on_mifid_ii_and_mifir.pdf" TargetMode="External"/><Relationship Id="rId61" Type="http://schemas.openxmlformats.org/officeDocument/2006/relationships/hyperlink" Target="http://eur-lex.europa.eu/legal-content/EN/TXT/PDF/?uri=CELEX:32014L0065&amp;from=EN" TargetMode="External"/><Relationship Id="rId82" Type="http://schemas.openxmlformats.org/officeDocument/2006/relationships/hyperlink" Target="http://eur-lex.europa.eu/legal-content/EN/TXT/PDF/?uri=CELEX:32014L0065&amp;from=EN" TargetMode="External"/><Relationship Id="rId152" Type="http://schemas.openxmlformats.org/officeDocument/2006/relationships/hyperlink" Target="http://eur-lex.europa.eu/legal-content/EN/TXT/HTML/?uri=CELEX:32014R0600&amp;from=EN" TargetMode="External"/><Relationship Id="rId173" Type="http://schemas.openxmlformats.org/officeDocument/2006/relationships/hyperlink" Target="http://www.esma.europa.eu/consultation/Discussion-Paper-MiFID-IIMiFIR" TargetMode="External"/><Relationship Id="rId194" Type="http://schemas.openxmlformats.org/officeDocument/2006/relationships/hyperlink" Target="https://www.esma.europa.eu/sites/default/files/library/esma70-872942901-38_qas_markets_structures_issues.pdf" TargetMode="External"/><Relationship Id="rId199" Type="http://schemas.openxmlformats.org/officeDocument/2006/relationships/hyperlink" Target="https://www.esma.europa.eu/sites/default/files/library/2015/11/2015-esma-1464_-_final_report_-_draft_rts_and_its_on_mifid_ii_and_mifir.pdf" TargetMode="External"/><Relationship Id="rId203" Type="http://schemas.openxmlformats.org/officeDocument/2006/relationships/hyperlink" Target="http://eur-lex.europa.eu/legal-content/EN/TXT/PDF/?uri=CELEX:32014L0065&amp;from=EN" TargetMode="External"/><Relationship Id="rId19" Type="http://schemas.openxmlformats.org/officeDocument/2006/relationships/hyperlink" Target="http://www.esma.europa.eu/consultation/Consultation-Paper-MiFID-IIMiFIR" TargetMode="External"/><Relationship Id="rId14" Type="http://schemas.openxmlformats.org/officeDocument/2006/relationships/hyperlink" Target="https://www.esma.europa.eu/sites/default/files/library/2015/11/2014-549_-_consultation_paper_mifid_ii_-_mifir.pdf" TargetMode="External"/><Relationship Id="rId30" Type="http://schemas.openxmlformats.org/officeDocument/2006/relationships/hyperlink" Target="http://eur-lex.europa.eu/legal-content/EN/TXT/PDF/?uri=CELEX:32014L0065&amp;from=EN" TargetMode="External"/><Relationship Id="rId35" Type="http://schemas.openxmlformats.org/officeDocument/2006/relationships/hyperlink" Target="http://www.elexica.com/~/media/Files/Microsites/MiFID/MiFID2%20legislative/DR%20DOCS/DR%20April%202016%20%20Chp3%20S1%20Art%204451%20%20Information%20to%20Clients%20and%20Potential%20Clients.DOCX" TargetMode="External"/><Relationship Id="rId56" Type="http://schemas.openxmlformats.org/officeDocument/2006/relationships/hyperlink" Target="http://www.elexica.com/~/media/Files/Microsites/MiFID/MiFID2%20legislative/DR%20DOCS/DR%20April%202016%20%20Chp3%20S1%20Art%204451%20%20Information%20to%20Clients%20and%20Potential%20Clients.DOCX" TargetMode="External"/><Relationship Id="rId77" Type="http://schemas.openxmlformats.org/officeDocument/2006/relationships/hyperlink" Target="https://www.esma.europa.eu/sites/default/files/library/2015/11/2014-549_-_consultation_paper_mifid_ii_-_mifir.pdf" TargetMode="External"/><Relationship Id="rId100" Type="http://schemas.openxmlformats.org/officeDocument/2006/relationships/hyperlink" Target="http://eur-lex.europa.eu/legal-content/EN/TXT/PDF/?uri=CELEX:32017R0565&amp;from=en" TargetMode="External"/><Relationship Id="rId105" Type="http://schemas.openxmlformats.org/officeDocument/2006/relationships/hyperlink" Target="http://eur-lex.europa.eu/legal-content/EN/TXT/PDF/?uri=CELEX:32017R0576&amp;from=EN" TargetMode="External"/><Relationship Id="rId126" Type="http://schemas.openxmlformats.org/officeDocument/2006/relationships/hyperlink" Target="http://eur-lex.europa.eu/legal-content/EN/TXT/PDF/?uri=CELEX:32017R0565&amp;from=en" TargetMode="External"/><Relationship Id="rId147" Type="http://schemas.openxmlformats.org/officeDocument/2006/relationships/hyperlink" Target="http://eur-lex.europa.eu/legal-content/EN/TXT/PDF/?uri=CELEX:32014L0065&amp;from=EN" TargetMode="External"/><Relationship Id="rId168" Type="http://schemas.openxmlformats.org/officeDocument/2006/relationships/hyperlink" Target="https://www.esma.europa.eu/sites/default/files/library/2015-1858_-_final_report_-_draft_implementing_technical_standards_under_mifid_ii.pdf" TargetMode="External"/><Relationship Id="rId8" Type="http://schemas.openxmlformats.org/officeDocument/2006/relationships/endnotes" Target="endnotes.xml"/><Relationship Id="rId51" Type="http://schemas.openxmlformats.org/officeDocument/2006/relationships/hyperlink" Target="http://eur-lex.europa.eu/legal-content/EN/TXT/PDF/?uri=CELEX:32014L0065&amp;from=EN" TargetMode="External"/><Relationship Id="rId72" Type="http://schemas.openxmlformats.org/officeDocument/2006/relationships/hyperlink" Target="http://www.elexica.com/~/media/Files/Microsites/MiFID/MiFID2%20legislative/DR%20DOCS/DR%20April%202016%20%20Chp3%20S4%20Art%205963%20Reporting%20to%20Clients.DOCX" TargetMode="External"/><Relationship Id="rId93" Type="http://schemas.openxmlformats.org/officeDocument/2006/relationships/hyperlink" Target="http://www.elexica.com/~/media/Files/Microsites/MiFID/MiFID2%20legislative/DR%20April%202016%20%20Chp3%20S3%20Art%205458%20Assessment%20of%20Suitability%20and%20Appropriateness.DOCX" TargetMode="External"/><Relationship Id="rId98" Type="http://schemas.openxmlformats.org/officeDocument/2006/relationships/hyperlink" Target="https://www.esma.europa.eu/sites/default/files/library/2015/11/2014-549_-_consultation_paper_mifid_ii_-_mifir.pdf" TargetMode="External"/><Relationship Id="rId121" Type="http://schemas.openxmlformats.org/officeDocument/2006/relationships/hyperlink" Target="http://www.esma.europa.eu/consultation/Consultation-Paper-MiFID-IIMiFIR" TargetMode="External"/><Relationship Id="rId142" Type="http://schemas.openxmlformats.org/officeDocument/2006/relationships/hyperlink" Target="https://www.esma.europa.eu/sites/default/files/library/2015/11/2014-549_-_consultation_paper_mifid_ii_-_mifir.pdf" TargetMode="External"/><Relationship Id="rId163" Type="http://schemas.openxmlformats.org/officeDocument/2006/relationships/hyperlink" Target="http://eur-lex.europa.eu/legal-content/EN/TXT/PDF/?uri=CELEX:32014L0065&amp;from=EN" TargetMode="External"/><Relationship Id="rId184" Type="http://schemas.openxmlformats.org/officeDocument/2006/relationships/hyperlink" Target="http://eur-lex.europa.eu/legal-content/EN/TXT/PDF/?uri=CELEX:32017R0578&amp;from=EN" TargetMode="External"/><Relationship Id="rId189" Type="http://schemas.openxmlformats.org/officeDocument/2006/relationships/hyperlink" Target="http://eur-lex.europa.eu/legal-content/EN/TXT/PDF/?uri=CELEX:32017R0565&amp;from=en" TargetMode="External"/><Relationship Id="rId3" Type="http://schemas.openxmlformats.org/officeDocument/2006/relationships/numbering" Target="numbering.xml"/><Relationship Id="rId25" Type="http://schemas.openxmlformats.org/officeDocument/2006/relationships/hyperlink" Target="http://www.esma.europa.eu/consultation/Consultation-Paper-MiFID-IIMiFIR" TargetMode="External"/><Relationship Id="rId46" Type="http://schemas.openxmlformats.org/officeDocument/2006/relationships/hyperlink" Target="https://www.esma.europa.eu/sites/default/files/library/2015/11/2014-1569_final_report_-_esmas_technical_advice_to_the_commission_on_mifid_ii_and_mifir.pdf" TargetMode="External"/><Relationship Id="rId67" Type="http://schemas.openxmlformats.org/officeDocument/2006/relationships/hyperlink" Target="http://eur-lex.europa.eu/legal-content/EN/TXT/PDF/?uri=CELEX:32014L0065&amp;from=EN" TargetMode="External"/><Relationship Id="rId116" Type="http://schemas.openxmlformats.org/officeDocument/2006/relationships/hyperlink" Target="https://www.esma.europa.eu/sites/default/files/library/2015/11/2014-549_-_consultation_paper_mifid_ii_-_mifir.pdf" TargetMode="External"/><Relationship Id="rId137" Type="http://schemas.openxmlformats.org/officeDocument/2006/relationships/hyperlink" Target="http://eur-lex.europa.eu/legal-content/EN/TXT/PDF/?uri=CELEX:32017R0565&amp;from=en" TargetMode="External"/><Relationship Id="rId158" Type="http://schemas.openxmlformats.org/officeDocument/2006/relationships/hyperlink" Target="http://ec.europa.eu/transparency/regdoc/rep/3/2016/EN/3-2016-4733-EN-F1-1.PDF" TargetMode="External"/><Relationship Id="rId20" Type="http://schemas.openxmlformats.org/officeDocument/2006/relationships/hyperlink" Target="https://www.esma.europa.eu/sites/default/files/library/2015/11/2014-549_-_consultation_paper_mifid_ii_-_mifir.pdf" TargetMode="External"/><Relationship Id="rId41" Type="http://schemas.openxmlformats.org/officeDocument/2006/relationships/hyperlink" Target="http://www.elexica.com/~/media/Files/Microsites/MiFID/MiFID2%20legislative/DR%20April%202016%20%20Chp3%20S4%20Art%205963%20Reporting%20to%20Clients.DOCX" TargetMode="External"/><Relationship Id="rId62" Type="http://schemas.openxmlformats.org/officeDocument/2006/relationships/hyperlink" Target="http://www.esma.europa.eu/consultation/Consultation-Paper-MiFID-IIMiFIR" TargetMode="External"/><Relationship Id="rId83" Type="http://schemas.openxmlformats.org/officeDocument/2006/relationships/hyperlink" Target="http://www.esma.europa.eu/consultation/Consultation-Paper-MiFID-IIMiFIR" TargetMode="External"/><Relationship Id="rId88" Type="http://schemas.openxmlformats.org/officeDocument/2006/relationships/hyperlink" Target="http://www.esma.europa.eu/system/files/2015-1783_-_final_report_on_complex_debt_instruments_and_structured_deposits.pdf" TargetMode="External"/><Relationship Id="rId111" Type="http://schemas.openxmlformats.org/officeDocument/2006/relationships/hyperlink" Target="http://www.elexica.com/~/media/Files/Microsites/MiFID/MiFID2%20legislative/Commission%20Delegated%20Regulations/Commission%20Delegated%20Directive%20-%207%20April%202016.pdf" TargetMode="External"/><Relationship Id="rId132" Type="http://schemas.openxmlformats.org/officeDocument/2006/relationships/hyperlink" Target="http://eur-lex.europa.eu/legal-content/EN/TXT/PDF/?uri=CELEX:32017R0565&amp;from=en" TargetMode="External"/><Relationship Id="rId153" Type="http://schemas.openxmlformats.org/officeDocument/2006/relationships/hyperlink" Target="https://www.esma.europa.eu/sites/default/files/library/2015/11/2014-548_discussion_paper_mifid-mifir.pdf" TargetMode="External"/><Relationship Id="rId174" Type="http://schemas.openxmlformats.org/officeDocument/2006/relationships/hyperlink" Target="https://www.esma.europa.eu/sites/default/files/library/2015/11/2014-548_discussion_paper_mifid-mifir.pdf" TargetMode="External"/><Relationship Id="rId179" Type="http://schemas.openxmlformats.org/officeDocument/2006/relationships/hyperlink" Target="http://www.elexica.com/~/media/Files/Microsites/MiFID/MiFID2%20legislative/Commission%20Delegated%20Regulations/Commission%20Delegated%20Regulation%20DR18%20RTS.pdf" TargetMode="External"/><Relationship Id="rId195" Type="http://schemas.openxmlformats.org/officeDocument/2006/relationships/hyperlink" Target="http://eur-lex.europa.eu/legal-content/EN/TXT/PDF/?uri=CELEX:32014L0065&amp;from=EN" TargetMode="External"/><Relationship Id="rId190" Type="http://schemas.openxmlformats.org/officeDocument/2006/relationships/hyperlink" Target="http://www.elexica.com/~/media/Files/Microsites/MiFID/MiFID2%20legislative/DR%20DOCS/DR%20April%202016%20%20Chp%201%20Art%20120%20%20Scope%20and%20Definitions.DOCX" TargetMode="External"/><Relationship Id="rId204" Type="http://schemas.openxmlformats.org/officeDocument/2006/relationships/header" Target="header1.xml"/><Relationship Id="rId15" Type="http://schemas.openxmlformats.org/officeDocument/2006/relationships/hyperlink" Target="https://www.esma.europa.eu/sites/default/files/library/2015/11/2014-1569_final_report_-_esmas_technical_advice_to_the_commission_on_mifid_ii_and_mifir.pdf" TargetMode="External"/><Relationship Id="rId36" Type="http://schemas.openxmlformats.org/officeDocument/2006/relationships/hyperlink" Target="http://eur-lex.europa.eu/legal-content/EN/TXT/PDF/?uri=CELEX:32014L0065&amp;from=EN" TargetMode="External"/><Relationship Id="rId57" Type="http://schemas.openxmlformats.org/officeDocument/2006/relationships/hyperlink" Target="https://www.esma.europa.eu/press-news/esma-news/esma-updates-its-qas-mifid-iimifir-investor-protection-topics-0" TargetMode="External"/><Relationship Id="rId106" Type="http://schemas.openxmlformats.org/officeDocument/2006/relationships/hyperlink" Target="http://ec.europa.eu/transparency/regdoc/rep/3/2016/EN/3-2016-3337-EN-F1-1-ANNEX-1.PDF" TargetMode="External"/><Relationship Id="rId127" Type="http://schemas.openxmlformats.org/officeDocument/2006/relationships/hyperlink" Target="http://eur-lex.europa.eu/legal-content/EN/TXT/PDF/?uri=CELEX:32014L0065&amp;from=EN" TargetMode="External"/><Relationship Id="rId10" Type="http://schemas.openxmlformats.org/officeDocument/2006/relationships/hyperlink" Target="http://eur-lex.europa.eu/legal-content/EN/TXT/PDF/?uri=CELEX:32017R0565&amp;from=en" TargetMode="External"/><Relationship Id="rId31" Type="http://schemas.openxmlformats.org/officeDocument/2006/relationships/hyperlink" Target="http://www.esma.europa.eu/consultation/Consultation-Paper-MiFID-IIMiFIR" TargetMode="External"/><Relationship Id="rId52" Type="http://schemas.openxmlformats.org/officeDocument/2006/relationships/hyperlink" Target="http://www.esma.europa.eu/consultation/Consultation-Paper-MiFID-IIMiFIR" TargetMode="External"/><Relationship Id="rId73" Type="http://schemas.openxmlformats.org/officeDocument/2006/relationships/hyperlink" Target="https://www.esma.europa.eu/press-news/esma-news/esma-updates-its-qas-mifid-iimifir-investor-protection-topics-0" TargetMode="External"/><Relationship Id="rId78" Type="http://schemas.openxmlformats.org/officeDocument/2006/relationships/hyperlink" Target="https://www.esma.europa.eu/sites/default/files/library/2015/11/2014-1569_final_report_-_esmas_technical_advice_to_the_commission_on_mifid_ii_and_mifir.pdf" TargetMode="External"/><Relationship Id="rId94" Type="http://schemas.openxmlformats.org/officeDocument/2006/relationships/hyperlink" Target="http://www.esma.europa.eu/system/files/2015-1783_-_final_report_on_complex_debt_instruments_and_structured_deposits.pdf" TargetMode="External"/><Relationship Id="rId99" Type="http://schemas.openxmlformats.org/officeDocument/2006/relationships/hyperlink" Target="https://www.esma.europa.eu/sites/default/files/library/2015/11/2014-1569_final_report_-_esmas_technical_advice_to_the_commission_on_mifid_ii_and_mifir.pdf" TargetMode="External"/><Relationship Id="rId101" Type="http://schemas.openxmlformats.org/officeDocument/2006/relationships/hyperlink" Target="http://www.elexica.com/~/media/Files/Microsites/MiFID/MiFID2%20legislative/DR%20DOCS/DR%20April%202016%20%20Chp3%20S5%20%20Art%206466%20Best%20Execution.DOCX" TargetMode="External"/><Relationship Id="rId122" Type="http://schemas.openxmlformats.org/officeDocument/2006/relationships/hyperlink" Target="https://www.esma.europa.eu/sites/default/files/library/2015/11/2014-549_-_consultation_paper_mifid_ii_-_mifir.pdf" TargetMode="External"/><Relationship Id="rId143" Type="http://schemas.openxmlformats.org/officeDocument/2006/relationships/hyperlink" Target="https://www.esma.europa.eu/sites/default/files/library/2015/11/2014-1569_final_report_-_esmas_technical_advice_to_the_commission_on_mifid_ii_and_mifir.pdf" TargetMode="External"/><Relationship Id="rId148" Type="http://schemas.openxmlformats.org/officeDocument/2006/relationships/hyperlink" Target="http://www.esma.europa.eu/consultation/Consultation-Paper-MiFID-IIMiFIR" TargetMode="External"/><Relationship Id="rId164" Type="http://schemas.openxmlformats.org/officeDocument/2006/relationships/hyperlink" Target="https://www.esma.europa.eu/sites/default/files/library/2015/11/2014-549_-_consultation_paper_mifid_ii_-_mifir.pdf" TargetMode="External"/><Relationship Id="rId169" Type="http://schemas.openxmlformats.org/officeDocument/2006/relationships/hyperlink" Target="https://www.esma.europa.eu/sites/default/files/library/esma70-872942901-3_final_report_-_draft_its_4.pdf" TargetMode="External"/><Relationship Id="rId185" Type="http://schemas.openxmlformats.org/officeDocument/2006/relationships/hyperlink" Target="http://eur-lex.europa.eu/legal-content/EN/TXT/PDF/?uri=CELEX:32014L0065&amp;from=EN" TargetMode="External"/><Relationship Id="rId4" Type="http://schemas.openxmlformats.org/officeDocument/2006/relationships/styles" Target="styles.xml"/><Relationship Id="rId9" Type="http://schemas.openxmlformats.org/officeDocument/2006/relationships/hyperlink" Target="http://eur-lex.europa.eu/legal-content/EN/TXT/PDF/?uri=CELEX:32014L0065&amp;from=EN" TargetMode="External"/><Relationship Id="rId180" Type="http://schemas.openxmlformats.org/officeDocument/2006/relationships/hyperlink" Target="http://eur-lex.europa.eu/legal-content/EN/TXT/PDF/?uri=CELEX:32017R0578&amp;from=EN" TargetMode="External"/><Relationship Id="rId26" Type="http://schemas.openxmlformats.org/officeDocument/2006/relationships/hyperlink" Target="https://www.esma.europa.eu/sites/default/files/library/2015/11/2014-549_-_consultation_paper_mifid_ii_-_mifir.pdf" TargetMode="External"/><Relationship Id="rId47" Type="http://schemas.openxmlformats.org/officeDocument/2006/relationships/hyperlink" Target="http://eur-lex.europa.eu/legal-content/EN/TXT/PDF/?uri=CELEX:32017R0565&amp;from=en" TargetMode="External"/><Relationship Id="rId68" Type="http://schemas.openxmlformats.org/officeDocument/2006/relationships/hyperlink" Target="http://www.esma.europa.eu/consultation/Consultation-Paper-MiFID-IIMiFIR" TargetMode="External"/><Relationship Id="rId89" Type="http://schemas.openxmlformats.org/officeDocument/2006/relationships/hyperlink" Target="https://www.esma.europa.eu/system/files_force/library/2015-1783_-_final_report_on_complex_debt_instruments_and_structured_deposits.pdf?download=1" TargetMode="External"/><Relationship Id="rId112" Type="http://schemas.openxmlformats.org/officeDocument/2006/relationships/hyperlink" Target="https://www.esma.europa.eu/press-news/esma-news/esma-updates-its-qas-mifid-iimifir-investor-protection-topics-0" TargetMode="External"/><Relationship Id="rId133" Type="http://schemas.openxmlformats.org/officeDocument/2006/relationships/hyperlink" Target="http://www.elexica.com/~/media/Files/Microsites/MiFID/MiFID2%20legislative/DR%20DOCS/DR%20April%202016%20%20Chp3%20S8%20Art%207276%20RecordKeeping.DOCX" TargetMode="External"/><Relationship Id="rId154" Type="http://schemas.openxmlformats.org/officeDocument/2006/relationships/hyperlink" Target="https://www.esma.europa.eu/sites/default/files/library/2015/11/2014-1570_cp_mifid_ii.pdf" TargetMode="External"/><Relationship Id="rId175" Type="http://schemas.openxmlformats.org/officeDocument/2006/relationships/hyperlink" Target="https://www.esma.europa.eu/sites/default/files/library/2015/11/2014-1569_final_report_-_esmas_technical_advice_to_the_commission_on_mifid_ii_and_mifir.pdf" TargetMode="External"/><Relationship Id="rId196" Type="http://schemas.openxmlformats.org/officeDocument/2006/relationships/hyperlink" Target="https://www.esma.europa.eu/sites/default/files/library/2015/11/2014-1570_cp_mifid_ii.pdf" TargetMode="External"/><Relationship Id="rId200" Type="http://schemas.openxmlformats.org/officeDocument/2006/relationships/hyperlink" Target="http://eur-lex.europa.eu/legal-content/EN/TXT/PDF/?uri=CELEX:32016R0824&amp;from=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Tikit\Template%20Management%20System\Simmons\Templates\Gener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2015-11-03T00:00:00</PublishDate>
  <Abstract/>
  <CompanyAddress/>
  <CompanyPhone/>
  <CompanyFax/>
  <CompanyEmail/>
</CoverPageProperties>
</file>

<file path=customXml/item2.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41205D5-BC83-4A46-B42C-C60806245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Template>
  <TotalTime>0</TotalTime>
  <Pages>15</Pages>
  <Words>13224</Words>
  <Characters>75377</Characters>
  <Application>Microsoft Office Word</Application>
  <DocSecurity>0</DocSecurity>
  <Lines>628</Lines>
  <Paragraphs>176</Paragraphs>
  <ScaleCrop>false</ScaleCrop>
  <HeadingPairs>
    <vt:vector size="2" baseType="variant">
      <vt:variant>
        <vt:lpstr>Title</vt:lpstr>
      </vt:variant>
      <vt:variant>
        <vt:i4>1</vt:i4>
      </vt:variant>
    </vt:vector>
  </HeadingPairs>
  <TitlesOfParts>
    <vt:vector size="1" baseType="lpstr">
      <vt:lpstr>MiFID 2/MiFIR Regulatory Tracker</vt:lpstr>
    </vt:vector>
  </TitlesOfParts>
  <Company>Mitsubishi UFJ Securities International Plc</Company>
  <LinksUpToDate>false</LinksUpToDate>
  <CharactersWithSpaces>88425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MiFID 2/MiFIR Regulatory Tracker</dc:title>
  <dc:creator>Simmons &amp; Simmons – 3 November 2015</dc:creator>
  <cp:lastModifiedBy>Sally Anderson</cp:lastModifiedBy>
  <cp:revision>2</cp:revision>
  <cp:lastPrinted>2017-02-26T23:13:00Z</cp:lastPrinted>
  <dcterms:created xsi:type="dcterms:W3CDTF">2019-10-13T19:58:00Z</dcterms:created>
  <dcterms:modified xsi:type="dcterms:W3CDTF">2019-10-13T19:58:00Z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2feab436-c872-450e-937a-d56a88439401</vt:lpwstr>
  </property>
  <property fmtid="{D5CDD505-2E9C-101B-9397-08002B2CF9AE}" pid="3" name="MAIL_MSG_ID1">
    <vt:lpwstr>UFAAhWon0ndq8EyFVKZjyM4HE4998ps+IFtNni3xJVyvcJ4RIUI9+NriYK6sIyNiuisisHlrPD0dNxug
xP5kfpHoUUq0TpUPN87E2rR8agpN2pjQIVkOGpwQDv7eBvPPSbWvWBTjBcdri62gxP5kfpHoUUq0
TpUPN87E2rR8agpN2pjQIVkOGpwQDv7eBvPPSbWvXmPxSMl7F3tHi4zMVlHYvSTHJQJK0tc6OpR0
n2kY8JA1XUdnkH7Ws</vt:lpwstr>
  </property>
  <property fmtid="{D5CDD505-2E9C-101B-9397-08002B2CF9AE}" pid="4" name="RESPONSE_SENDER_NAME">
    <vt:lpwstr>sAAAGYoQX4c3X/JkhxyKW0rSZqa3ukPq8oUtuujagu9WE+A=</vt:lpwstr>
  </property>
  <property fmtid="{D5CDD505-2E9C-101B-9397-08002B2CF9AE}" pid="5" name="EMAIL_OWNER_ADDRESS">
    <vt:lpwstr>ABAAgoCixPcRe8lnSssEK5u6gws6/jvgl0qZCOYQX8GHI8+TbSe2dwhMSQtYMtP79cCR</vt:lpwstr>
  </property>
  <property fmtid="{D5CDD505-2E9C-101B-9397-08002B2CF9AE}" pid="6" name="MAIL_MSG_ID2">
    <vt:lpwstr>Yh7Jbyyc5wLCU1yZdy92dajD9W7MBN0AJNsPFtw4Y2yKeXloLQlPf8z/sSD
HADwtUH3QbPn+iK1mPOOhlkzBpI=</vt:lpwstr>
  </property>
</Properties>
</file>