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0A" w:rsidRPr="007D7D0A" w:rsidRDefault="007D7D0A" w:rsidP="007D7D0A">
      <w:pPr>
        <w:widowControl w:val="0"/>
        <w:kinsoku w:val="0"/>
        <w:overflowPunct w:val="0"/>
        <w:spacing w:before="360" w:line="365" w:lineRule="exact"/>
        <w:ind w:left="74" w:right="74"/>
        <w:jc w:val="both"/>
        <w:textAlignment w:val="baseline"/>
        <w:rPr>
          <w:rFonts w:ascii="Arial" w:eastAsiaTheme="minorEastAsia" w:hAnsi="Arial" w:cs="Arial"/>
          <w:b/>
          <w:bCs/>
          <w:sz w:val="28"/>
          <w:szCs w:val="28"/>
          <w:lang w:eastAsia="en-GB"/>
        </w:rPr>
      </w:pPr>
      <w:r>
        <w:rPr>
          <w:rFonts w:ascii="Arial" w:eastAsiaTheme="minorEastAsia" w:hAnsi="Arial" w:cs="Arial"/>
          <w:bCs/>
          <w:noProof/>
          <w:sz w:val="28"/>
          <w:szCs w:val="28"/>
          <w:lang w:val="en-GB" w:eastAsia="en-GB"/>
        </w:rPr>
        <w:drawing>
          <wp:anchor distT="0" distB="0" distL="114300" distR="114300" simplePos="0" relativeHeight="251667456" behindDoc="0" locked="0" layoutInCell="1" allowOverlap="1">
            <wp:simplePos x="0" y="0"/>
            <wp:positionH relativeFrom="column">
              <wp:posOffset>43180</wp:posOffset>
            </wp:positionH>
            <wp:positionV relativeFrom="paragraph">
              <wp:posOffset>3810</wp:posOffset>
            </wp:positionV>
            <wp:extent cx="822960" cy="621665"/>
            <wp:effectExtent l="0" t="0" r="0" b="698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621665"/>
                    </a:xfrm>
                    <a:prstGeom prst="rect">
                      <a:avLst/>
                    </a:prstGeom>
                    <a:noFill/>
                  </pic:spPr>
                </pic:pic>
              </a:graphicData>
            </a:graphic>
            <wp14:sizeRelH relativeFrom="page">
              <wp14:pctWidth>0</wp14:pctWidth>
            </wp14:sizeRelH>
            <wp14:sizeRelV relativeFrom="page">
              <wp14:pctHeight>0</wp14:pctHeight>
            </wp14:sizeRelV>
          </wp:anchor>
        </w:drawing>
      </w:r>
      <w:r w:rsidRPr="007D7D0A">
        <w:rPr>
          <w:rFonts w:ascii="Arial" w:eastAsiaTheme="minorEastAsia" w:hAnsi="Arial" w:cs="Arial"/>
          <w:b/>
          <w:bCs/>
          <w:sz w:val="28"/>
          <w:szCs w:val="28"/>
          <w:lang w:eastAsia="en-GB"/>
        </w:rPr>
        <w:t>RTS 5: Draft regulatory technical standards under Article 46(7) of MiFIR</w:t>
      </w:r>
    </w:p>
    <w:p w:rsidR="007D7D0A" w:rsidRPr="007D7D0A" w:rsidRDefault="007D7D0A" w:rsidP="007D7D0A">
      <w:pPr>
        <w:widowControl w:val="0"/>
        <w:kinsoku w:val="0"/>
        <w:overflowPunct w:val="0"/>
        <w:spacing w:before="298" w:line="248" w:lineRule="exact"/>
        <w:ind w:left="72"/>
        <w:jc w:val="center"/>
        <w:textAlignment w:val="baseline"/>
        <w:rPr>
          <w:rFonts w:ascii="Arial" w:eastAsiaTheme="minorEastAsia" w:hAnsi="Arial" w:cs="Arial"/>
          <w:b/>
          <w:bCs/>
          <w:lang w:eastAsia="en-GB"/>
        </w:rPr>
      </w:pPr>
      <w:r w:rsidRPr="007D7D0A">
        <w:rPr>
          <w:rFonts w:ascii="Arial" w:eastAsiaTheme="minorEastAsia" w:hAnsi="Arial" w:cs="Arial"/>
          <w:b/>
          <w:bCs/>
          <w:lang w:eastAsia="en-GB"/>
        </w:rPr>
        <w:t>COMMISSION DELEGATED REGULATION (EU) .../..</w:t>
      </w:r>
    </w:p>
    <w:p w:rsidR="007D7D0A" w:rsidRPr="007D7D0A" w:rsidRDefault="007D7D0A" w:rsidP="007D7D0A">
      <w:pPr>
        <w:widowControl w:val="0"/>
        <w:kinsoku w:val="0"/>
        <w:overflowPunct w:val="0"/>
        <w:spacing w:before="295" w:line="248" w:lineRule="exact"/>
        <w:ind w:left="72"/>
        <w:jc w:val="center"/>
        <w:textAlignment w:val="baseline"/>
        <w:rPr>
          <w:rFonts w:ascii="Arial" w:eastAsiaTheme="minorEastAsia" w:hAnsi="Arial" w:cs="Arial"/>
          <w:b/>
          <w:bCs/>
          <w:spacing w:val="16"/>
          <w:lang w:eastAsia="en-GB"/>
        </w:rPr>
      </w:pPr>
      <w:r w:rsidRPr="007D7D0A">
        <w:rPr>
          <w:rFonts w:ascii="Arial" w:eastAsiaTheme="minorEastAsia" w:hAnsi="Arial" w:cs="Arial"/>
          <w:b/>
          <w:bCs/>
          <w:spacing w:val="16"/>
          <w:lang w:eastAsia="en-GB"/>
        </w:rPr>
        <w:t>of [...]</w:t>
      </w:r>
    </w:p>
    <w:p w:rsidR="007D7D0A" w:rsidRPr="007D7D0A" w:rsidRDefault="007D7D0A" w:rsidP="007D7D0A">
      <w:pPr>
        <w:widowControl w:val="0"/>
        <w:kinsoku w:val="0"/>
        <w:overflowPunct w:val="0"/>
        <w:spacing w:before="256" w:line="291" w:lineRule="exact"/>
        <w:ind w:left="72"/>
        <w:jc w:val="center"/>
        <w:textAlignment w:val="baseline"/>
        <w:rPr>
          <w:rFonts w:ascii="Arial" w:eastAsiaTheme="minorEastAsia" w:hAnsi="Arial" w:cs="Arial"/>
          <w:b/>
          <w:bCs/>
          <w:lang w:eastAsia="en-GB"/>
        </w:rPr>
      </w:pPr>
      <w:r w:rsidRPr="007D7D0A">
        <w:rPr>
          <w:rFonts w:ascii="Arial" w:eastAsiaTheme="minorEastAsia" w:hAnsi="Arial" w:cs="Arial"/>
          <w:b/>
          <w:bCs/>
          <w:lang w:eastAsia="en-GB"/>
        </w:rPr>
        <w:t>supplementing Regulation (EU) No 600/2014 of the European Parliament and of the</w:t>
      </w:r>
      <w:r>
        <w:rPr>
          <w:rFonts w:ascii="Arial" w:eastAsiaTheme="minorEastAsia" w:hAnsi="Arial" w:cs="Arial"/>
          <w:b/>
          <w:bCs/>
          <w:lang w:eastAsia="en-GB"/>
        </w:rPr>
        <w:t xml:space="preserve"> </w:t>
      </w:r>
      <w:r w:rsidRPr="007D7D0A">
        <w:rPr>
          <w:rFonts w:ascii="Arial" w:eastAsiaTheme="minorEastAsia" w:hAnsi="Arial" w:cs="Arial"/>
          <w:b/>
          <w:bCs/>
          <w:lang w:eastAsia="en-GB"/>
        </w:rPr>
        <w:t>Council with regard to the regulatory technical standards concerning the information</w:t>
      </w:r>
      <w:r>
        <w:rPr>
          <w:rFonts w:ascii="Arial" w:eastAsiaTheme="minorEastAsia" w:hAnsi="Arial" w:cs="Arial"/>
          <w:b/>
          <w:bCs/>
          <w:lang w:eastAsia="en-GB"/>
        </w:rPr>
        <w:t xml:space="preserve"> </w:t>
      </w:r>
      <w:r w:rsidRPr="007D7D0A">
        <w:rPr>
          <w:rFonts w:ascii="Arial" w:eastAsiaTheme="minorEastAsia" w:hAnsi="Arial" w:cs="Arial"/>
          <w:b/>
          <w:bCs/>
          <w:lang w:eastAsia="en-GB"/>
        </w:rPr>
        <w:t>for registration of third country firms and the format of information to be provided to</w:t>
      </w:r>
      <w:r>
        <w:rPr>
          <w:rFonts w:ascii="Arial" w:eastAsiaTheme="minorEastAsia" w:hAnsi="Arial" w:cs="Arial"/>
          <w:b/>
          <w:bCs/>
          <w:lang w:eastAsia="en-GB"/>
        </w:rPr>
        <w:t xml:space="preserve"> </w:t>
      </w:r>
      <w:bookmarkStart w:id="0" w:name="_GoBack"/>
      <w:bookmarkEnd w:id="0"/>
      <w:r w:rsidRPr="007D7D0A">
        <w:rPr>
          <w:rFonts w:ascii="Arial" w:eastAsiaTheme="minorEastAsia" w:hAnsi="Arial" w:cs="Arial"/>
          <w:b/>
          <w:bCs/>
          <w:lang w:eastAsia="en-GB"/>
        </w:rPr>
        <w:t>the clients</w:t>
      </w:r>
    </w:p>
    <w:p w:rsidR="007D7D0A" w:rsidRPr="007D7D0A" w:rsidRDefault="007D7D0A" w:rsidP="007D7D0A">
      <w:pPr>
        <w:widowControl w:val="0"/>
        <w:kinsoku w:val="0"/>
        <w:overflowPunct w:val="0"/>
        <w:spacing w:before="286" w:line="248" w:lineRule="exact"/>
        <w:ind w:left="72"/>
        <w:jc w:val="center"/>
        <w:textAlignment w:val="baseline"/>
        <w:rPr>
          <w:rFonts w:ascii="Arial" w:eastAsiaTheme="minorEastAsia" w:hAnsi="Arial" w:cs="Arial"/>
          <w:b/>
          <w:bCs/>
          <w:lang w:eastAsia="en-GB"/>
        </w:rPr>
      </w:pPr>
      <w:r w:rsidRPr="007D7D0A">
        <w:rPr>
          <w:rFonts w:ascii="Arial" w:eastAsiaTheme="minorEastAsia" w:hAnsi="Arial" w:cs="Arial"/>
          <w:b/>
          <w:bCs/>
          <w:lang w:eastAsia="en-GB"/>
        </w:rPr>
        <w:t>(Text with EEA relevance)</w:t>
      </w:r>
    </w:p>
    <w:p w:rsidR="007D7D0A" w:rsidRPr="007D7D0A" w:rsidRDefault="007D7D0A" w:rsidP="007D7D0A">
      <w:pPr>
        <w:widowControl w:val="0"/>
        <w:kinsoku w:val="0"/>
        <w:overflowPunct w:val="0"/>
        <w:spacing w:before="294" w:line="247" w:lineRule="exact"/>
        <w:ind w:left="72"/>
        <w:textAlignment w:val="baseline"/>
        <w:rPr>
          <w:rFonts w:ascii="Arial" w:eastAsiaTheme="minorEastAsia" w:hAnsi="Arial" w:cs="Arial"/>
          <w:lang w:eastAsia="en-GB"/>
        </w:rPr>
      </w:pPr>
      <w:r w:rsidRPr="007D7D0A">
        <w:rPr>
          <w:rFonts w:ascii="Arial" w:eastAsiaTheme="minorEastAsia" w:hAnsi="Arial" w:cs="Arial"/>
          <w:lang w:eastAsia="en-GB"/>
        </w:rPr>
        <w:t>THE EUROPEAN COMMISSION,</w:t>
      </w:r>
    </w:p>
    <w:p w:rsidR="007D7D0A" w:rsidRPr="007D7D0A" w:rsidRDefault="007D7D0A" w:rsidP="007D7D0A">
      <w:pPr>
        <w:widowControl w:val="0"/>
        <w:kinsoku w:val="0"/>
        <w:overflowPunct w:val="0"/>
        <w:spacing w:before="295" w:line="247" w:lineRule="exact"/>
        <w:ind w:left="72"/>
        <w:textAlignment w:val="baseline"/>
        <w:rPr>
          <w:rFonts w:ascii="Arial" w:eastAsiaTheme="minorEastAsia" w:hAnsi="Arial" w:cs="Arial"/>
          <w:lang w:eastAsia="en-GB"/>
        </w:rPr>
      </w:pPr>
      <w:r w:rsidRPr="007D7D0A">
        <w:rPr>
          <w:rFonts w:ascii="Arial" w:eastAsiaTheme="minorEastAsia" w:hAnsi="Arial" w:cs="Arial"/>
          <w:lang w:eastAsia="en-GB"/>
        </w:rPr>
        <w:t>Having regard to the Treaty on the Functioning of the European Union,</w:t>
      </w:r>
    </w:p>
    <w:p w:rsidR="007D7D0A" w:rsidRPr="007D7D0A" w:rsidRDefault="007D7D0A" w:rsidP="007D7D0A">
      <w:pPr>
        <w:widowControl w:val="0"/>
        <w:kinsoku w:val="0"/>
        <w:overflowPunct w:val="0"/>
        <w:spacing w:before="253" w:line="290" w:lineRule="exact"/>
        <w:ind w:left="72" w:right="72"/>
        <w:jc w:val="both"/>
        <w:textAlignment w:val="baseline"/>
        <w:rPr>
          <w:rFonts w:ascii="Arial" w:eastAsiaTheme="minorEastAsia" w:hAnsi="Arial" w:cs="Arial"/>
          <w:lang w:eastAsia="en-GB"/>
        </w:rPr>
      </w:pPr>
      <w:r w:rsidRPr="007D7D0A">
        <w:rPr>
          <w:rFonts w:ascii="Arial" w:eastAsiaTheme="minorEastAsia" w:hAnsi="Arial" w:cs="Arial"/>
          <w:lang w:eastAsia="en-GB"/>
        </w:rPr>
        <w:t>Having regard to Regulation (EU) No 600/2014 of the European Parliament and of the Council of 15 May 2014 on markets in financial instruments and amending Regulation (EU) No 648/2012 (</w:t>
      </w:r>
      <w:r>
        <w:rPr>
          <w:rStyle w:val="FootnoteReference"/>
          <w:rFonts w:ascii="Arial" w:eastAsiaTheme="minorEastAsia" w:hAnsi="Arial" w:cs="Arial"/>
          <w:lang w:eastAsia="en-GB"/>
        </w:rPr>
        <w:footnoteReference w:id="1"/>
      </w:r>
      <w:r w:rsidRPr="007D7D0A">
        <w:rPr>
          <w:rFonts w:ascii="Arial" w:eastAsiaTheme="minorEastAsia" w:hAnsi="Arial" w:cs="Arial"/>
          <w:lang w:eastAsia="en-GB"/>
        </w:rPr>
        <w:t>), and in particular Article 46(7) thereof,</w:t>
      </w:r>
    </w:p>
    <w:p w:rsidR="007D7D0A" w:rsidRPr="007D7D0A" w:rsidRDefault="007D7D0A" w:rsidP="007D7D0A">
      <w:pPr>
        <w:widowControl w:val="0"/>
        <w:kinsoku w:val="0"/>
        <w:overflowPunct w:val="0"/>
        <w:spacing w:before="292" w:line="247" w:lineRule="exact"/>
        <w:ind w:left="72"/>
        <w:textAlignment w:val="baseline"/>
        <w:rPr>
          <w:rFonts w:ascii="Arial" w:eastAsiaTheme="minorEastAsia" w:hAnsi="Arial" w:cs="Arial"/>
          <w:spacing w:val="-1"/>
          <w:lang w:eastAsia="en-GB"/>
        </w:rPr>
      </w:pPr>
      <w:r w:rsidRPr="007D7D0A">
        <w:rPr>
          <w:rFonts w:ascii="Arial" w:eastAsiaTheme="minorEastAsia" w:hAnsi="Arial" w:cs="Arial"/>
          <w:spacing w:val="-1"/>
          <w:lang w:eastAsia="en-GB"/>
        </w:rPr>
        <w:t>Whereas:</w:t>
      </w:r>
    </w:p>
    <w:p w:rsidR="007D7D0A" w:rsidRPr="007D7D0A" w:rsidRDefault="007D7D0A" w:rsidP="007D7D0A">
      <w:pPr>
        <w:widowControl w:val="0"/>
        <w:numPr>
          <w:ilvl w:val="0"/>
          <w:numId w:val="7"/>
        </w:numPr>
        <w:kinsoku w:val="0"/>
        <w:overflowPunct w:val="0"/>
        <w:autoSpaceDE w:val="0"/>
        <w:autoSpaceDN w:val="0"/>
        <w:adjustRightInd w:val="0"/>
        <w:spacing w:before="256" w:line="289"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 xml:space="preserve">Regulation (EU) No 600/2014 of the European Parliament and of the Council sets out a </w:t>
      </w:r>
      <w:proofErr w:type="spellStart"/>
      <w:r w:rsidRPr="007D7D0A">
        <w:rPr>
          <w:rFonts w:ascii="Arial" w:eastAsiaTheme="minorEastAsia" w:hAnsi="Arial" w:cs="Arial"/>
          <w:lang w:eastAsia="en-GB"/>
        </w:rPr>
        <w:t>harmonised</w:t>
      </w:r>
      <w:proofErr w:type="spellEnd"/>
      <w:r w:rsidRPr="007D7D0A">
        <w:rPr>
          <w:rFonts w:ascii="Arial" w:eastAsiaTheme="minorEastAsia" w:hAnsi="Arial" w:cs="Arial"/>
          <w:lang w:eastAsia="en-GB"/>
        </w:rPr>
        <w:t xml:space="preserve"> framework for the treatment of third-country firms accessing the Union to provide investment services and activities to eligible counterparties and to professional clients.</w:t>
      </w:r>
    </w:p>
    <w:p w:rsidR="007D7D0A" w:rsidRPr="007D7D0A" w:rsidRDefault="007D7D0A" w:rsidP="007D7D0A">
      <w:pPr>
        <w:widowControl w:val="0"/>
        <w:numPr>
          <w:ilvl w:val="0"/>
          <w:numId w:val="7"/>
        </w:numPr>
        <w:kinsoku w:val="0"/>
        <w:overflowPunct w:val="0"/>
        <w:autoSpaceDE w:val="0"/>
        <w:autoSpaceDN w:val="0"/>
        <w:adjustRightInd w:val="0"/>
        <w:spacing w:before="254" w:line="291"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It is appropriate to set out the information that a third-country firm applying for the provision of investment services or performance of activities throughout the Union should provide to the European Securities and Markets Authority (ESMA) and the format in which the information to clients as referred to in Article 46(5) of Regulation (EU) No 600/2014 should be provided in order to establish uniform requirements relating to third-country firms and to benefit from the possibility to provide services throughout the Union.</w:t>
      </w:r>
    </w:p>
    <w:p w:rsidR="007D7D0A" w:rsidRPr="007D7D0A" w:rsidRDefault="007D7D0A" w:rsidP="007D7D0A">
      <w:pPr>
        <w:widowControl w:val="0"/>
        <w:numPr>
          <w:ilvl w:val="0"/>
          <w:numId w:val="7"/>
        </w:numPr>
        <w:kinsoku w:val="0"/>
        <w:overflowPunct w:val="0"/>
        <w:autoSpaceDE w:val="0"/>
        <w:autoSpaceDN w:val="0"/>
        <w:adjustRightInd w:val="0"/>
        <w:spacing w:before="257" w:after="679" w:line="289"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In order to enable ESMA to correctly identify and register the third country firms, ESMA should be provided with their contact details, their national and international identification codes and proof of their authorisation to provide investment services in the country where the firm is established.</w:t>
      </w:r>
    </w:p>
    <w:p w:rsidR="007D7D0A" w:rsidRPr="007D7D0A" w:rsidRDefault="007D7D0A" w:rsidP="007D7D0A">
      <w:pPr>
        <w:widowControl w:val="0"/>
        <w:kinsoku w:val="0"/>
        <w:overflowPunct w:val="0"/>
        <w:spacing w:before="354" w:line="187" w:lineRule="exact"/>
        <w:ind w:left="72"/>
        <w:textAlignment w:val="baseline"/>
        <w:rPr>
          <w:rFonts w:ascii="Arial" w:eastAsiaTheme="minorEastAsia" w:hAnsi="Arial" w:cs="Arial"/>
          <w:sz w:val="16"/>
          <w:szCs w:val="16"/>
          <w:lang w:eastAsia="en-GB"/>
        </w:rPr>
      </w:pPr>
    </w:p>
    <w:p w:rsidR="007D7D0A" w:rsidRPr="007D7D0A" w:rsidRDefault="007D7D0A" w:rsidP="007D7D0A">
      <w:pPr>
        <w:autoSpaceDE w:val="0"/>
        <w:autoSpaceDN w:val="0"/>
        <w:adjustRightInd w:val="0"/>
        <w:rPr>
          <w:rFonts w:eastAsiaTheme="minorEastAsia"/>
          <w:sz w:val="24"/>
          <w:szCs w:val="24"/>
          <w:lang w:eastAsia="en-GB"/>
        </w:rPr>
        <w:sectPr w:rsidR="007D7D0A" w:rsidRPr="007D7D0A">
          <w:pgSz w:w="11904" w:h="16843"/>
          <w:pgMar w:top="720" w:right="1327" w:bottom="806" w:left="1327" w:header="720" w:footer="720" w:gutter="0"/>
          <w:cols w:space="720"/>
          <w:noEndnote/>
        </w:sectPr>
      </w:pPr>
    </w:p>
    <w:p w:rsidR="007D7D0A" w:rsidRDefault="007D7D0A" w:rsidP="007D7D0A">
      <w:pPr>
        <w:widowControl w:val="0"/>
        <w:kinsoku w:val="0"/>
        <w:overflowPunct w:val="0"/>
        <w:autoSpaceDE w:val="0"/>
        <w:autoSpaceDN w:val="0"/>
        <w:adjustRightInd w:val="0"/>
        <w:spacing w:before="837" w:line="290" w:lineRule="exact"/>
        <w:ind w:right="72"/>
        <w:jc w:val="both"/>
        <w:textAlignment w:val="baseline"/>
        <w:rPr>
          <w:rFonts w:ascii="Arial" w:eastAsiaTheme="minorEastAsia" w:hAnsi="Arial" w:cs="Arial"/>
          <w:lang w:eastAsia="en-GB"/>
        </w:rPr>
      </w:pPr>
      <w:r>
        <w:rPr>
          <w:rFonts w:ascii="Arial" w:eastAsiaTheme="minorEastAsia" w:hAnsi="Arial" w:cs="Arial"/>
          <w:noProof/>
          <w:lang w:val="en-GB" w:eastAsia="en-GB"/>
        </w:rPr>
        <w:lastRenderedPageBreak/>
        <w:drawing>
          <wp:inline distT="0" distB="0" distL="0" distR="0" wp14:anchorId="4020724F">
            <wp:extent cx="822960" cy="62166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621665"/>
                    </a:xfrm>
                    <a:prstGeom prst="rect">
                      <a:avLst/>
                    </a:prstGeom>
                    <a:noFill/>
                  </pic:spPr>
                </pic:pic>
              </a:graphicData>
            </a:graphic>
          </wp:inline>
        </w:drawing>
      </w:r>
    </w:p>
    <w:p w:rsidR="007D7D0A" w:rsidRPr="007D7D0A" w:rsidRDefault="007D7D0A" w:rsidP="007D7D0A">
      <w:pPr>
        <w:widowControl w:val="0"/>
        <w:numPr>
          <w:ilvl w:val="0"/>
          <w:numId w:val="8"/>
        </w:numPr>
        <w:kinsoku w:val="0"/>
        <w:overflowPunct w:val="0"/>
        <w:autoSpaceDE w:val="0"/>
        <w:autoSpaceDN w:val="0"/>
        <w:adjustRightInd w:val="0"/>
        <w:spacing w:before="240" w:line="290" w:lineRule="exact"/>
        <w:ind w:left="652" w:right="74" w:hanging="578"/>
        <w:jc w:val="both"/>
        <w:textAlignment w:val="baseline"/>
        <w:rPr>
          <w:rFonts w:ascii="Arial" w:eastAsiaTheme="minorEastAsia" w:hAnsi="Arial" w:cs="Arial"/>
          <w:lang w:eastAsia="en-GB"/>
        </w:rPr>
      </w:pPr>
      <w:r w:rsidRPr="007D7D0A">
        <w:rPr>
          <w:rFonts w:ascii="Arial" w:eastAsiaTheme="minorEastAsia" w:hAnsi="Arial" w:cs="Arial"/>
          <w:lang w:eastAsia="en-GB"/>
        </w:rPr>
        <w:t>Attention should be paid to the language and layout used to provide information to clients by third-country firms, in order to ensure that the information is understandable and clear.</w:t>
      </w:r>
    </w:p>
    <w:p w:rsidR="007D7D0A" w:rsidRPr="007D7D0A" w:rsidRDefault="007D7D0A" w:rsidP="007D7D0A">
      <w:pPr>
        <w:widowControl w:val="0"/>
        <w:numPr>
          <w:ilvl w:val="0"/>
          <w:numId w:val="8"/>
        </w:numPr>
        <w:kinsoku w:val="0"/>
        <w:overflowPunct w:val="0"/>
        <w:autoSpaceDE w:val="0"/>
        <w:autoSpaceDN w:val="0"/>
        <w:adjustRightInd w:val="0"/>
        <w:spacing w:before="256" w:line="289"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The application of this Regulation shall be deferred in order to align its date of application with the date prescribed for the application of Regulation (EU) No 600/2014 of the European Parliament and of the Council of 15 may 2014 in Article 55 of said Regulation.</w:t>
      </w:r>
    </w:p>
    <w:p w:rsidR="007D7D0A" w:rsidRPr="007D7D0A" w:rsidRDefault="007D7D0A" w:rsidP="007D7D0A">
      <w:pPr>
        <w:widowControl w:val="0"/>
        <w:numPr>
          <w:ilvl w:val="0"/>
          <w:numId w:val="8"/>
        </w:numPr>
        <w:kinsoku w:val="0"/>
        <w:overflowPunct w:val="0"/>
        <w:autoSpaceDE w:val="0"/>
        <w:autoSpaceDN w:val="0"/>
        <w:adjustRightInd w:val="0"/>
        <w:spacing w:before="251" w:line="291"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This Regulation is based on the draft regulatory technical standards submitted by ESMA to the Commission.</w:t>
      </w:r>
    </w:p>
    <w:p w:rsidR="007D7D0A" w:rsidRPr="007D7D0A" w:rsidRDefault="007D7D0A" w:rsidP="007D7D0A">
      <w:pPr>
        <w:widowControl w:val="0"/>
        <w:numPr>
          <w:ilvl w:val="0"/>
          <w:numId w:val="8"/>
        </w:numPr>
        <w:kinsoku w:val="0"/>
        <w:overflowPunct w:val="0"/>
        <w:autoSpaceDE w:val="0"/>
        <w:autoSpaceDN w:val="0"/>
        <w:adjustRightInd w:val="0"/>
        <w:spacing w:before="250" w:line="291" w:lineRule="exact"/>
        <w:ind w:right="72"/>
        <w:jc w:val="both"/>
        <w:textAlignment w:val="baseline"/>
        <w:rPr>
          <w:rFonts w:ascii="Arial" w:eastAsiaTheme="minorEastAsia" w:hAnsi="Arial" w:cs="Arial"/>
          <w:sz w:val="11"/>
          <w:szCs w:val="11"/>
          <w:lang w:eastAsia="en-GB"/>
        </w:rPr>
      </w:pPr>
      <w:r w:rsidRPr="007D7D0A">
        <w:rPr>
          <w:rFonts w:ascii="Arial" w:eastAsiaTheme="minorEastAsia" w:hAnsi="Arial" w:cs="Arial"/>
          <w:lang w:eastAsia="en-GB"/>
        </w:rPr>
        <w:t xml:space="preserve">ESMA has conducted open public consultations on the draft regulatory technical standards on which this Regulation is based, </w:t>
      </w:r>
      <w:proofErr w:type="spellStart"/>
      <w:r w:rsidRPr="007D7D0A">
        <w:rPr>
          <w:rFonts w:ascii="Arial" w:eastAsiaTheme="minorEastAsia" w:hAnsi="Arial" w:cs="Arial"/>
          <w:lang w:eastAsia="en-GB"/>
        </w:rPr>
        <w:t>analysed</w:t>
      </w:r>
      <w:proofErr w:type="spellEnd"/>
      <w:r w:rsidRPr="007D7D0A">
        <w:rPr>
          <w:rFonts w:ascii="Arial" w:eastAsiaTheme="minorEastAsia" w:hAnsi="Arial" w:cs="Arial"/>
          <w:lang w:eastAsia="en-GB"/>
        </w:rPr>
        <w:t xml:space="preserve"> the potential related costs and benefits and requested the opinion of the Securities and Markets Stakeholder Group established in accordance with Article 37 of Regulation (EU) No 1095/2010 of the European Parliament and of the Council</w:t>
      </w:r>
      <w:r>
        <w:rPr>
          <w:rStyle w:val="FootnoteReference"/>
          <w:rFonts w:ascii="Arial" w:eastAsiaTheme="minorEastAsia" w:hAnsi="Arial" w:cs="Arial"/>
          <w:lang w:eastAsia="en-GB"/>
        </w:rPr>
        <w:footnoteReference w:id="2"/>
      </w:r>
      <w:r w:rsidRPr="007D7D0A">
        <w:rPr>
          <w:rFonts w:ascii="Arial" w:eastAsiaTheme="minorEastAsia" w:hAnsi="Arial" w:cs="Arial"/>
          <w:sz w:val="11"/>
          <w:szCs w:val="11"/>
          <w:lang w:eastAsia="en-GB"/>
        </w:rPr>
        <w:t>,</w:t>
      </w:r>
    </w:p>
    <w:p w:rsidR="007D7D0A" w:rsidRPr="007D7D0A" w:rsidRDefault="007D7D0A" w:rsidP="007D7D0A">
      <w:pPr>
        <w:widowControl w:val="0"/>
        <w:kinsoku w:val="0"/>
        <w:overflowPunct w:val="0"/>
        <w:spacing w:before="289" w:line="245" w:lineRule="exact"/>
        <w:ind w:left="72" w:right="72"/>
        <w:textAlignment w:val="baseline"/>
        <w:rPr>
          <w:rFonts w:ascii="Arial" w:eastAsiaTheme="minorEastAsia" w:hAnsi="Arial" w:cs="Arial"/>
          <w:lang w:eastAsia="en-GB"/>
        </w:rPr>
      </w:pPr>
      <w:r w:rsidRPr="007D7D0A">
        <w:rPr>
          <w:rFonts w:ascii="Arial" w:eastAsiaTheme="minorEastAsia" w:hAnsi="Arial" w:cs="Arial"/>
          <w:lang w:eastAsia="en-GB"/>
        </w:rPr>
        <w:t>HAS ADOPTED THIS REGULATION:</w:t>
      </w:r>
    </w:p>
    <w:p w:rsidR="007D7D0A" w:rsidRPr="007D7D0A" w:rsidRDefault="007D7D0A" w:rsidP="007D7D0A">
      <w:pPr>
        <w:widowControl w:val="0"/>
        <w:kinsoku w:val="0"/>
        <w:overflowPunct w:val="0"/>
        <w:spacing w:before="297" w:line="245" w:lineRule="exact"/>
        <w:ind w:left="72" w:right="72"/>
        <w:jc w:val="center"/>
        <w:textAlignment w:val="baseline"/>
        <w:rPr>
          <w:rFonts w:ascii="Arial" w:eastAsiaTheme="minorEastAsia" w:hAnsi="Arial" w:cs="Arial"/>
          <w:spacing w:val="-3"/>
          <w:lang w:eastAsia="en-GB"/>
        </w:rPr>
      </w:pPr>
      <w:r w:rsidRPr="007D7D0A">
        <w:rPr>
          <w:rFonts w:ascii="Arial" w:eastAsiaTheme="minorEastAsia" w:hAnsi="Arial" w:cs="Arial"/>
          <w:spacing w:val="-3"/>
          <w:lang w:eastAsia="en-GB"/>
        </w:rPr>
        <w:t>Article 1</w:t>
      </w:r>
    </w:p>
    <w:p w:rsidR="007D7D0A" w:rsidRPr="007D7D0A" w:rsidRDefault="007D7D0A" w:rsidP="007D7D0A">
      <w:pPr>
        <w:widowControl w:val="0"/>
        <w:kinsoku w:val="0"/>
        <w:overflowPunct w:val="0"/>
        <w:spacing w:before="51" w:line="247" w:lineRule="exact"/>
        <w:ind w:left="72" w:right="72"/>
        <w:jc w:val="center"/>
        <w:textAlignment w:val="baseline"/>
        <w:rPr>
          <w:rFonts w:ascii="Arial" w:eastAsiaTheme="minorEastAsia" w:hAnsi="Arial" w:cs="Arial"/>
          <w:b/>
          <w:bCs/>
          <w:lang w:eastAsia="en-GB"/>
        </w:rPr>
      </w:pPr>
      <w:r w:rsidRPr="007D7D0A">
        <w:rPr>
          <w:rFonts w:ascii="Arial" w:eastAsiaTheme="minorEastAsia" w:hAnsi="Arial" w:cs="Arial"/>
          <w:b/>
          <w:bCs/>
          <w:lang w:eastAsia="en-GB"/>
        </w:rPr>
        <w:t>Information necessary for the registration</w:t>
      </w:r>
    </w:p>
    <w:p w:rsidR="007D7D0A" w:rsidRPr="007D7D0A" w:rsidRDefault="007D7D0A" w:rsidP="007D7D0A">
      <w:pPr>
        <w:widowControl w:val="0"/>
        <w:kinsoku w:val="0"/>
        <w:overflowPunct w:val="0"/>
        <w:spacing w:before="241" w:line="293" w:lineRule="exact"/>
        <w:ind w:left="72" w:right="72"/>
        <w:jc w:val="both"/>
        <w:textAlignment w:val="baseline"/>
        <w:rPr>
          <w:rFonts w:ascii="Arial" w:eastAsiaTheme="minorEastAsia" w:hAnsi="Arial" w:cs="Arial"/>
          <w:lang w:eastAsia="en-GB"/>
        </w:rPr>
      </w:pPr>
      <w:r w:rsidRPr="007D7D0A">
        <w:rPr>
          <w:rFonts w:ascii="Arial" w:eastAsiaTheme="minorEastAsia" w:hAnsi="Arial" w:cs="Arial"/>
          <w:lang w:eastAsia="en-GB"/>
        </w:rPr>
        <w:t>A third-country firm applying for the provision of investment services or performance of activities throughout the Union in accordance with the second subparagraph of Article 46(4) of Regulation (EU) No 600/2014, shall submit the following information to ESMA:</w:t>
      </w:r>
    </w:p>
    <w:p w:rsidR="007D7D0A" w:rsidRPr="007D7D0A" w:rsidRDefault="007D7D0A" w:rsidP="007D7D0A">
      <w:pPr>
        <w:widowControl w:val="0"/>
        <w:numPr>
          <w:ilvl w:val="0"/>
          <w:numId w:val="9"/>
        </w:numPr>
        <w:kinsoku w:val="0"/>
        <w:overflowPunct w:val="0"/>
        <w:autoSpaceDE w:val="0"/>
        <w:autoSpaceDN w:val="0"/>
        <w:adjustRightInd w:val="0"/>
        <w:spacing w:before="247" w:line="291"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full name of the firm, including its legal name and any other trading name to be used by the firm;</w:t>
      </w:r>
    </w:p>
    <w:p w:rsidR="007D7D0A" w:rsidRPr="007D7D0A" w:rsidRDefault="007D7D0A" w:rsidP="007D7D0A">
      <w:pPr>
        <w:widowControl w:val="0"/>
        <w:numPr>
          <w:ilvl w:val="0"/>
          <w:numId w:val="9"/>
        </w:numPr>
        <w:kinsoku w:val="0"/>
        <w:overflowPunct w:val="0"/>
        <w:autoSpaceDE w:val="0"/>
        <w:autoSpaceDN w:val="0"/>
        <w:adjustRightInd w:val="0"/>
        <w:spacing w:before="260" w:line="287"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contact details of the firm, including the head office address, telephone number and email address;</w:t>
      </w:r>
    </w:p>
    <w:p w:rsidR="007D7D0A" w:rsidRPr="007D7D0A" w:rsidRDefault="007D7D0A" w:rsidP="007D7D0A">
      <w:pPr>
        <w:widowControl w:val="0"/>
        <w:numPr>
          <w:ilvl w:val="0"/>
          <w:numId w:val="9"/>
        </w:numPr>
        <w:kinsoku w:val="0"/>
        <w:overflowPunct w:val="0"/>
        <w:autoSpaceDE w:val="0"/>
        <w:autoSpaceDN w:val="0"/>
        <w:adjustRightInd w:val="0"/>
        <w:spacing w:before="248" w:line="294"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contact details of the person in charge of the application, including telephone number and email address;</w:t>
      </w:r>
    </w:p>
    <w:p w:rsidR="007D7D0A" w:rsidRPr="007D7D0A" w:rsidRDefault="007D7D0A" w:rsidP="007D7D0A">
      <w:pPr>
        <w:widowControl w:val="0"/>
        <w:numPr>
          <w:ilvl w:val="0"/>
          <w:numId w:val="9"/>
        </w:numPr>
        <w:kinsoku w:val="0"/>
        <w:overflowPunct w:val="0"/>
        <w:autoSpaceDE w:val="0"/>
        <w:autoSpaceDN w:val="0"/>
        <w:adjustRightInd w:val="0"/>
        <w:spacing w:before="291" w:line="245"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website, where available;</w:t>
      </w:r>
    </w:p>
    <w:p w:rsidR="007D7D0A" w:rsidRPr="007D7D0A" w:rsidRDefault="007D7D0A" w:rsidP="007D7D0A">
      <w:pPr>
        <w:widowControl w:val="0"/>
        <w:numPr>
          <w:ilvl w:val="0"/>
          <w:numId w:val="9"/>
        </w:numPr>
        <w:kinsoku w:val="0"/>
        <w:overflowPunct w:val="0"/>
        <w:autoSpaceDE w:val="0"/>
        <w:autoSpaceDN w:val="0"/>
        <w:adjustRightInd w:val="0"/>
        <w:spacing w:before="296" w:line="245"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national identification number of the firm, where available;</w:t>
      </w:r>
    </w:p>
    <w:p w:rsidR="007D7D0A" w:rsidRPr="007D7D0A" w:rsidRDefault="007D7D0A" w:rsidP="007D7D0A">
      <w:pPr>
        <w:widowControl w:val="0"/>
        <w:numPr>
          <w:ilvl w:val="0"/>
          <w:numId w:val="10"/>
        </w:numPr>
        <w:tabs>
          <w:tab w:val="num" w:pos="720"/>
        </w:tabs>
        <w:kinsoku w:val="0"/>
        <w:overflowPunct w:val="0"/>
        <w:autoSpaceDE w:val="0"/>
        <w:autoSpaceDN w:val="0"/>
        <w:adjustRightInd w:val="0"/>
        <w:spacing w:before="296" w:after="652" w:line="318" w:lineRule="exact"/>
        <w:ind w:left="288" w:right="72" w:hanging="204"/>
        <w:jc w:val="both"/>
        <w:textAlignment w:val="baseline"/>
        <w:rPr>
          <w:rFonts w:ascii="Arial" w:eastAsiaTheme="minorEastAsia" w:hAnsi="Arial" w:cs="Arial"/>
          <w:spacing w:val="-2"/>
          <w:lang w:eastAsia="en-GB"/>
        </w:rPr>
      </w:pPr>
      <w:r w:rsidRPr="007D7D0A">
        <w:rPr>
          <w:rFonts w:ascii="Arial" w:eastAsiaTheme="minorEastAsia" w:hAnsi="Arial" w:cs="Arial"/>
          <w:lang w:eastAsia="en-GB"/>
        </w:rPr>
        <w:t xml:space="preserve">legal entity identifier of the firm (LEI), where available; </w:t>
      </w:r>
    </w:p>
    <w:p w:rsidR="007D7D0A" w:rsidRPr="007D7D0A" w:rsidRDefault="007D7D0A" w:rsidP="007D7D0A">
      <w:pPr>
        <w:widowControl w:val="0"/>
        <w:numPr>
          <w:ilvl w:val="0"/>
          <w:numId w:val="11"/>
        </w:numPr>
        <w:kinsoku w:val="0"/>
        <w:overflowPunct w:val="0"/>
        <w:autoSpaceDE w:val="0"/>
        <w:autoSpaceDN w:val="0"/>
        <w:adjustRightInd w:val="0"/>
        <w:spacing w:before="120" w:after="120"/>
        <w:ind w:right="74" w:hanging="578"/>
        <w:jc w:val="both"/>
        <w:textAlignment w:val="baseline"/>
        <w:rPr>
          <w:rFonts w:ascii="Arial" w:eastAsiaTheme="minorEastAsia" w:hAnsi="Arial" w:cs="Arial"/>
          <w:lang w:eastAsia="en-GB"/>
        </w:rPr>
      </w:pPr>
      <w:r>
        <w:rPr>
          <w:rFonts w:eastAsiaTheme="minorEastAsia"/>
          <w:noProof/>
          <w:sz w:val="20"/>
          <w:szCs w:val="20"/>
          <w:lang w:val="en-GB" w:eastAsia="en-GB"/>
        </w:rPr>
        <mc:AlternateContent>
          <mc:Choice Requires="wps">
            <w:drawing>
              <wp:anchor distT="0" distB="0" distL="0" distR="0" simplePos="0" relativeHeight="251663360" behindDoc="0" locked="0" layoutInCell="0" allowOverlap="1" wp14:anchorId="1F2CEA6A" wp14:editId="1929AB65">
                <wp:simplePos x="0" y="0"/>
                <wp:positionH relativeFrom="page">
                  <wp:posOffset>6377305</wp:posOffset>
                </wp:positionH>
                <wp:positionV relativeFrom="page">
                  <wp:posOffset>9932035</wp:posOffset>
                </wp:positionV>
                <wp:extent cx="339090" cy="15684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56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7D0A" w:rsidRDefault="007D7D0A" w:rsidP="007D7D0A">
                            <w:pPr>
                              <w:kinsoku w:val="0"/>
                              <w:overflowPunct w:val="0"/>
                              <w:spacing w:before="2" w:line="240" w:lineRule="exact"/>
                              <w:textAlignment w:val="baseline"/>
                              <w:rPr>
                                <w:rFonts w:ascii="Arial" w:hAnsi="Arial" w:cs="Arial"/>
                                <w:spacing w:val="10"/>
                              </w:rPr>
                            </w:pPr>
                            <w:r>
                              <w:rPr>
                                <w:rFonts w:ascii="Arial" w:hAnsi="Arial" w:cs="Arial"/>
                                <w:spacing w:val="10"/>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02.15pt;margin-top:782.05pt;width:26.7pt;height:12.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FsjgIAACM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" o:allowincell="f" stroked="f">
                <v:fill opacity="0"/>
                <v:textbox inset="0,0,0,0">
                  <w:txbxContent>
                    <w:p w:rsidR="007D7D0A" w:rsidRDefault="007D7D0A" w:rsidP="007D7D0A">
                      <w:pPr>
                        <w:kinsoku w:val="0"/>
                        <w:overflowPunct w:val="0"/>
                        <w:spacing w:before="2" w:line="240" w:lineRule="exact"/>
                        <w:textAlignment w:val="baseline"/>
                        <w:rPr>
                          <w:rFonts w:ascii="Arial" w:hAnsi="Arial" w:cs="Arial"/>
                          <w:spacing w:val="10"/>
                        </w:rPr>
                      </w:pPr>
                      <w:r>
                        <w:rPr>
                          <w:rFonts w:ascii="Arial" w:hAnsi="Arial" w:cs="Arial"/>
                          <w:spacing w:val="10"/>
                        </w:rPr>
                        <w:t>100</w:t>
                      </w:r>
                    </w:p>
                  </w:txbxContent>
                </v:textbox>
                <w10:wrap type="square" anchorx="page" anchory="page"/>
              </v:shape>
            </w:pict>
          </mc:Fallback>
        </mc:AlternateContent>
      </w:r>
      <w:r w:rsidRPr="007D7D0A">
        <w:rPr>
          <w:rFonts w:ascii="Arial" w:eastAsiaTheme="minorEastAsia" w:hAnsi="Arial" w:cs="Arial"/>
          <w:spacing w:val="-2"/>
          <w:lang w:eastAsia="en-GB"/>
        </w:rPr>
        <w:t xml:space="preserve">BIC code of the firm, where available; </w:t>
      </w:r>
    </w:p>
    <w:p w:rsidR="007D7D0A" w:rsidRDefault="007D7D0A" w:rsidP="007D7D0A">
      <w:pPr>
        <w:widowControl w:val="0"/>
        <w:kinsoku w:val="0"/>
        <w:overflowPunct w:val="0"/>
        <w:autoSpaceDE w:val="0"/>
        <w:autoSpaceDN w:val="0"/>
        <w:adjustRightInd w:val="0"/>
        <w:spacing w:before="120" w:after="120"/>
        <w:ind w:left="720" w:right="74"/>
        <w:jc w:val="both"/>
        <w:textAlignment w:val="baseline"/>
        <w:rPr>
          <w:rFonts w:ascii="Arial" w:eastAsiaTheme="minorEastAsia" w:hAnsi="Arial" w:cs="Arial"/>
          <w:lang w:eastAsia="en-GB"/>
        </w:rPr>
      </w:pPr>
    </w:p>
    <w:p w:rsidR="007D7D0A" w:rsidRPr="007D7D0A" w:rsidRDefault="007D7D0A" w:rsidP="007D7D0A">
      <w:pPr>
        <w:rPr>
          <w:rFonts w:ascii="Arial" w:eastAsiaTheme="minorEastAsia" w:hAnsi="Arial" w:cs="Arial"/>
          <w:lang w:eastAsia="en-GB"/>
        </w:rPr>
      </w:pPr>
    </w:p>
    <w:p w:rsidR="007D7D0A" w:rsidRDefault="007D7D0A" w:rsidP="007D7D0A">
      <w:pPr>
        <w:widowControl w:val="0"/>
        <w:kinsoku w:val="0"/>
        <w:overflowPunct w:val="0"/>
        <w:autoSpaceDE w:val="0"/>
        <w:autoSpaceDN w:val="0"/>
        <w:adjustRightInd w:val="0"/>
        <w:spacing w:before="120" w:after="120"/>
        <w:ind w:right="74"/>
        <w:jc w:val="both"/>
        <w:textAlignment w:val="baseline"/>
        <w:rPr>
          <w:rFonts w:ascii="Arial" w:eastAsiaTheme="minorEastAsia" w:hAnsi="Arial" w:cs="Arial"/>
          <w:lang w:eastAsia="en-GB"/>
        </w:rPr>
      </w:pPr>
      <w:r>
        <w:rPr>
          <w:rFonts w:ascii="Arial" w:eastAsiaTheme="minorEastAsia" w:hAnsi="Arial" w:cs="Arial"/>
          <w:noProof/>
          <w:lang w:val="en-GB" w:eastAsia="en-GB"/>
        </w:rPr>
        <w:drawing>
          <wp:inline distT="0" distB="0" distL="0" distR="0" wp14:anchorId="7287280B">
            <wp:extent cx="822960" cy="621665"/>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621665"/>
                    </a:xfrm>
                    <a:prstGeom prst="rect">
                      <a:avLst/>
                    </a:prstGeom>
                    <a:noFill/>
                  </pic:spPr>
                </pic:pic>
              </a:graphicData>
            </a:graphic>
          </wp:inline>
        </w:drawing>
      </w:r>
    </w:p>
    <w:p w:rsidR="007D7D0A" w:rsidRPr="007D7D0A" w:rsidRDefault="007D7D0A" w:rsidP="007D7D0A">
      <w:pPr>
        <w:widowControl w:val="0"/>
        <w:numPr>
          <w:ilvl w:val="0"/>
          <w:numId w:val="11"/>
        </w:numPr>
        <w:kinsoku w:val="0"/>
        <w:overflowPunct w:val="0"/>
        <w:autoSpaceDE w:val="0"/>
        <w:autoSpaceDN w:val="0"/>
        <w:adjustRightInd w:val="0"/>
        <w:spacing w:before="120" w:after="120"/>
        <w:ind w:right="74" w:hanging="578"/>
        <w:jc w:val="both"/>
        <w:textAlignment w:val="baseline"/>
        <w:rPr>
          <w:rFonts w:ascii="Arial" w:eastAsiaTheme="minorEastAsia" w:hAnsi="Arial" w:cs="Arial"/>
          <w:lang w:eastAsia="en-GB"/>
        </w:rPr>
      </w:pPr>
      <w:r w:rsidRPr="007D7D0A">
        <w:rPr>
          <w:rFonts w:ascii="Arial" w:eastAsiaTheme="minorEastAsia" w:hAnsi="Arial" w:cs="Arial"/>
          <w:lang w:eastAsia="en-GB"/>
        </w:rPr>
        <w:t>name and address of the competent authority of the third country that is responsible for the supervision of the firm. Where more than one authority is responsible for supervision, the details of the respective areas of competence shall be provided;</w:t>
      </w:r>
    </w:p>
    <w:p w:rsidR="007D7D0A" w:rsidRPr="007D7D0A" w:rsidRDefault="007D7D0A" w:rsidP="007D7D0A">
      <w:pPr>
        <w:widowControl w:val="0"/>
        <w:numPr>
          <w:ilvl w:val="0"/>
          <w:numId w:val="12"/>
        </w:numPr>
        <w:kinsoku w:val="0"/>
        <w:overflowPunct w:val="0"/>
        <w:autoSpaceDE w:val="0"/>
        <w:autoSpaceDN w:val="0"/>
        <w:adjustRightInd w:val="0"/>
        <w:spacing w:before="292" w:line="245" w:lineRule="exact"/>
        <w:jc w:val="both"/>
        <w:textAlignment w:val="baseline"/>
        <w:rPr>
          <w:rFonts w:ascii="Arial" w:eastAsiaTheme="minorEastAsia" w:hAnsi="Arial" w:cs="Arial"/>
          <w:spacing w:val="-1"/>
          <w:lang w:eastAsia="en-GB"/>
        </w:rPr>
      </w:pPr>
      <w:r w:rsidRPr="007D7D0A">
        <w:rPr>
          <w:rFonts w:ascii="Arial" w:eastAsiaTheme="minorEastAsia" w:hAnsi="Arial" w:cs="Arial"/>
          <w:spacing w:val="-1"/>
          <w:lang w:eastAsia="en-GB"/>
        </w:rPr>
        <w:t>the link to the register of each competent authority of the third country, where available;</w:t>
      </w:r>
    </w:p>
    <w:p w:rsidR="007D7D0A" w:rsidRPr="007D7D0A" w:rsidRDefault="007D7D0A" w:rsidP="007D7D0A">
      <w:pPr>
        <w:widowControl w:val="0"/>
        <w:numPr>
          <w:ilvl w:val="0"/>
          <w:numId w:val="12"/>
        </w:numPr>
        <w:kinsoku w:val="0"/>
        <w:overflowPunct w:val="0"/>
        <w:autoSpaceDE w:val="0"/>
        <w:autoSpaceDN w:val="0"/>
        <w:adjustRightInd w:val="0"/>
        <w:spacing w:before="245" w:line="295"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information on which investment services, activities, and ancillary services it is authorised to provide in the country where the firm is established;</w:t>
      </w:r>
    </w:p>
    <w:p w:rsidR="007D7D0A" w:rsidRPr="007D7D0A" w:rsidRDefault="007D7D0A" w:rsidP="007D7D0A">
      <w:pPr>
        <w:widowControl w:val="0"/>
        <w:numPr>
          <w:ilvl w:val="0"/>
          <w:numId w:val="11"/>
        </w:numPr>
        <w:kinsoku w:val="0"/>
        <w:overflowPunct w:val="0"/>
        <w:autoSpaceDE w:val="0"/>
        <w:autoSpaceDN w:val="0"/>
        <w:adjustRightInd w:val="0"/>
        <w:spacing w:before="245" w:line="293"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the investment services to be provided and activities to be performed in the Union, together with any ancillary services.</w:t>
      </w:r>
    </w:p>
    <w:p w:rsidR="007D7D0A" w:rsidRPr="007D7D0A" w:rsidRDefault="007D7D0A" w:rsidP="007D7D0A">
      <w:pPr>
        <w:widowControl w:val="0"/>
        <w:kinsoku w:val="0"/>
        <w:overflowPunct w:val="0"/>
        <w:spacing w:before="293" w:line="245" w:lineRule="exact"/>
        <w:jc w:val="center"/>
        <w:textAlignment w:val="baseline"/>
        <w:rPr>
          <w:rFonts w:ascii="Arial" w:eastAsiaTheme="minorEastAsia" w:hAnsi="Arial" w:cs="Arial"/>
          <w:lang w:eastAsia="en-GB"/>
        </w:rPr>
      </w:pPr>
      <w:r w:rsidRPr="007D7D0A">
        <w:rPr>
          <w:rFonts w:ascii="Arial" w:eastAsiaTheme="minorEastAsia" w:hAnsi="Arial" w:cs="Arial"/>
          <w:lang w:eastAsia="en-GB"/>
        </w:rPr>
        <w:t>Article 2</w:t>
      </w:r>
    </w:p>
    <w:p w:rsidR="007D7D0A" w:rsidRPr="007D7D0A" w:rsidRDefault="007D7D0A" w:rsidP="007D7D0A">
      <w:pPr>
        <w:widowControl w:val="0"/>
        <w:kinsoku w:val="0"/>
        <w:overflowPunct w:val="0"/>
        <w:spacing w:before="45" w:line="246" w:lineRule="exact"/>
        <w:jc w:val="center"/>
        <w:textAlignment w:val="baseline"/>
        <w:rPr>
          <w:rFonts w:ascii="Arial" w:eastAsiaTheme="minorEastAsia" w:hAnsi="Arial" w:cs="Arial"/>
          <w:b/>
          <w:bCs/>
          <w:lang w:eastAsia="en-GB"/>
        </w:rPr>
      </w:pPr>
      <w:r w:rsidRPr="007D7D0A">
        <w:rPr>
          <w:rFonts w:ascii="Arial" w:eastAsiaTheme="minorEastAsia" w:hAnsi="Arial" w:cs="Arial"/>
          <w:b/>
          <w:bCs/>
          <w:lang w:eastAsia="en-GB"/>
        </w:rPr>
        <w:t>Information submission requirements</w:t>
      </w:r>
    </w:p>
    <w:p w:rsidR="007D7D0A" w:rsidRPr="007D7D0A" w:rsidRDefault="007D7D0A" w:rsidP="007D7D0A">
      <w:pPr>
        <w:widowControl w:val="0"/>
        <w:numPr>
          <w:ilvl w:val="0"/>
          <w:numId w:val="13"/>
        </w:numPr>
        <w:tabs>
          <w:tab w:val="left" w:pos="648"/>
        </w:tabs>
        <w:kinsoku w:val="0"/>
        <w:overflowPunct w:val="0"/>
        <w:autoSpaceDE w:val="0"/>
        <w:autoSpaceDN w:val="0"/>
        <w:adjustRightInd w:val="0"/>
        <w:spacing w:before="250" w:line="290"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The third country firm shall inform ESMA, within 30 days, of any change of the</w:t>
      </w:r>
      <w:r>
        <w:rPr>
          <w:rFonts w:ascii="Arial" w:eastAsiaTheme="minorEastAsia" w:hAnsi="Arial" w:cs="Arial"/>
          <w:lang w:eastAsia="en-GB"/>
        </w:rPr>
        <w:t xml:space="preserve"> </w:t>
      </w:r>
      <w:r w:rsidRPr="007D7D0A">
        <w:rPr>
          <w:rFonts w:ascii="Arial" w:eastAsiaTheme="minorEastAsia" w:hAnsi="Arial" w:cs="Arial"/>
          <w:lang w:eastAsia="en-GB"/>
        </w:rPr>
        <w:t>information provided under Article 1(a) to (g), (j) and (k).</w:t>
      </w:r>
    </w:p>
    <w:p w:rsidR="007D7D0A" w:rsidRPr="007D7D0A" w:rsidRDefault="007D7D0A" w:rsidP="007D7D0A">
      <w:pPr>
        <w:widowControl w:val="0"/>
        <w:numPr>
          <w:ilvl w:val="0"/>
          <w:numId w:val="13"/>
        </w:numPr>
        <w:tabs>
          <w:tab w:val="left" w:pos="648"/>
        </w:tabs>
        <w:kinsoku w:val="0"/>
        <w:overflowPunct w:val="0"/>
        <w:autoSpaceDE w:val="0"/>
        <w:autoSpaceDN w:val="0"/>
        <w:adjustRightInd w:val="0"/>
        <w:spacing w:before="243" w:line="297"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Information provided to ESMA under Article 1(j) shall be provided through a written</w:t>
      </w:r>
      <w:r>
        <w:rPr>
          <w:rFonts w:ascii="Arial" w:eastAsiaTheme="minorEastAsia" w:hAnsi="Arial" w:cs="Arial"/>
          <w:lang w:eastAsia="en-GB"/>
        </w:rPr>
        <w:t xml:space="preserve"> </w:t>
      </w:r>
      <w:r w:rsidRPr="007D7D0A">
        <w:rPr>
          <w:rFonts w:ascii="Arial" w:eastAsiaTheme="minorEastAsia" w:hAnsi="Arial" w:cs="Arial"/>
          <w:lang w:eastAsia="en-GB"/>
        </w:rPr>
        <w:t>declaration issued by a competent authority of the third country.</w:t>
      </w:r>
    </w:p>
    <w:p w:rsidR="007D7D0A" w:rsidRPr="007D7D0A" w:rsidRDefault="007D7D0A" w:rsidP="007D7D0A">
      <w:pPr>
        <w:widowControl w:val="0"/>
        <w:numPr>
          <w:ilvl w:val="0"/>
          <w:numId w:val="13"/>
        </w:numPr>
        <w:tabs>
          <w:tab w:val="left" w:pos="648"/>
        </w:tabs>
        <w:kinsoku w:val="0"/>
        <w:overflowPunct w:val="0"/>
        <w:autoSpaceDE w:val="0"/>
        <w:autoSpaceDN w:val="0"/>
        <w:adjustRightInd w:val="0"/>
        <w:spacing w:before="242" w:line="292"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The information provided to ESMA under Article 1 shall be in English, using the Latin</w:t>
      </w:r>
      <w:r>
        <w:rPr>
          <w:rFonts w:ascii="Arial" w:eastAsiaTheme="minorEastAsia" w:hAnsi="Arial" w:cs="Arial"/>
          <w:lang w:eastAsia="en-GB"/>
        </w:rPr>
        <w:t xml:space="preserve"> </w:t>
      </w:r>
      <w:r w:rsidRPr="007D7D0A">
        <w:rPr>
          <w:rFonts w:ascii="Arial" w:eastAsiaTheme="minorEastAsia" w:hAnsi="Arial" w:cs="Arial"/>
          <w:lang w:eastAsia="en-GB"/>
        </w:rPr>
        <w:t>alphabet. Any accompanying documents provided to ESMA under Article 1 and in paragraph 2 of this Article shall be in English or, where they have been written in a different language, a certified English translation shall also be provided.</w:t>
      </w:r>
    </w:p>
    <w:p w:rsidR="007D7D0A" w:rsidRPr="007D7D0A" w:rsidRDefault="007D7D0A" w:rsidP="007D7D0A">
      <w:pPr>
        <w:widowControl w:val="0"/>
        <w:kinsoku w:val="0"/>
        <w:overflowPunct w:val="0"/>
        <w:spacing w:before="589" w:line="245" w:lineRule="exact"/>
        <w:jc w:val="center"/>
        <w:textAlignment w:val="baseline"/>
        <w:rPr>
          <w:rFonts w:ascii="Arial" w:eastAsiaTheme="minorEastAsia" w:hAnsi="Arial" w:cs="Arial"/>
          <w:lang w:eastAsia="en-GB"/>
        </w:rPr>
      </w:pPr>
      <w:r w:rsidRPr="007D7D0A">
        <w:rPr>
          <w:rFonts w:ascii="Arial" w:eastAsiaTheme="minorEastAsia" w:hAnsi="Arial" w:cs="Arial"/>
          <w:lang w:eastAsia="en-GB"/>
        </w:rPr>
        <w:t>Article 3</w:t>
      </w:r>
    </w:p>
    <w:p w:rsidR="007D7D0A" w:rsidRPr="007D7D0A" w:rsidRDefault="007D7D0A" w:rsidP="007D7D0A">
      <w:pPr>
        <w:widowControl w:val="0"/>
        <w:kinsoku w:val="0"/>
        <w:overflowPunct w:val="0"/>
        <w:spacing w:before="41" w:line="246" w:lineRule="exact"/>
        <w:jc w:val="center"/>
        <w:textAlignment w:val="baseline"/>
        <w:rPr>
          <w:rFonts w:ascii="Arial" w:eastAsiaTheme="minorEastAsia" w:hAnsi="Arial" w:cs="Arial"/>
          <w:b/>
          <w:bCs/>
          <w:lang w:eastAsia="en-GB"/>
        </w:rPr>
      </w:pPr>
      <w:r w:rsidRPr="007D7D0A">
        <w:rPr>
          <w:rFonts w:ascii="Arial" w:eastAsiaTheme="minorEastAsia" w:hAnsi="Arial" w:cs="Arial"/>
          <w:b/>
          <w:bCs/>
          <w:lang w:eastAsia="en-GB"/>
        </w:rPr>
        <w:t>Information concerning type of clients in the Union</w:t>
      </w:r>
    </w:p>
    <w:p w:rsidR="007D7D0A" w:rsidRPr="007D7D0A" w:rsidRDefault="007D7D0A" w:rsidP="007D7D0A">
      <w:pPr>
        <w:widowControl w:val="0"/>
        <w:numPr>
          <w:ilvl w:val="0"/>
          <w:numId w:val="14"/>
        </w:numPr>
        <w:tabs>
          <w:tab w:val="left" w:pos="648"/>
        </w:tabs>
        <w:kinsoku w:val="0"/>
        <w:overflowPunct w:val="0"/>
        <w:autoSpaceDE w:val="0"/>
        <w:autoSpaceDN w:val="0"/>
        <w:adjustRightInd w:val="0"/>
        <w:spacing w:before="250" w:line="292"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A third-country firm shall provide the information referred to in Article 46(5) of</w:t>
      </w:r>
      <w:r>
        <w:rPr>
          <w:rFonts w:ascii="Arial" w:eastAsiaTheme="minorEastAsia" w:hAnsi="Arial" w:cs="Arial"/>
          <w:lang w:eastAsia="en-GB"/>
        </w:rPr>
        <w:t xml:space="preserve"> </w:t>
      </w:r>
      <w:r w:rsidRPr="007D7D0A">
        <w:rPr>
          <w:rFonts w:ascii="Arial" w:eastAsiaTheme="minorEastAsia" w:hAnsi="Arial" w:cs="Arial"/>
          <w:lang w:eastAsia="en-GB"/>
        </w:rPr>
        <w:t>Regulation (EU) No 600/2014 to the clients in a durable medium.</w:t>
      </w:r>
    </w:p>
    <w:p w:rsidR="007D7D0A" w:rsidRPr="007D7D0A" w:rsidRDefault="007D7D0A" w:rsidP="007D7D0A">
      <w:pPr>
        <w:widowControl w:val="0"/>
        <w:numPr>
          <w:ilvl w:val="0"/>
          <w:numId w:val="14"/>
        </w:numPr>
        <w:tabs>
          <w:tab w:val="left" w:pos="648"/>
        </w:tabs>
        <w:kinsoku w:val="0"/>
        <w:overflowPunct w:val="0"/>
        <w:autoSpaceDE w:val="0"/>
        <w:autoSpaceDN w:val="0"/>
        <w:adjustRightInd w:val="0"/>
        <w:spacing w:before="294" w:line="245" w:lineRule="exact"/>
        <w:jc w:val="both"/>
        <w:textAlignment w:val="baseline"/>
        <w:rPr>
          <w:rFonts w:ascii="Arial" w:eastAsiaTheme="minorEastAsia" w:hAnsi="Arial" w:cs="Arial"/>
          <w:spacing w:val="-1"/>
          <w:lang w:eastAsia="en-GB"/>
        </w:rPr>
      </w:pPr>
      <w:r w:rsidRPr="007D7D0A">
        <w:rPr>
          <w:rFonts w:ascii="Arial" w:eastAsiaTheme="minorEastAsia" w:hAnsi="Arial" w:cs="Arial"/>
          <w:spacing w:val="-1"/>
          <w:lang w:eastAsia="en-GB"/>
        </w:rPr>
        <w:t>The information referred to in Article 46(5) of Regulation (EU) No 600/2014, shall be:</w:t>
      </w:r>
    </w:p>
    <w:p w:rsidR="007D7D0A" w:rsidRPr="007D7D0A" w:rsidRDefault="007D7D0A" w:rsidP="007D7D0A">
      <w:pPr>
        <w:widowControl w:val="0"/>
        <w:numPr>
          <w:ilvl w:val="0"/>
          <w:numId w:val="15"/>
        </w:numPr>
        <w:kinsoku w:val="0"/>
        <w:overflowPunct w:val="0"/>
        <w:autoSpaceDE w:val="0"/>
        <w:autoSpaceDN w:val="0"/>
        <w:adjustRightInd w:val="0"/>
        <w:spacing w:before="252" w:line="291"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provided in English or in the official language, or one of the official languages, of the Member State where the services are to be provided</w:t>
      </w:r>
    </w:p>
    <w:p w:rsidR="007D7D0A" w:rsidRPr="007D7D0A" w:rsidRDefault="007D7D0A" w:rsidP="007D7D0A">
      <w:pPr>
        <w:widowControl w:val="0"/>
        <w:numPr>
          <w:ilvl w:val="0"/>
          <w:numId w:val="15"/>
        </w:numPr>
        <w:kinsoku w:val="0"/>
        <w:overflowPunct w:val="0"/>
        <w:autoSpaceDE w:val="0"/>
        <w:autoSpaceDN w:val="0"/>
        <w:adjustRightInd w:val="0"/>
        <w:spacing w:before="249" w:line="293" w:lineRule="exact"/>
        <w:ind w:right="72"/>
        <w:jc w:val="both"/>
        <w:textAlignment w:val="baseline"/>
        <w:rPr>
          <w:rFonts w:ascii="Arial" w:eastAsiaTheme="minorEastAsia" w:hAnsi="Arial" w:cs="Arial"/>
          <w:lang w:eastAsia="en-GB"/>
        </w:rPr>
      </w:pPr>
      <w:r w:rsidRPr="007D7D0A">
        <w:rPr>
          <w:rFonts w:ascii="Arial" w:eastAsiaTheme="minorEastAsia" w:hAnsi="Arial" w:cs="Arial"/>
          <w:lang w:eastAsia="en-GB"/>
        </w:rPr>
        <w:t>presented and laid out a in a way that is easy to read, using characters of readable size;</w:t>
      </w:r>
    </w:p>
    <w:p w:rsidR="007D7D0A" w:rsidRPr="007D7D0A" w:rsidRDefault="007D7D0A" w:rsidP="007D7D0A">
      <w:pPr>
        <w:widowControl w:val="0"/>
        <w:numPr>
          <w:ilvl w:val="0"/>
          <w:numId w:val="16"/>
        </w:numPr>
        <w:kinsoku w:val="0"/>
        <w:overflowPunct w:val="0"/>
        <w:autoSpaceDE w:val="0"/>
        <w:autoSpaceDN w:val="0"/>
        <w:adjustRightInd w:val="0"/>
        <w:spacing w:line="537" w:lineRule="exact"/>
        <w:ind w:right="36"/>
        <w:textAlignment w:val="baseline"/>
        <w:rPr>
          <w:rFonts w:ascii="Arial" w:eastAsiaTheme="minorEastAsia" w:hAnsi="Arial" w:cs="Arial"/>
          <w:lang w:eastAsia="en-GB"/>
        </w:rPr>
      </w:pPr>
      <w:r w:rsidRPr="007D7D0A">
        <w:rPr>
          <w:rFonts w:ascii="Arial" w:eastAsiaTheme="minorEastAsia" w:hAnsi="Arial" w:cs="Arial"/>
          <w:lang w:eastAsia="en-GB"/>
        </w:rPr>
        <w:t xml:space="preserve">without using </w:t>
      </w:r>
      <w:proofErr w:type="spellStart"/>
      <w:r w:rsidRPr="007D7D0A">
        <w:rPr>
          <w:rFonts w:ascii="Arial" w:eastAsiaTheme="minorEastAsia" w:hAnsi="Arial" w:cs="Arial"/>
          <w:lang w:eastAsia="en-GB"/>
        </w:rPr>
        <w:t>colours</w:t>
      </w:r>
      <w:proofErr w:type="spellEnd"/>
      <w:r w:rsidRPr="007D7D0A">
        <w:rPr>
          <w:rFonts w:ascii="Arial" w:eastAsiaTheme="minorEastAsia" w:hAnsi="Arial" w:cs="Arial"/>
          <w:lang w:eastAsia="en-GB"/>
        </w:rPr>
        <w:t xml:space="preserve"> that may diminish the comprehensibility of the information. Article 4</w:t>
      </w:r>
    </w:p>
    <w:p w:rsidR="007D7D0A" w:rsidRPr="007D7D0A" w:rsidRDefault="007D7D0A" w:rsidP="007D7D0A">
      <w:pPr>
        <w:autoSpaceDE w:val="0"/>
        <w:autoSpaceDN w:val="0"/>
        <w:adjustRightInd w:val="0"/>
        <w:rPr>
          <w:rFonts w:eastAsiaTheme="minorEastAsia"/>
          <w:sz w:val="24"/>
          <w:szCs w:val="24"/>
          <w:lang w:eastAsia="en-GB"/>
        </w:rPr>
        <w:sectPr w:rsidR="007D7D0A" w:rsidRPr="007D7D0A">
          <w:pgSz w:w="11904" w:h="16843"/>
          <w:pgMar w:top="600" w:right="1317" w:bottom="806" w:left="1337" w:header="720" w:footer="720" w:gutter="0"/>
          <w:cols w:space="720"/>
          <w:noEndnote/>
        </w:sectPr>
      </w:pPr>
    </w:p>
    <w:p w:rsidR="007D7D0A" w:rsidRPr="007D7D0A" w:rsidRDefault="007D7D0A" w:rsidP="007D7D0A">
      <w:pPr>
        <w:widowControl w:val="0"/>
        <w:kinsoku w:val="0"/>
        <w:overflowPunct w:val="0"/>
        <w:spacing w:before="590" w:line="248" w:lineRule="exact"/>
        <w:ind w:left="72"/>
        <w:jc w:val="center"/>
        <w:textAlignment w:val="baseline"/>
        <w:rPr>
          <w:rFonts w:ascii="Arial" w:eastAsiaTheme="minorEastAsia" w:hAnsi="Arial" w:cs="Arial"/>
          <w:b/>
          <w:bCs/>
          <w:spacing w:val="3"/>
          <w:sz w:val="21"/>
          <w:szCs w:val="21"/>
          <w:lang w:eastAsia="en-GB"/>
        </w:rPr>
      </w:pPr>
      <w:r w:rsidRPr="007D7D0A">
        <w:rPr>
          <w:rFonts w:ascii="Arial" w:eastAsiaTheme="minorEastAsia" w:hAnsi="Arial" w:cs="Arial"/>
          <w:b/>
          <w:bCs/>
          <w:spacing w:val="3"/>
          <w:sz w:val="21"/>
          <w:szCs w:val="21"/>
          <w:lang w:eastAsia="en-GB"/>
        </w:rPr>
        <w:lastRenderedPageBreak/>
        <w:t>Entry into force</w:t>
      </w:r>
    </w:p>
    <w:p w:rsidR="007D7D0A" w:rsidRPr="007D7D0A" w:rsidRDefault="007D7D0A" w:rsidP="007D7D0A">
      <w:pPr>
        <w:widowControl w:val="0"/>
        <w:kinsoku w:val="0"/>
        <w:overflowPunct w:val="0"/>
        <w:spacing w:before="247" w:line="292" w:lineRule="exact"/>
        <w:ind w:left="72" w:right="72"/>
        <w:jc w:val="both"/>
        <w:textAlignment w:val="baseline"/>
        <w:rPr>
          <w:rFonts w:ascii="Arial" w:eastAsiaTheme="minorEastAsia" w:hAnsi="Arial" w:cs="Arial"/>
          <w:i/>
          <w:iCs/>
          <w:sz w:val="21"/>
          <w:szCs w:val="21"/>
          <w:lang w:eastAsia="en-GB"/>
        </w:rPr>
      </w:pPr>
      <w:r w:rsidRPr="007D7D0A">
        <w:rPr>
          <w:rFonts w:ascii="Arial" w:eastAsiaTheme="minorEastAsia" w:hAnsi="Arial" w:cs="Arial"/>
          <w:bCs/>
          <w:sz w:val="21"/>
          <w:szCs w:val="21"/>
          <w:lang w:eastAsia="en-GB"/>
        </w:rPr>
        <w:t xml:space="preserve">This Regulation shall enter into force on the twentieth day following that of its publication in the </w:t>
      </w:r>
      <w:r w:rsidRPr="007D7D0A">
        <w:rPr>
          <w:rFonts w:ascii="Arial" w:eastAsiaTheme="minorEastAsia" w:hAnsi="Arial" w:cs="Arial"/>
          <w:i/>
          <w:iCs/>
          <w:sz w:val="21"/>
          <w:szCs w:val="21"/>
          <w:lang w:eastAsia="en-GB"/>
        </w:rPr>
        <w:t>Official Journal of the European Union.</w:t>
      </w:r>
    </w:p>
    <w:p w:rsidR="007D7D0A" w:rsidRPr="007D7D0A" w:rsidRDefault="007D7D0A" w:rsidP="007D7D0A">
      <w:pPr>
        <w:widowControl w:val="0"/>
        <w:kinsoku w:val="0"/>
        <w:overflowPunct w:val="0"/>
        <w:spacing w:before="292" w:line="248" w:lineRule="exact"/>
        <w:ind w:left="72"/>
        <w:textAlignment w:val="baseline"/>
        <w:rPr>
          <w:rFonts w:ascii="Arial" w:eastAsiaTheme="minorEastAsia" w:hAnsi="Arial" w:cs="Arial"/>
          <w:bCs/>
          <w:spacing w:val="-2"/>
          <w:sz w:val="21"/>
          <w:szCs w:val="21"/>
          <w:lang w:eastAsia="en-GB"/>
        </w:rPr>
      </w:pPr>
      <w:r w:rsidRPr="007D7D0A">
        <w:rPr>
          <w:rFonts w:ascii="Arial" w:eastAsiaTheme="minorEastAsia" w:hAnsi="Arial" w:cs="Arial"/>
          <w:bCs/>
          <w:spacing w:val="-2"/>
          <w:sz w:val="21"/>
          <w:szCs w:val="21"/>
          <w:lang w:eastAsia="en-GB"/>
        </w:rPr>
        <w:t>It shall apply from 3 January 2017.</w:t>
      </w:r>
    </w:p>
    <w:p w:rsidR="007D7D0A" w:rsidRPr="007D7D0A" w:rsidRDefault="007D7D0A" w:rsidP="007D7D0A">
      <w:pPr>
        <w:widowControl w:val="0"/>
        <w:kinsoku w:val="0"/>
        <w:overflowPunct w:val="0"/>
        <w:spacing w:before="292" w:line="248" w:lineRule="exact"/>
        <w:ind w:left="72"/>
        <w:textAlignment w:val="baseline"/>
        <w:rPr>
          <w:rFonts w:ascii="Arial" w:eastAsiaTheme="minorEastAsia" w:hAnsi="Arial" w:cs="Arial"/>
          <w:bCs/>
          <w:spacing w:val="-3"/>
          <w:sz w:val="21"/>
          <w:szCs w:val="21"/>
          <w:lang w:eastAsia="en-GB"/>
        </w:rPr>
      </w:pPr>
      <w:r w:rsidRPr="007D7D0A">
        <w:rPr>
          <w:rFonts w:ascii="Arial" w:eastAsiaTheme="minorEastAsia" w:hAnsi="Arial" w:cs="Arial"/>
          <w:bCs/>
          <w:spacing w:val="-3"/>
          <w:sz w:val="21"/>
          <w:szCs w:val="21"/>
          <w:lang w:eastAsia="en-GB"/>
        </w:rPr>
        <w:t>This Regulation shall be binding in its entirety and directly applicable in all Member States.</w:t>
      </w:r>
    </w:p>
    <w:p w:rsidR="007D7D0A" w:rsidRPr="007D7D0A" w:rsidRDefault="007D7D0A" w:rsidP="007D7D0A">
      <w:pPr>
        <w:widowControl w:val="0"/>
        <w:kinsoku w:val="0"/>
        <w:overflowPunct w:val="0"/>
        <w:spacing w:before="2" w:line="541" w:lineRule="exact"/>
        <w:ind w:left="6480" w:right="792" w:hanging="144"/>
        <w:textAlignment w:val="baseline"/>
        <w:rPr>
          <w:rFonts w:ascii="Arial" w:eastAsiaTheme="minorEastAsia" w:hAnsi="Arial" w:cs="Arial"/>
          <w:bCs/>
          <w:spacing w:val="-4"/>
          <w:sz w:val="21"/>
          <w:szCs w:val="21"/>
          <w:lang w:eastAsia="en-GB"/>
        </w:rPr>
      </w:pPr>
      <w:r w:rsidRPr="007D7D0A">
        <w:rPr>
          <w:rFonts w:ascii="Arial" w:eastAsiaTheme="minorEastAsia" w:hAnsi="Arial" w:cs="Arial"/>
          <w:bCs/>
          <w:spacing w:val="-4"/>
          <w:sz w:val="21"/>
          <w:szCs w:val="21"/>
          <w:lang w:eastAsia="en-GB"/>
        </w:rPr>
        <w:t>Done at Brussels, For the Commission</w:t>
      </w:r>
    </w:p>
    <w:p w:rsidR="007D7D0A" w:rsidRPr="007D7D0A" w:rsidRDefault="007D7D0A" w:rsidP="007D7D0A">
      <w:pPr>
        <w:widowControl w:val="0"/>
        <w:kinsoku w:val="0"/>
        <w:overflowPunct w:val="0"/>
        <w:spacing w:before="290" w:line="248" w:lineRule="exact"/>
        <w:ind w:left="6480"/>
        <w:textAlignment w:val="baseline"/>
        <w:rPr>
          <w:rFonts w:ascii="Arial" w:eastAsiaTheme="minorEastAsia" w:hAnsi="Arial" w:cs="Arial"/>
          <w:bCs/>
          <w:spacing w:val="-2"/>
          <w:sz w:val="21"/>
          <w:szCs w:val="21"/>
          <w:lang w:eastAsia="en-GB"/>
        </w:rPr>
      </w:pPr>
      <w:r w:rsidRPr="007D7D0A">
        <w:rPr>
          <w:rFonts w:ascii="Arial" w:eastAsiaTheme="minorEastAsia" w:hAnsi="Arial" w:cs="Arial"/>
          <w:bCs/>
          <w:spacing w:val="-2"/>
          <w:sz w:val="21"/>
          <w:szCs w:val="21"/>
          <w:lang w:eastAsia="en-GB"/>
        </w:rPr>
        <w:t>The President</w:t>
      </w:r>
    </w:p>
    <w:p w:rsidR="007D7D0A" w:rsidRPr="007D7D0A" w:rsidRDefault="007D7D0A" w:rsidP="007D7D0A">
      <w:pPr>
        <w:widowControl w:val="0"/>
        <w:kinsoku w:val="0"/>
        <w:overflowPunct w:val="0"/>
        <w:spacing w:before="10" w:line="578" w:lineRule="exact"/>
        <w:ind w:left="6480" w:hanging="144"/>
        <w:textAlignment w:val="baseline"/>
        <w:rPr>
          <w:rFonts w:ascii="Arial" w:eastAsiaTheme="minorEastAsia" w:hAnsi="Arial" w:cs="Arial"/>
          <w:bCs/>
          <w:sz w:val="21"/>
          <w:szCs w:val="21"/>
          <w:lang w:eastAsia="en-GB"/>
        </w:rPr>
      </w:pPr>
      <w:r w:rsidRPr="007D7D0A">
        <w:rPr>
          <w:rFonts w:ascii="Arial" w:eastAsiaTheme="minorEastAsia" w:hAnsi="Arial" w:cs="Arial"/>
          <w:bCs/>
          <w:sz w:val="21"/>
          <w:szCs w:val="21"/>
          <w:lang w:eastAsia="en-GB"/>
        </w:rPr>
        <w:t>On behalf of the President [Position]</w:t>
      </w:r>
    </w:p>
    <w:p w:rsidR="00602238" w:rsidRPr="007D7D0A" w:rsidRDefault="00602238" w:rsidP="007D7D0A"/>
    <w:sectPr w:rsidR="00602238" w:rsidRPr="007D7D0A">
      <w:headerReference w:type="default" r:id="rId10"/>
      <w:pgSz w:w="11904" w:h="16843"/>
      <w:pgMar w:top="680" w:right="1269" w:bottom="3780" w:left="12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3E" w:rsidRDefault="0040463E" w:rsidP="00833EEB">
      <w:r>
        <w:separator/>
      </w:r>
    </w:p>
  </w:endnote>
  <w:endnote w:type="continuationSeparator" w:id="0">
    <w:p w:rsidR="0040463E" w:rsidRDefault="0040463E" w:rsidP="0083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Symbol">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3E" w:rsidRDefault="0040463E" w:rsidP="00833EEB">
      <w:r>
        <w:separator/>
      </w:r>
    </w:p>
  </w:footnote>
  <w:footnote w:type="continuationSeparator" w:id="0">
    <w:p w:rsidR="0040463E" w:rsidRDefault="0040463E" w:rsidP="00833EEB">
      <w:r>
        <w:continuationSeparator/>
      </w:r>
    </w:p>
  </w:footnote>
  <w:footnote w:id="1">
    <w:p w:rsidR="007D7D0A" w:rsidRPr="007D7D0A" w:rsidRDefault="007D7D0A">
      <w:pPr>
        <w:pStyle w:val="FootnoteText"/>
        <w:rPr>
          <w:lang w:val="en-GB"/>
        </w:rPr>
      </w:pPr>
      <w:r>
        <w:rPr>
          <w:rStyle w:val="FootnoteReference"/>
        </w:rPr>
        <w:footnoteRef/>
      </w:r>
      <w:r>
        <w:t xml:space="preserve"> </w:t>
      </w:r>
      <w:r w:rsidRPr="007D7D0A">
        <w:rPr>
          <w:rFonts w:ascii="Arial" w:eastAsiaTheme="minorEastAsia" w:hAnsi="Arial" w:cs="Arial"/>
          <w:sz w:val="16"/>
          <w:szCs w:val="16"/>
          <w:lang w:eastAsia="en-GB"/>
        </w:rPr>
        <w:t>OJ L 173, 12.6.2014, p. 84.</w:t>
      </w:r>
    </w:p>
  </w:footnote>
  <w:footnote w:id="2">
    <w:p w:rsidR="007D7D0A" w:rsidRPr="007D7D0A" w:rsidRDefault="007D7D0A">
      <w:pPr>
        <w:pStyle w:val="FootnoteText"/>
        <w:rPr>
          <w:lang w:val="en-GB"/>
        </w:rPr>
      </w:pPr>
      <w:r>
        <w:rPr>
          <w:rStyle w:val="FootnoteReference"/>
        </w:rPr>
        <w:footnoteRef/>
      </w:r>
      <w:r>
        <w:t xml:space="preserve"> </w:t>
      </w:r>
      <w:r w:rsidRPr="007D7D0A">
        <w:rPr>
          <w:rFonts w:ascii="Arial" w:hAnsi="Arial" w:cs="Arial"/>
          <w:sz w:val="16"/>
          <w:szCs w:val="16"/>
        </w:rPr>
        <w:t>Regulation (EU) No 1095/2010 of the European Parliament and of the Council of 24 November 2010 establishing a European Supervisory Authority (European Securities and Markets Authority), amending Decision No 716/2009/EC and repealing</w:t>
      </w:r>
      <w:r>
        <w:rPr>
          <w:rFonts w:ascii="Arial" w:hAnsi="Arial" w:cs="Arial"/>
          <w:sz w:val="16"/>
          <w:szCs w:val="16"/>
        </w:rPr>
        <w:t xml:space="preserve"> </w:t>
      </w:r>
      <w:r w:rsidRPr="007D7D0A">
        <w:rPr>
          <w:rFonts w:ascii="Arial" w:eastAsiaTheme="minorEastAsia" w:hAnsi="Arial" w:cs="Arial"/>
          <w:sz w:val="16"/>
          <w:szCs w:val="16"/>
          <w:lang w:eastAsia="en-GB"/>
        </w:rPr>
        <w:t>Commission Decision 2009/77/EC (OJ L 331, 15.12.2010, p.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EEB" w:rsidRDefault="00833EEB" w:rsidP="00833EEB">
    <w:pPr>
      <w:spacing w:after="240"/>
      <w:ind w:right="8180"/>
      <w:textAlignment w:val="baseline"/>
    </w:pPr>
    <w:r>
      <w:rPr>
        <w:noProof/>
        <w:lang w:val="en-GB" w:eastAsia="en-GB"/>
      </w:rPr>
      <w:drawing>
        <wp:inline distT="0" distB="0" distL="0" distR="0" wp14:anchorId="794758F1" wp14:editId="412C123B">
          <wp:extent cx="609600" cy="573405"/>
          <wp:effectExtent l="0" t="0" r="0" b="0"/>
          <wp:docPr id="6"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stretch>
                    <a:fillRect/>
                  </a:stretch>
                </pic:blipFill>
                <pic:spPr>
                  <a:xfrm>
                    <a:off x="0" y="0"/>
                    <a:ext cx="609600" cy="573405"/>
                  </a:xfrm>
                  <a:prstGeom prst="rect">
                    <a:avLst/>
                  </a:prstGeom>
                </pic:spPr>
              </pic:pic>
            </a:graphicData>
          </a:graphic>
        </wp:inline>
      </w:drawing>
    </w:r>
    <w:r>
      <w:rPr>
        <w:noProof/>
        <w:lang w:val="en-GB" w:eastAsia="en-GB"/>
      </w:rPr>
      <mc:AlternateContent>
        <mc:Choice Requires="wps">
          <w:drawing>
            <wp:anchor distT="0" distB="0" distL="114300" distR="114300" simplePos="0" relativeHeight="251659264" behindDoc="0" locked="0" layoutInCell="1" allowOverlap="1" wp14:anchorId="52C444DD" wp14:editId="4E92AD8C">
              <wp:simplePos x="0" y="0"/>
              <wp:positionH relativeFrom="page">
                <wp:posOffset>1593850</wp:posOffset>
              </wp:positionH>
              <wp:positionV relativeFrom="page">
                <wp:posOffset>460375</wp:posOffset>
              </wp:positionV>
              <wp:extent cx="0" cy="564515"/>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15240">
                        <a:solidFill>
                          <a:srgbClr val="2935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25pt" to="125.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" strokecolor="#293583" strokeweight="1.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9314"/>
    <w:multiLevelType w:val="singleLevel"/>
    <w:tmpl w:val="1D851886"/>
    <w:lvl w:ilvl="0">
      <w:start w:val="1"/>
      <w:numFmt w:val="lowerLetter"/>
      <w:lvlText w:val="(%1)"/>
      <w:lvlJc w:val="left"/>
      <w:pPr>
        <w:tabs>
          <w:tab w:val="num" w:pos="1224"/>
        </w:tabs>
        <w:ind w:left="1224" w:hanging="504"/>
      </w:pPr>
      <w:rPr>
        <w:rFonts w:ascii="Arial" w:hAnsi="Arial" w:cs="Arial"/>
        <w:snapToGrid/>
        <w:sz w:val="22"/>
        <w:szCs w:val="22"/>
      </w:rPr>
    </w:lvl>
  </w:abstractNum>
  <w:abstractNum w:abstractNumId="1">
    <w:nsid w:val="01EA7836"/>
    <w:multiLevelType w:val="singleLevel"/>
    <w:tmpl w:val="3596A120"/>
    <w:lvl w:ilvl="0">
      <w:start w:val="1"/>
      <w:numFmt w:val="decimal"/>
      <w:lvlText w:val="%1."/>
      <w:lvlJc w:val="left"/>
      <w:pPr>
        <w:tabs>
          <w:tab w:val="num" w:pos="720"/>
        </w:tabs>
        <w:ind w:left="648" w:hanging="504"/>
      </w:pPr>
      <w:rPr>
        <w:rFonts w:ascii="Arial" w:hAnsi="Arial" w:cs="Arial"/>
        <w:snapToGrid/>
        <w:sz w:val="22"/>
        <w:szCs w:val="22"/>
      </w:rPr>
    </w:lvl>
  </w:abstractNum>
  <w:abstractNum w:abstractNumId="2">
    <w:nsid w:val="031A949B"/>
    <w:multiLevelType w:val="singleLevel"/>
    <w:tmpl w:val="180AA8C9"/>
    <w:lvl w:ilvl="0">
      <w:start w:val="1"/>
      <w:numFmt w:val="decimal"/>
      <w:lvlText w:val="%1."/>
      <w:lvlJc w:val="left"/>
      <w:pPr>
        <w:tabs>
          <w:tab w:val="num" w:pos="720"/>
        </w:tabs>
        <w:ind w:left="648" w:hanging="504"/>
      </w:pPr>
      <w:rPr>
        <w:rFonts w:ascii="Arial" w:hAnsi="Arial" w:cs="Arial"/>
        <w:snapToGrid/>
        <w:sz w:val="22"/>
        <w:szCs w:val="22"/>
      </w:rPr>
    </w:lvl>
  </w:abstractNum>
  <w:abstractNum w:abstractNumId="3">
    <w:nsid w:val="05C0E678"/>
    <w:multiLevelType w:val="singleLevel"/>
    <w:tmpl w:val="5CDBB29E"/>
    <w:lvl w:ilvl="0">
      <w:start w:val="7"/>
      <w:numFmt w:val="lowerLetter"/>
      <w:lvlText w:val="(%1)"/>
      <w:lvlJc w:val="left"/>
      <w:pPr>
        <w:tabs>
          <w:tab w:val="num" w:pos="720"/>
        </w:tabs>
        <w:ind w:left="720" w:hanging="576"/>
      </w:pPr>
      <w:rPr>
        <w:rFonts w:ascii="Arial" w:hAnsi="Arial" w:cs="Arial"/>
        <w:snapToGrid/>
        <w:spacing w:val="-2"/>
        <w:sz w:val="22"/>
        <w:szCs w:val="22"/>
      </w:rPr>
    </w:lvl>
  </w:abstractNum>
  <w:abstractNum w:abstractNumId="4">
    <w:nsid w:val="069C3444"/>
    <w:multiLevelType w:val="singleLevel"/>
    <w:tmpl w:val="6694EF24"/>
    <w:lvl w:ilvl="0">
      <w:start w:val="1"/>
      <w:numFmt w:val="decimal"/>
      <w:lvlText w:val="(%1)"/>
      <w:lvlJc w:val="left"/>
      <w:pPr>
        <w:tabs>
          <w:tab w:val="num" w:pos="720"/>
        </w:tabs>
        <w:ind w:left="720" w:hanging="648"/>
      </w:pPr>
      <w:rPr>
        <w:rFonts w:ascii="Arial" w:hAnsi="Arial" w:cs="Arial"/>
        <w:snapToGrid/>
        <w:sz w:val="22"/>
        <w:szCs w:val="22"/>
      </w:rPr>
    </w:lvl>
  </w:abstractNum>
  <w:abstractNum w:abstractNumId="5">
    <w:nsid w:val="07596631"/>
    <w:multiLevelType w:val="singleLevel"/>
    <w:tmpl w:val="531FBA92"/>
    <w:lvl w:ilvl="0">
      <w:start w:val="1"/>
      <w:numFmt w:val="lowerLetter"/>
      <w:lvlText w:val="(%1)"/>
      <w:lvlJc w:val="left"/>
      <w:pPr>
        <w:tabs>
          <w:tab w:val="num" w:pos="648"/>
        </w:tabs>
        <w:ind w:left="648" w:hanging="576"/>
      </w:pPr>
      <w:rPr>
        <w:rFonts w:ascii="Arial" w:hAnsi="Arial" w:cs="Arial"/>
        <w:snapToGrid/>
        <w:sz w:val="22"/>
        <w:szCs w:val="22"/>
      </w:rPr>
    </w:lvl>
  </w:abstractNum>
  <w:abstractNum w:abstractNumId="6">
    <w:nsid w:val="07AD5C9C"/>
    <w:multiLevelType w:val="singleLevel"/>
    <w:tmpl w:val="72309724"/>
    <w:lvl w:ilvl="0">
      <w:start w:val="4"/>
      <w:numFmt w:val="decimal"/>
      <w:lvlText w:val="(%1)"/>
      <w:lvlJc w:val="left"/>
      <w:pPr>
        <w:tabs>
          <w:tab w:val="num" w:pos="648"/>
        </w:tabs>
        <w:ind w:left="648" w:hanging="576"/>
      </w:pPr>
      <w:rPr>
        <w:rFonts w:ascii="Arial" w:hAnsi="Arial" w:cs="Arial"/>
        <w:snapToGrid/>
        <w:sz w:val="22"/>
        <w:szCs w:val="22"/>
      </w:rPr>
    </w:lvl>
  </w:abstractNum>
  <w:abstractNum w:abstractNumId="7">
    <w:nsid w:val="0C99011E"/>
    <w:multiLevelType w:val="multilevel"/>
    <w:tmpl w:val="1B9EC5CA"/>
    <w:lvl w:ilvl="0">
      <w:start w:val="1"/>
      <w:numFmt w:val="decimal"/>
      <w:lvlText w:val="%1."/>
      <w:lvlJc w:val="left"/>
      <w:pPr>
        <w:tabs>
          <w:tab w:val="left" w:pos="79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1B1E16"/>
    <w:multiLevelType w:val="multilevel"/>
    <w:tmpl w:val="D22EBA1A"/>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101650"/>
    <w:multiLevelType w:val="multilevel"/>
    <w:tmpl w:val="3EA47D40"/>
    <w:lvl w:ilvl="0">
      <w:start w:val="5"/>
      <w:numFmt w:val="decimal"/>
      <w:lvlText w:val="(%1)"/>
      <w:lvlJc w:val="left"/>
      <w:pPr>
        <w:tabs>
          <w:tab w:val="left" w:pos="79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ED19DB"/>
    <w:multiLevelType w:val="multilevel"/>
    <w:tmpl w:val="4D2E39A6"/>
    <w:lvl w:ilvl="0">
      <w:start w:val="1"/>
      <w:numFmt w:val="decimal"/>
      <w:lvlText w:val="%1."/>
      <w:lvlJc w:val="left"/>
      <w:pPr>
        <w:tabs>
          <w:tab w:val="left" w:pos="79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0C503D"/>
    <w:multiLevelType w:val="multilevel"/>
    <w:tmpl w:val="E2207386"/>
    <w:lvl w:ilvl="0">
      <w:start w:val="1"/>
      <w:numFmt w:val="decimal"/>
      <w:lvlText w:val="(%1)"/>
      <w:lvlJc w:val="left"/>
      <w:pPr>
        <w:tabs>
          <w:tab w:val="left" w:pos="79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A3011C"/>
    <w:multiLevelType w:val="hybridMultilevel"/>
    <w:tmpl w:val="152C9364"/>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num w:numId="1">
    <w:abstractNumId w:val="11"/>
  </w:num>
  <w:num w:numId="2">
    <w:abstractNumId w:val="9"/>
  </w:num>
  <w:num w:numId="3">
    <w:abstractNumId w:val="10"/>
  </w:num>
  <w:num w:numId="4">
    <w:abstractNumId w:val="7"/>
  </w:num>
  <w:num w:numId="5">
    <w:abstractNumId w:val="8"/>
  </w:num>
  <w:num w:numId="6">
    <w:abstractNumId w:val="12"/>
  </w:num>
  <w:num w:numId="7">
    <w:abstractNumId w:val="4"/>
  </w:num>
  <w:num w:numId="8">
    <w:abstractNumId w:val="6"/>
  </w:num>
  <w:num w:numId="9">
    <w:abstractNumId w:val="5"/>
  </w:num>
  <w:num w:numId="10">
    <w:abstractNumId w:val="5"/>
    <w:lvlOverride w:ilvl="0">
      <w:lvl w:ilvl="0">
        <w:numFmt w:val="lowerLetter"/>
        <w:lvlText w:val="(%1)"/>
        <w:lvlJc w:val="left"/>
        <w:pPr>
          <w:tabs>
            <w:tab w:val="num" w:pos="648"/>
          </w:tabs>
          <w:ind w:left="648" w:hanging="576"/>
        </w:pPr>
        <w:rPr>
          <w:rFonts w:ascii="Arial" w:hAnsi="Arial" w:cs="Arial"/>
          <w:snapToGrid/>
          <w:sz w:val="22"/>
          <w:szCs w:val="22"/>
        </w:rPr>
      </w:lvl>
    </w:lvlOverride>
  </w:num>
  <w:num w:numId="11">
    <w:abstractNumId w:val="3"/>
  </w:num>
  <w:num w:numId="12">
    <w:abstractNumId w:val="3"/>
    <w:lvlOverride w:ilvl="0">
      <w:lvl w:ilvl="0">
        <w:numFmt w:val="lowerLetter"/>
        <w:lvlText w:val="(%1)"/>
        <w:lvlJc w:val="left"/>
        <w:pPr>
          <w:tabs>
            <w:tab w:val="num" w:pos="720"/>
          </w:tabs>
          <w:ind w:left="720" w:hanging="576"/>
        </w:pPr>
        <w:rPr>
          <w:rFonts w:ascii="Arial" w:hAnsi="Arial" w:cs="Arial"/>
          <w:snapToGrid/>
          <w:spacing w:val="-1"/>
          <w:sz w:val="22"/>
          <w:szCs w:val="22"/>
        </w:rPr>
      </w:lvl>
    </w:lvlOverride>
  </w:num>
  <w:num w:numId="13">
    <w:abstractNumId w:val="1"/>
  </w:num>
  <w:num w:numId="14">
    <w:abstractNumId w:val="2"/>
  </w:num>
  <w:num w:numId="15">
    <w:abstractNumId w:val="0"/>
  </w:num>
  <w:num w:numId="16">
    <w:abstractNumId w:val="0"/>
    <w:lvlOverride w:ilvl="0">
      <w:lvl w:ilvl="0">
        <w:numFmt w:val="lowerLetter"/>
        <w:lvlText w:val="(%1)"/>
        <w:lvlJc w:val="left"/>
        <w:pPr>
          <w:tabs>
            <w:tab w:val="num" w:pos="1224"/>
          </w:tabs>
          <w:ind w:left="4176" w:hanging="3456"/>
        </w:pPr>
        <w:rPr>
          <w:rFonts w:ascii="Arial" w:hAnsi="Arial" w:cs="Arial"/>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602238"/>
    <w:rsid w:val="001A2ED8"/>
    <w:rsid w:val="002F35B2"/>
    <w:rsid w:val="0040463E"/>
    <w:rsid w:val="00602238"/>
    <w:rsid w:val="007D7D0A"/>
    <w:rsid w:val="00833EEB"/>
    <w:rsid w:val="008F43D7"/>
    <w:rsid w:val="0095198D"/>
    <w:rsid w:val="00CF4F22"/>
    <w:rsid w:val="00D35172"/>
    <w:rsid w:val="00FB795C"/>
    <w:rsid w:val="00FD1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EEB"/>
    <w:rPr>
      <w:rFonts w:ascii="Tahoma" w:hAnsi="Tahoma" w:cs="Tahoma"/>
      <w:sz w:val="16"/>
      <w:szCs w:val="16"/>
    </w:rPr>
  </w:style>
  <w:style w:type="character" w:customStyle="1" w:styleId="BalloonTextChar">
    <w:name w:val="Balloon Text Char"/>
    <w:basedOn w:val="DefaultParagraphFont"/>
    <w:link w:val="BalloonText"/>
    <w:uiPriority w:val="99"/>
    <w:semiHidden/>
    <w:rsid w:val="00833EEB"/>
    <w:rPr>
      <w:rFonts w:ascii="Tahoma" w:hAnsi="Tahoma" w:cs="Tahoma"/>
      <w:sz w:val="16"/>
      <w:szCs w:val="16"/>
    </w:rPr>
  </w:style>
  <w:style w:type="paragraph" w:styleId="Header">
    <w:name w:val="header"/>
    <w:basedOn w:val="Normal"/>
    <w:link w:val="HeaderChar"/>
    <w:uiPriority w:val="99"/>
    <w:unhideWhenUsed/>
    <w:rsid w:val="00833EEB"/>
    <w:pPr>
      <w:tabs>
        <w:tab w:val="center" w:pos="4513"/>
        <w:tab w:val="right" w:pos="9026"/>
      </w:tabs>
    </w:pPr>
  </w:style>
  <w:style w:type="character" w:customStyle="1" w:styleId="HeaderChar">
    <w:name w:val="Header Char"/>
    <w:basedOn w:val="DefaultParagraphFont"/>
    <w:link w:val="Header"/>
    <w:uiPriority w:val="99"/>
    <w:rsid w:val="00833EEB"/>
  </w:style>
  <w:style w:type="paragraph" w:styleId="Footer">
    <w:name w:val="footer"/>
    <w:basedOn w:val="Normal"/>
    <w:link w:val="FooterChar"/>
    <w:uiPriority w:val="99"/>
    <w:unhideWhenUsed/>
    <w:rsid w:val="00833EEB"/>
    <w:pPr>
      <w:tabs>
        <w:tab w:val="center" w:pos="4513"/>
        <w:tab w:val="right" w:pos="9026"/>
      </w:tabs>
    </w:pPr>
  </w:style>
  <w:style w:type="character" w:customStyle="1" w:styleId="FooterChar">
    <w:name w:val="Footer Char"/>
    <w:basedOn w:val="DefaultParagraphFont"/>
    <w:link w:val="Footer"/>
    <w:uiPriority w:val="99"/>
    <w:rsid w:val="00833EEB"/>
  </w:style>
  <w:style w:type="paragraph" w:styleId="FootnoteText">
    <w:name w:val="footnote text"/>
    <w:basedOn w:val="Normal"/>
    <w:link w:val="FootnoteTextChar"/>
    <w:uiPriority w:val="99"/>
    <w:semiHidden/>
    <w:unhideWhenUsed/>
    <w:rsid w:val="00833EEB"/>
    <w:rPr>
      <w:sz w:val="20"/>
      <w:szCs w:val="20"/>
    </w:rPr>
  </w:style>
  <w:style w:type="character" w:customStyle="1" w:styleId="FootnoteTextChar">
    <w:name w:val="Footnote Text Char"/>
    <w:basedOn w:val="DefaultParagraphFont"/>
    <w:link w:val="FootnoteText"/>
    <w:uiPriority w:val="99"/>
    <w:semiHidden/>
    <w:rsid w:val="00833EEB"/>
    <w:rPr>
      <w:sz w:val="20"/>
      <w:szCs w:val="20"/>
    </w:rPr>
  </w:style>
  <w:style w:type="character" w:styleId="FootnoteReference">
    <w:name w:val="footnote reference"/>
    <w:basedOn w:val="DefaultParagraphFont"/>
    <w:uiPriority w:val="99"/>
    <w:semiHidden/>
    <w:unhideWhenUsed/>
    <w:rsid w:val="00833EEB"/>
    <w:rPr>
      <w:vertAlign w:val="superscript"/>
    </w:rPr>
  </w:style>
  <w:style w:type="paragraph" w:styleId="ListParagraph">
    <w:name w:val="List Paragraph"/>
    <w:basedOn w:val="Normal"/>
    <w:uiPriority w:val="34"/>
    <w:qFormat/>
    <w:rsid w:val="002F35B2"/>
    <w:pPr>
      <w:ind w:left="720"/>
      <w:contextualSpacing/>
    </w:pPr>
  </w:style>
  <w:style w:type="table" w:styleId="TableGrid">
    <w:name w:val="Table Grid"/>
    <w:basedOn w:val="TableNormal"/>
    <w:uiPriority w:val="59"/>
    <w:rsid w:val="00FB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EEB"/>
    <w:rPr>
      <w:rFonts w:ascii="Tahoma" w:hAnsi="Tahoma" w:cs="Tahoma"/>
      <w:sz w:val="16"/>
      <w:szCs w:val="16"/>
    </w:rPr>
  </w:style>
  <w:style w:type="character" w:customStyle="1" w:styleId="BalloonTextChar">
    <w:name w:val="Balloon Text Char"/>
    <w:basedOn w:val="DefaultParagraphFont"/>
    <w:link w:val="BalloonText"/>
    <w:uiPriority w:val="99"/>
    <w:semiHidden/>
    <w:rsid w:val="00833EEB"/>
    <w:rPr>
      <w:rFonts w:ascii="Tahoma" w:hAnsi="Tahoma" w:cs="Tahoma"/>
      <w:sz w:val="16"/>
      <w:szCs w:val="16"/>
    </w:rPr>
  </w:style>
  <w:style w:type="paragraph" w:styleId="Header">
    <w:name w:val="header"/>
    <w:basedOn w:val="Normal"/>
    <w:link w:val="HeaderChar"/>
    <w:uiPriority w:val="99"/>
    <w:unhideWhenUsed/>
    <w:rsid w:val="00833EEB"/>
    <w:pPr>
      <w:tabs>
        <w:tab w:val="center" w:pos="4513"/>
        <w:tab w:val="right" w:pos="9026"/>
      </w:tabs>
    </w:pPr>
  </w:style>
  <w:style w:type="character" w:customStyle="1" w:styleId="HeaderChar">
    <w:name w:val="Header Char"/>
    <w:basedOn w:val="DefaultParagraphFont"/>
    <w:link w:val="Header"/>
    <w:uiPriority w:val="99"/>
    <w:rsid w:val="00833EEB"/>
  </w:style>
  <w:style w:type="paragraph" w:styleId="Footer">
    <w:name w:val="footer"/>
    <w:basedOn w:val="Normal"/>
    <w:link w:val="FooterChar"/>
    <w:uiPriority w:val="99"/>
    <w:unhideWhenUsed/>
    <w:rsid w:val="00833EEB"/>
    <w:pPr>
      <w:tabs>
        <w:tab w:val="center" w:pos="4513"/>
        <w:tab w:val="right" w:pos="9026"/>
      </w:tabs>
    </w:pPr>
  </w:style>
  <w:style w:type="character" w:customStyle="1" w:styleId="FooterChar">
    <w:name w:val="Footer Char"/>
    <w:basedOn w:val="DefaultParagraphFont"/>
    <w:link w:val="Footer"/>
    <w:uiPriority w:val="99"/>
    <w:rsid w:val="00833EEB"/>
  </w:style>
  <w:style w:type="paragraph" w:styleId="FootnoteText">
    <w:name w:val="footnote text"/>
    <w:basedOn w:val="Normal"/>
    <w:link w:val="FootnoteTextChar"/>
    <w:uiPriority w:val="99"/>
    <w:semiHidden/>
    <w:unhideWhenUsed/>
    <w:rsid w:val="00833EEB"/>
    <w:rPr>
      <w:sz w:val="20"/>
      <w:szCs w:val="20"/>
    </w:rPr>
  </w:style>
  <w:style w:type="character" w:customStyle="1" w:styleId="FootnoteTextChar">
    <w:name w:val="Footnote Text Char"/>
    <w:basedOn w:val="DefaultParagraphFont"/>
    <w:link w:val="FootnoteText"/>
    <w:uiPriority w:val="99"/>
    <w:semiHidden/>
    <w:rsid w:val="00833EEB"/>
    <w:rPr>
      <w:sz w:val="20"/>
      <w:szCs w:val="20"/>
    </w:rPr>
  </w:style>
  <w:style w:type="character" w:styleId="FootnoteReference">
    <w:name w:val="footnote reference"/>
    <w:basedOn w:val="DefaultParagraphFont"/>
    <w:uiPriority w:val="99"/>
    <w:semiHidden/>
    <w:unhideWhenUsed/>
    <w:rsid w:val="00833EEB"/>
    <w:rPr>
      <w:vertAlign w:val="superscript"/>
    </w:rPr>
  </w:style>
  <w:style w:type="paragraph" w:styleId="ListParagraph">
    <w:name w:val="List Paragraph"/>
    <w:basedOn w:val="Normal"/>
    <w:uiPriority w:val="34"/>
    <w:qFormat/>
    <w:rsid w:val="002F35B2"/>
    <w:pPr>
      <w:ind w:left="720"/>
      <w:contextualSpacing/>
    </w:pPr>
  </w:style>
  <w:style w:type="table" w:styleId="TableGrid">
    <w:name w:val="Table Grid"/>
    <w:basedOn w:val="TableNormal"/>
    <w:uiPriority w:val="59"/>
    <w:rsid w:val="00FB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8DF9-CF67-4BD6-8876-C79CB077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Simmons &amp; Simmons</cp:lastModifiedBy>
  <cp:revision>2</cp:revision>
  <dcterms:created xsi:type="dcterms:W3CDTF">2015-11-23T09:35:00Z</dcterms:created>
  <dcterms:modified xsi:type="dcterms:W3CDTF">2015-11-23T09:35:00Z</dcterms:modified>
</cp:coreProperties>
</file>