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528" w:rsidRPr="00CA2528" w:rsidRDefault="00CA2528" w:rsidP="00CA2528">
      <w:pPr>
        <w:pStyle w:val="ssPara1"/>
        <w:jc w:val="center"/>
        <w:rPr>
          <w:b/>
        </w:rPr>
      </w:pPr>
      <w:bookmarkStart w:id="0" w:name="_GoBack"/>
      <w:bookmarkEnd w:id="0"/>
      <w:r w:rsidRPr="00CA2528">
        <w:rPr>
          <w:b/>
        </w:rPr>
        <w:t>CLIENT AGREEMENTS</w:t>
      </w:r>
    </w:p>
    <w:p w:rsidR="00CA2528" w:rsidRPr="00CA2528" w:rsidRDefault="00CA2528" w:rsidP="00CA2528">
      <w:pPr>
        <w:pStyle w:val="ssPara1"/>
        <w:jc w:val="center"/>
        <w:rPr>
          <w:b/>
        </w:rPr>
      </w:pPr>
      <w:r w:rsidRPr="00CA2528">
        <w:rPr>
          <w:b/>
        </w:rPr>
        <w:t>COMPARISON BETWEEN</w:t>
      </w:r>
    </w:p>
    <w:p w:rsidR="00CA2528" w:rsidRPr="00CA2528" w:rsidRDefault="00CA2528" w:rsidP="00CA2528">
      <w:pPr>
        <w:pStyle w:val="ssPara1"/>
        <w:jc w:val="center"/>
        <w:rPr>
          <w:b/>
        </w:rPr>
      </w:pPr>
      <w:r w:rsidRPr="00CA2528">
        <w:rPr>
          <w:b/>
        </w:rPr>
        <w:t xml:space="preserve">ESMA </w:t>
      </w:r>
      <w:hyperlink r:id="rId8" w:history="1">
        <w:r w:rsidRPr="00CA2528">
          <w:rPr>
            <w:rStyle w:val="Hyperlink"/>
          </w:rPr>
          <w:t>Technical Advice</w:t>
        </w:r>
      </w:hyperlink>
      <w:r w:rsidRPr="00CA2528">
        <w:rPr>
          <w:b/>
        </w:rPr>
        <w:t xml:space="preserve"> (19 December 2014)</w:t>
      </w:r>
      <w:r>
        <w:rPr>
          <w:b/>
        </w:rPr>
        <w:br/>
      </w:r>
      <w:r w:rsidRPr="00CA2528">
        <w:rPr>
          <w:b/>
        </w:rPr>
        <w:t>vs.</w:t>
      </w:r>
      <w:r>
        <w:rPr>
          <w:b/>
        </w:rPr>
        <w:br/>
      </w:r>
      <w:r w:rsidRPr="00CA2528">
        <w:rPr>
          <w:b/>
        </w:rPr>
        <w:t xml:space="preserve">European Commission </w:t>
      </w:r>
      <w:hyperlink r:id="rId9" w:history="1">
        <w:r w:rsidRPr="00CA2528">
          <w:rPr>
            <w:rStyle w:val="Hyperlink"/>
          </w:rPr>
          <w:t>Draft Delegated Regulation</w:t>
        </w:r>
      </w:hyperlink>
      <w:r w:rsidRPr="00CA2528">
        <w:rPr>
          <w:b/>
        </w:rPr>
        <w:t xml:space="preserve"> (25 April 2016)</w:t>
      </w:r>
    </w:p>
    <w:p w:rsidR="00CA2528" w:rsidRDefault="00CA2528" w:rsidP="00A7460B">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938"/>
      </w:tblGrid>
      <w:tr w:rsidR="00CA2528" w:rsidTr="00CA2528">
        <w:tc>
          <w:tcPr>
            <w:tcW w:w="675" w:type="dxa"/>
            <w:shd w:val="clear" w:color="auto" w:fill="92D050"/>
          </w:tcPr>
          <w:p w:rsidR="00CA2528" w:rsidRDefault="00CA2528" w:rsidP="00A7460B">
            <w:pPr>
              <w:rPr>
                <w:rFonts w:cs="Arial"/>
                <w:szCs w:val="20"/>
              </w:rPr>
            </w:pPr>
          </w:p>
        </w:tc>
        <w:tc>
          <w:tcPr>
            <w:tcW w:w="7938" w:type="dxa"/>
          </w:tcPr>
          <w:p w:rsidR="00CA2528" w:rsidRDefault="00CA2528" w:rsidP="001F21EF">
            <w:pPr>
              <w:rPr>
                <w:rFonts w:cs="Arial"/>
                <w:szCs w:val="20"/>
              </w:rPr>
            </w:pPr>
            <w:r>
              <w:rPr>
                <w:rFonts w:cs="Arial"/>
                <w:szCs w:val="20"/>
              </w:rPr>
              <w:t>No change or minor / immaterial change</w:t>
            </w:r>
          </w:p>
        </w:tc>
      </w:tr>
      <w:tr w:rsidR="00CA2528" w:rsidTr="00CA2528">
        <w:tc>
          <w:tcPr>
            <w:tcW w:w="675" w:type="dxa"/>
            <w:shd w:val="clear" w:color="auto" w:fill="FFC000"/>
          </w:tcPr>
          <w:p w:rsidR="00CA2528" w:rsidRDefault="00CA2528" w:rsidP="00A7460B">
            <w:pPr>
              <w:rPr>
                <w:rFonts w:cs="Arial"/>
                <w:szCs w:val="20"/>
              </w:rPr>
            </w:pPr>
          </w:p>
        </w:tc>
        <w:tc>
          <w:tcPr>
            <w:tcW w:w="7938" w:type="dxa"/>
          </w:tcPr>
          <w:p w:rsidR="00CA2528" w:rsidRDefault="00CA2528" w:rsidP="002F49E3">
            <w:pPr>
              <w:rPr>
                <w:rFonts w:cs="Arial"/>
                <w:szCs w:val="20"/>
              </w:rPr>
            </w:pPr>
            <w:r>
              <w:rPr>
                <w:rFonts w:cs="Arial"/>
                <w:szCs w:val="20"/>
              </w:rPr>
              <w:t>Change to be reviewed, but not requiring gap assessment to be revisited with business</w:t>
            </w:r>
          </w:p>
        </w:tc>
      </w:tr>
      <w:tr w:rsidR="00CA2528" w:rsidTr="00CA2528">
        <w:tc>
          <w:tcPr>
            <w:tcW w:w="675" w:type="dxa"/>
            <w:shd w:val="clear" w:color="auto" w:fill="FF0000"/>
          </w:tcPr>
          <w:p w:rsidR="00CA2528" w:rsidRDefault="00CA2528" w:rsidP="00A7460B">
            <w:pPr>
              <w:rPr>
                <w:rFonts w:cs="Arial"/>
                <w:szCs w:val="20"/>
              </w:rPr>
            </w:pPr>
          </w:p>
        </w:tc>
        <w:tc>
          <w:tcPr>
            <w:tcW w:w="7938" w:type="dxa"/>
          </w:tcPr>
          <w:p w:rsidR="00CA2528" w:rsidRDefault="00CA2528" w:rsidP="002F49E3">
            <w:pPr>
              <w:rPr>
                <w:rFonts w:cs="Arial"/>
                <w:szCs w:val="20"/>
              </w:rPr>
            </w:pPr>
            <w:r>
              <w:rPr>
                <w:rFonts w:cs="Arial"/>
                <w:szCs w:val="20"/>
              </w:rPr>
              <w:t xml:space="preserve">Significant change requiring detailed review </w:t>
            </w:r>
          </w:p>
        </w:tc>
      </w:tr>
    </w:tbl>
    <w:p w:rsidR="00CA2528" w:rsidRDefault="00CA2528" w:rsidP="00A7460B">
      <w:pPr>
        <w:rPr>
          <w:rFonts w:cs="Arial"/>
          <w:szCs w:val="20"/>
        </w:rPr>
      </w:pPr>
    </w:p>
    <w:p w:rsidR="00CA2528" w:rsidRDefault="00CA2528" w:rsidP="00B14584">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1517"/>
        <w:gridCol w:w="1998"/>
        <w:gridCol w:w="8931"/>
      </w:tblGrid>
      <w:tr w:rsidR="00487B39" w:rsidRPr="00C14BD4" w:rsidTr="0022005B">
        <w:tc>
          <w:tcPr>
            <w:tcW w:w="1772" w:type="dxa"/>
            <w:shd w:val="clear" w:color="auto" w:fill="32464D"/>
          </w:tcPr>
          <w:p w:rsidR="00487B39" w:rsidRPr="00C14BD4" w:rsidRDefault="00487B39" w:rsidP="0022005B">
            <w:pPr>
              <w:jc w:val="center"/>
              <w:rPr>
                <w:rFonts w:cs="Arial"/>
                <w:b/>
                <w:color w:val="FFFFFF" w:themeColor="background1"/>
                <w:szCs w:val="20"/>
              </w:rPr>
            </w:pPr>
            <w:r w:rsidRPr="00C14BD4">
              <w:rPr>
                <w:rFonts w:cs="Arial"/>
                <w:b/>
                <w:color w:val="FFFFFF" w:themeColor="background1"/>
                <w:szCs w:val="20"/>
              </w:rPr>
              <w:t>ESMA Technical Advice</w:t>
            </w:r>
          </w:p>
          <w:p w:rsidR="00487B39" w:rsidRPr="00C14BD4" w:rsidRDefault="00487B39" w:rsidP="0022005B">
            <w:pPr>
              <w:jc w:val="center"/>
              <w:rPr>
                <w:rFonts w:cs="Arial"/>
                <w:b/>
                <w:color w:val="FFFFFF" w:themeColor="background1"/>
                <w:szCs w:val="20"/>
              </w:rPr>
            </w:pPr>
            <w:r w:rsidRPr="00C14BD4">
              <w:rPr>
                <w:rFonts w:cs="Arial"/>
                <w:b/>
                <w:color w:val="FFFFFF" w:themeColor="background1"/>
                <w:szCs w:val="20"/>
              </w:rPr>
              <w:t>Section 2.</w:t>
            </w:r>
            <w:r>
              <w:rPr>
                <w:rFonts w:cs="Arial"/>
                <w:b/>
                <w:color w:val="FFFFFF" w:themeColor="background1"/>
                <w:szCs w:val="20"/>
              </w:rPr>
              <w:t>19</w:t>
            </w:r>
            <w:r w:rsidRPr="00C14BD4">
              <w:rPr>
                <w:rFonts w:cs="Arial"/>
                <w:b/>
                <w:color w:val="FFFFFF" w:themeColor="background1"/>
                <w:szCs w:val="20"/>
              </w:rPr>
              <w:t xml:space="preserve"> page</w:t>
            </w:r>
            <w:r>
              <w:rPr>
                <w:rFonts w:cs="Arial"/>
                <w:b/>
                <w:color w:val="FFFFFF" w:themeColor="background1"/>
                <w:szCs w:val="20"/>
              </w:rPr>
              <w:t>s</w:t>
            </w:r>
            <w:r w:rsidRPr="00C14BD4">
              <w:rPr>
                <w:rFonts w:cs="Arial"/>
                <w:b/>
                <w:color w:val="FFFFFF" w:themeColor="background1"/>
                <w:szCs w:val="20"/>
              </w:rPr>
              <w:t xml:space="preserve"> </w:t>
            </w:r>
            <w:r>
              <w:rPr>
                <w:rFonts w:cs="Arial"/>
                <w:b/>
                <w:color w:val="FFFFFF" w:themeColor="background1"/>
                <w:szCs w:val="20"/>
              </w:rPr>
              <w:t>164 to 165</w:t>
            </w:r>
          </w:p>
          <w:p w:rsidR="00487B39" w:rsidRPr="00C14BD4" w:rsidRDefault="00487B39" w:rsidP="0022005B">
            <w:pPr>
              <w:jc w:val="center"/>
              <w:rPr>
                <w:rFonts w:cs="Arial"/>
                <w:b/>
                <w:color w:val="FFFFFF" w:themeColor="background1"/>
                <w:szCs w:val="20"/>
              </w:rPr>
            </w:pPr>
          </w:p>
        </w:tc>
        <w:tc>
          <w:tcPr>
            <w:tcW w:w="1517" w:type="dxa"/>
            <w:shd w:val="clear" w:color="auto" w:fill="32464D"/>
          </w:tcPr>
          <w:p w:rsidR="00487B39" w:rsidRPr="00C14BD4" w:rsidRDefault="00487B39" w:rsidP="0022005B">
            <w:pPr>
              <w:jc w:val="center"/>
              <w:rPr>
                <w:rFonts w:cs="Arial"/>
                <w:b/>
                <w:color w:val="FFFFFF" w:themeColor="background1"/>
                <w:szCs w:val="20"/>
              </w:rPr>
            </w:pPr>
            <w:r>
              <w:rPr>
                <w:rFonts w:cs="Arial"/>
                <w:b/>
                <w:color w:val="FFFFFF" w:themeColor="background1"/>
                <w:szCs w:val="20"/>
              </w:rPr>
              <w:t>MiFID 1 implementing Directive Article 39</w:t>
            </w:r>
          </w:p>
        </w:tc>
        <w:tc>
          <w:tcPr>
            <w:tcW w:w="1998" w:type="dxa"/>
            <w:shd w:val="clear" w:color="auto" w:fill="32464D"/>
          </w:tcPr>
          <w:p w:rsidR="00487B39" w:rsidRPr="00C14BD4" w:rsidRDefault="00487B39" w:rsidP="0022005B">
            <w:pPr>
              <w:jc w:val="center"/>
              <w:rPr>
                <w:rFonts w:cs="Arial"/>
                <w:b/>
                <w:color w:val="FFFFFF" w:themeColor="background1"/>
                <w:szCs w:val="20"/>
              </w:rPr>
            </w:pPr>
            <w:r w:rsidRPr="00C14BD4">
              <w:rPr>
                <w:rFonts w:cs="Arial"/>
                <w:b/>
                <w:color w:val="FFFFFF" w:themeColor="background1"/>
                <w:szCs w:val="20"/>
              </w:rPr>
              <w:t>Commission Draft Delegated Regulation</w:t>
            </w:r>
          </w:p>
          <w:p w:rsidR="00487B39" w:rsidRPr="00C14BD4" w:rsidRDefault="00487B39" w:rsidP="0022005B">
            <w:pPr>
              <w:jc w:val="center"/>
              <w:rPr>
                <w:rFonts w:cs="Arial"/>
                <w:b/>
                <w:color w:val="FFFFFF" w:themeColor="background1"/>
                <w:szCs w:val="20"/>
              </w:rPr>
            </w:pPr>
            <w:r w:rsidRPr="00C14BD4">
              <w:rPr>
                <w:rFonts w:cs="Arial"/>
                <w:b/>
                <w:color w:val="FFFFFF" w:themeColor="background1"/>
                <w:szCs w:val="20"/>
              </w:rPr>
              <w:t xml:space="preserve">Article </w:t>
            </w:r>
            <w:r>
              <w:rPr>
                <w:rFonts w:cs="Arial"/>
                <w:b/>
                <w:color w:val="FFFFFF" w:themeColor="background1"/>
                <w:szCs w:val="20"/>
              </w:rPr>
              <w:t>58</w:t>
            </w:r>
          </w:p>
        </w:tc>
        <w:tc>
          <w:tcPr>
            <w:tcW w:w="8931" w:type="dxa"/>
            <w:shd w:val="clear" w:color="auto" w:fill="32464D"/>
            <w:noWrap/>
          </w:tcPr>
          <w:p w:rsidR="00487B39" w:rsidRPr="00C14BD4" w:rsidRDefault="00487B39" w:rsidP="0022005B">
            <w:pPr>
              <w:jc w:val="center"/>
              <w:rPr>
                <w:rFonts w:cs="Arial"/>
                <w:b/>
                <w:color w:val="FFFFFF" w:themeColor="background1"/>
                <w:szCs w:val="20"/>
              </w:rPr>
            </w:pPr>
            <w:r w:rsidRPr="00C14BD4">
              <w:rPr>
                <w:rFonts w:cs="Arial"/>
                <w:b/>
                <w:color w:val="FFFFFF" w:themeColor="background1"/>
                <w:szCs w:val="20"/>
              </w:rPr>
              <w:t>Summary of Key Changes in Commission Draft Delegated Regulation</w:t>
            </w:r>
          </w:p>
        </w:tc>
      </w:tr>
      <w:tr w:rsidR="00487B39" w:rsidRPr="001E0645" w:rsidTr="0022005B">
        <w:tc>
          <w:tcPr>
            <w:tcW w:w="1772" w:type="dxa"/>
            <w:shd w:val="clear" w:color="auto" w:fill="32464D"/>
          </w:tcPr>
          <w:p w:rsidR="00487B39" w:rsidRPr="00C14BD4" w:rsidRDefault="00487B39" w:rsidP="0022005B">
            <w:pPr>
              <w:rPr>
                <w:rFonts w:cs="Arial"/>
                <w:color w:val="FFFFFF" w:themeColor="background1"/>
                <w:szCs w:val="20"/>
              </w:rPr>
            </w:pPr>
            <w:r w:rsidRPr="00C14BD4">
              <w:rPr>
                <w:rFonts w:cs="Arial"/>
                <w:color w:val="FFFFFF" w:themeColor="background1"/>
                <w:szCs w:val="20"/>
              </w:rPr>
              <w:t>Paragraph 1</w:t>
            </w:r>
          </w:p>
        </w:tc>
        <w:tc>
          <w:tcPr>
            <w:tcW w:w="1517" w:type="dxa"/>
          </w:tcPr>
          <w:p w:rsidR="00487B39" w:rsidRPr="00F646FD" w:rsidRDefault="00487B39" w:rsidP="0022005B">
            <w:r w:rsidRPr="00F646FD">
              <w:t>N/A</w:t>
            </w:r>
          </w:p>
        </w:tc>
        <w:tc>
          <w:tcPr>
            <w:tcW w:w="1998" w:type="dxa"/>
          </w:tcPr>
          <w:p w:rsidR="00487B39" w:rsidRPr="00F646FD" w:rsidRDefault="00487B39" w:rsidP="0022005B">
            <w:r w:rsidRPr="00F646FD">
              <w:t>N/A</w:t>
            </w:r>
          </w:p>
        </w:tc>
        <w:tc>
          <w:tcPr>
            <w:tcW w:w="8931" w:type="dxa"/>
            <w:shd w:val="clear" w:color="auto" w:fill="92D050"/>
          </w:tcPr>
          <w:p w:rsidR="00487B39" w:rsidRDefault="00487B39" w:rsidP="0022005B">
            <w:r w:rsidRPr="00F646FD">
              <w:t>Technical Advice paragraph 1 advises the Commission to incorporate MiFID 1 Implementing Directive Article 39 into the Delegated Regulation and modify as directed in the subsequent paragraphs.</w:t>
            </w:r>
          </w:p>
        </w:tc>
      </w:tr>
      <w:tr w:rsidR="00487B39" w:rsidRPr="001E0645" w:rsidTr="0022005B">
        <w:tc>
          <w:tcPr>
            <w:tcW w:w="1772" w:type="dxa"/>
            <w:shd w:val="clear" w:color="auto" w:fill="32464D"/>
          </w:tcPr>
          <w:p w:rsidR="00487B39" w:rsidRPr="00C14BD4" w:rsidRDefault="00487B39" w:rsidP="0022005B">
            <w:pPr>
              <w:rPr>
                <w:rFonts w:cs="Arial"/>
                <w:color w:val="FFFFFF" w:themeColor="background1"/>
                <w:szCs w:val="20"/>
              </w:rPr>
            </w:pPr>
            <w:r w:rsidRPr="00C14BD4">
              <w:rPr>
                <w:rFonts w:cs="Arial"/>
                <w:color w:val="FFFFFF" w:themeColor="background1"/>
                <w:szCs w:val="20"/>
              </w:rPr>
              <w:t>Paragraph 2</w:t>
            </w:r>
            <w:r>
              <w:rPr>
                <w:rFonts w:cs="Arial"/>
                <w:color w:val="FFFFFF" w:themeColor="background1"/>
                <w:szCs w:val="20"/>
              </w:rPr>
              <w:t xml:space="preserve"> and 3</w:t>
            </w:r>
          </w:p>
        </w:tc>
        <w:tc>
          <w:tcPr>
            <w:tcW w:w="1517" w:type="dxa"/>
          </w:tcPr>
          <w:p w:rsidR="00487B39" w:rsidRPr="00370E12" w:rsidRDefault="00487B39" w:rsidP="0022005B">
            <w:r w:rsidRPr="00370E12">
              <w:t>Article 39</w:t>
            </w:r>
          </w:p>
        </w:tc>
        <w:tc>
          <w:tcPr>
            <w:tcW w:w="1998" w:type="dxa"/>
          </w:tcPr>
          <w:p w:rsidR="00487B39" w:rsidRDefault="00487B39" w:rsidP="0022005B">
            <w:pPr>
              <w:spacing w:line="280" w:lineRule="exact"/>
              <w:jc w:val="left"/>
              <w:rPr>
                <w:rFonts w:cs="Arial"/>
                <w:szCs w:val="20"/>
                <w:lang w:eastAsia="en-US"/>
              </w:rPr>
            </w:pPr>
            <w:r>
              <w:rPr>
                <w:rFonts w:cs="Arial"/>
                <w:szCs w:val="20"/>
              </w:rPr>
              <w:t>Article 58 first paragraph</w:t>
            </w:r>
          </w:p>
          <w:p w:rsidR="00487B39" w:rsidRPr="00370E12" w:rsidRDefault="00487B39" w:rsidP="0022005B">
            <w:pPr>
              <w:jc w:val="left"/>
            </w:pPr>
          </w:p>
        </w:tc>
        <w:tc>
          <w:tcPr>
            <w:tcW w:w="8931" w:type="dxa"/>
            <w:shd w:val="clear" w:color="auto" w:fill="92D050"/>
          </w:tcPr>
          <w:p w:rsidR="00487B39" w:rsidRPr="0071619A" w:rsidRDefault="00487B39" w:rsidP="0022005B">
            <w:pPr>
              <w:spacing w:after="120"/>
              <w:rPr>
                <w:rFonts w:cs="Arial"/>
                <w:szCs w:val="20"/>
              </w:rPr>
            </w:pPr>
            <w:r w:rsidRPr="0071619A">
              <w:rPr>
                <w:rFonts w:cs="Arial"/>
                <w:szCs w:val="20"/>
              </w:rPr>
              <w:t>Minor changes. Technical Advice paragraph 2 referred to entering into a “written agreement” while Delegated Regulation Article 58 refers to entering into a “</w:t>
            </w:r>
            <w:r w:rsidRPr="0071619A">
              <w:rPr>
                <w:rFonts w:cs="Arial"/>
                <w:b/>
                <w:szCs w:val="20"/>
              </w:rPr>
              <w:t>written basic agreement</w:t>
            </w:r>
            <w:r w:rsidRPr="0071619A">
              <w:rPr>
                <w:rFonts w:cs="Arial"/>
                <w:szCs w:val="20"/>
              </w:rPr>
              <w:t>”, which is the same as the original language used in the MiFID 1 Implementing Directive.</w:t>
            </w:r>
          </w:p>
          <w:p w:rsidR="00487B39" w:rsidRPr="0071619A" w:rsidRDefault="00487B39" w:rsidP="0022005B">
            <w:pPr>
              <w:spacing w:after="120"/>
              <w:rPr>
                <w:rFonts w:cs="Arial"/>
                <w:szCs w:val="20"/>
              </w:rPr>
            </w:pPr>
            <w:r w:rsidRPr="0071619A">
              <w:rPr>
                <w:rFonts w:cs="Arial"/>
                <w:szCs w:val="20"/>
              </w:rPr>
              <w:t>In addition, Article 58 applies now refers to “</w:t>
            </w:r>
            <w:r w:rsidRPr="0071619A">
              <w:rPr>
                <w:rFonts w:cs="Arial"/>
                <w:b/>
                <w:szCs w:val="20"/>
              </w:rPr>
              <w:t>clients</w:t>
            </w:r>
            <w:r w:rsidRPr="0071619A">
              <w:rPr>
                <w:rFonts w:cs="Arial"/>
                <w:szCs w:val="20"/>
              </w:rPr>
              <w:t>” in general, thereby amalgamating Technical Advice paragraphs 1 and 2 which refer to “professional” and “retail” clients, respectively.</w:t>
            </w:r>
          </w:p>
          <w:p w:rsidR="00487B39" w:rsidRPr="0071619A" w:rsidRDefault="00487B39" w:rsidP="0022005B">
            <w:pPr>
              <w:spacing w:after="120"/>
              <w:rPr>
                <w:rFonts w:cs="Arial"/>
                <w:szCs w:val="20"/>
              </w:rPr>
            </w:pPr>
            <w:r w:rsidRPr="0071619A">
              <w:rPr>
                <w:rFonts w:cs="Arial"/>
                <w:b/>
                <w:szCs w:val="20"/>
              </w:rPr>
              <w:t>NOTE:</w:t>
            </w:r>
            <w:r w:rsidRPr="0071619A">
              <w:rPr>
                <w:rFonts w:cs="Arial"/>
                <w:szCs w:val="20"/>
              </w:rPr>
              <w:t xml:space="preserve"> the following sentence in the original MiFID 1 Implementing Directive has not been incorporated into the Delegated Regulation:</w:t>
            </w:r>
          </w:p>
          <w:p w:rsidR="00487B39" w:rsidRPr="001E0645" w:rsidRDefault="00487B39" w:rsidP="0022005B">
            <w:pPr>
              <w:rPr>
                <w:rFonts w:cs="Arial"/>
                <w:szCs w:val="20"/>
              </w:rPr>
            </w:pPr>
            <w:r w:rsidRPr="0071619A">
              <w:rPr>
                <w:rFonts w:cs="Arial"/>
                <w:szCs w:val="20"/>
              </w:rPr>
              <w:t>“The rights and duties of the parties to the agreement may be incorporated by reference to other documents or legal texts.”</w:t>
            </w:r>
          </w:p>
        </w:tc>
      </w:tr>
      <w:tr w:rsidR="00487B39" w:rsidRPr="001E0645" w:rsidTr="0022005B">
        <w:tc>
          <w:tcPr>
            <w:tcW w:w="1772" w:type="dxa"/>
            <w:shd w:val="clear" w:color="auto" w:fill="32464D"/>
          </w:tcPr>
          <w:p w:rsidR="00487B39" w:rsidRPr="00AB4F8A" w:rsidRDefault="00487B39" w:rsidP="0022005B">
            <w:r w:rsidRPr="00487B39">
              <w:rPr>
                <w:color w:val="FFFFFF" w:themeColor="background1"/>
              </w:rPr>
              <w:t>Paragraph 4(i)</w:t>
            </w:r>
          </w:p>
        </w:tc>
        <w:tc>
          <w:tcPr>
            <w:tcW w:w="1517" w:type="dxa"/>
          </w:tcPr>
          <w:p w:rsidR="00487B39" w:rsidRPr="00AB4F8A" w:rsidRDefault="00487B39" w:rsidP="0022005B">
            <w:r w:rsidRPr="00AB4F8A">
              <w:t>N/A</w:t>
            </w:r>
          </w:p>
        </w:tc>
        <w:tc>
          <w:tcPr>
            <w:tcW w:w="1998" w:type="dxa"/>
          </w:tcPr>
          <w:p w:rsidR="00487B39" w:rsidRDefault="00487B39" w:rsidP="0022005B">
            <w:r w:rsidRPr="00AB4F8A">
              <w:t>Article 58(a)</w:t>
            </w:r>
          </w:p>
        </w:tc>
        <w:tc>
          <w:tcPr>
            <w:tcW w:w="8931" w:type="dxa"/>
            <w:shd w:val="clear" w:color="auto" w:fill="92D050"/>
          </w:tcPr>
          <w:p w:rsidR="00487B39" w:rsidRDefault="00487B39" w:rsidP="0022005B">
            <w:pPr>
              <w:spacing w:after="120"/>
            </w:pPr>
            <w:r>
              <w:t xml:space="preserve">The opening sentence in Technical Advice paragraph 4 indicates that the written basic agreement “should” set out the essential rights and obligations of the parties, while the second paragraph of Delegated Regulation Article 58 is strengthened and indicates the written agreement “shall” set </w:t>
            </w:r>
            <w:r>
              <w:lastRenderedPageBreak/>
              <w:t>out the essential rights and obligations and “</w:t>
            </w:r>
            <w:r w:rsidRPr="002D6ABA">
              <w:rPr>
                <w:b/>
              </w:rPr>
              <w:t>shall</w:t>
            </w:r>
            <w:r>
              <w:t>” include the specific descriptions and statements listed.</w:t>
            </w:r>
          </w:p>
          <w:p w:rsidR="00487B39" w:rsidRPr="00583513" w:rsidRDefault="00487B39" w:rsidP="0022005B">
            <w:r>
              <w:t>Technical Advice paragraph 4(i) is similar to Article 58(a). Paragraph 4(i) indicates that the client agreement “should” describe the nature and extent of any investment advice, while Article 58(a) indicates that this description should be provided “</w:t>
            </w:r>
            <w:r w:rsidRPr="002D6ABA">
              <w:rPr>
                <w:b/>
              </w:rPr>
              <w:t>where relevant</w:t>
            </w:r>
            <w:r>
              <w:t>”.</w:t>
            </w:r>
          </w:p>
        </w:tc>
      </w:tr>
      <w:tr w:rsidR="00487B39" w:rsidRPr="001E0645" w:rsidTr="0022005B">
        <w:tc>
          <w:tcPr>
            <w:tcW w:w="1772" w:type="dxa"/>
            <w:shd w:val="clear" w:color="auto" w:fill="32464D"/>
          </w:tcPr>
          <w:p w:rsidR="00487B39" w:rsidRPr="0071619A" w:rsidRDefault="00487B39" w:rsidP="0022005B">
            <w:pPr>
              <w:rPr>
                <w:color w:val="FFFFFF" w:themeColor="background1"/>
              </w:rPr>
            </w:pPr>
            <w:r w:rsidRPr="0071619A">
              <w:rPr>
                <w:color w:val="FFFFFF" w:themeColor="background1"/>
              </w:rPr>
              <w:lastRenderedPageBreak/>
              <w:t>Paragraph 4(ii)</w:t>
            </w:r>
          </w:p>
        </w:tc>
        <w:tc>
          <w:tcPr>
            <w:tcW w:w="1517" w:type="dxa"/>
          </w:tcPr>
          <w:p w:rsidR="00487B39" w:rsidRPr="00DA143E" w:rsidRDefault="00487B39" w:rsidP="0022005B">
            <w:r w:rsidRPr="00DA143E">
              <w:t>N/A</w:t>
            </w:r>
          </w:p>
        </w:tc>
        <w:tc>
          <w:tcPr>
            <w:tcW w:w="1998" w:type="dxa"/>
          </w:tcPr>
          <w:p w:rsidR="00487B39" w:rsidRPr="00DA143E" w:rsidRDefault="00487B39" w:rsidP="0022005B">
            <w:r w:rsidRPr="00DA143E">
              <w:t>Article 58(b)</w:t>
            </w:r>
          </w:p>
        </w:tc>
        <w:tc>
          <w:tcPr>
            <w:tcW w:w="8931" w:type="dxa"/>
            <w:shd w:val="clear" w:color="auto" w:fill="92D050"/>
          </w:tcPr>
          <w:p w:rsidR="00487B39" w:rsidRPr="00583513" w:rsidRDefault="00487B39" w:rsidP="0022005B">
            <w:r w:rsidRPr="00583513">
              <w:t>Minor changes – language tidy-up.</w:t>
            </w:r>
          </w:p>
        </w:tc>
      </w:tr>
      <w:tr w:rsidR="00487B39" w:rsidRPr="001E0645" w:rsidTr="0022005B">
        <w:tc>
          <w:tcPr>
            <w:tcW w:w="1772" w:type="dxa"/>
            <w:shd w:val="clear" w:color="auto" w:fill="32464D"/>
          </w:tcPr>
          <w:p w:rsidR="00487B39" w:rsidRPr="0071619A" w:rsidRDefault="00487B39" w:rsidP="0022005B">
            <w:pPr>
              <w:rPr>
                <w:color w:val="FFFFFF" w:themeColor="background1"/>
              </w:rPr>
            </w:pPr>
            <w:r w:rsidRPr="0071619A">
              <w:rPr>
                <w:color w:val="FFFFFF" w:themeColor="background1"/>
              </w:rPr>
              <w:t>Paragraph 4(iii)</w:t>
            </w:r>
          </w:p>
        </w:tc>
        <w:tc>
          <w:tcPr>
            <w:tcW w:w="1517" w:type="dxa"/>
          </w:tcPr>
          <w:p w:rsidR="00487B39" w:rsidRPr="00DA143E" w:rsidRDefault="00487B39" w:rsidP="0022005B">
            <w:r w:rsidRPr="00DA143E">
              <w:t>N/A</w:t>
            </w:r>
          </w:p>
        </w:tc>
        <w:tc>
          <w:tcPr>
            <w:tcW w:w="1998" w:type="dxa"/>
          </w:tcPr>
          <w:p w:rsidR="00487B39" w:rsidRDefault="00487B39" w:rsidP="0022005B">
            <w:r w:rsidRPr="00DA143E">
              <w:t>Article 58(c)</w:t>
            </w:r>
          </w:p>
        </w:tc>
        <w:tc>
          <w:tcPr>
            <w:tcW w:w="8931" w:type="dxa"/>
            <w:shd w:val="clear" w:color="auto" w:fill="92D050"/>
          </w:tcPr>
          <w:p w:rsidR="00487B39" w:rsidRDefault="00487B39" w:rsidP="0022005B">
            <w:r w:rsidRPr="00583513">
              <w:t>Minor changes – language tidy-up.</w:t>
            </w:r>
          </w:p>
        </w:tc>
      </w:tr>
      <w:tr w:rsidR="00487B39" w:rsidRPr="001E0645" w:rsidTr="0022005B">
        <w:tc>
          <w:tcPr>
            <w:tcW w:w="1772" w:type="dxa"/>
            <w:shd w:val="clear" w:color="auto" w:fill="32464D"/>
          </w:tcPr>
          <w:p w:rsidR="00487B39" w:rsidRPr="0071619A" w:rsidRDefault="00487B39" w:rsidP="0022005B">
            <w:pPr>
              <w:rPr>
                <w:rFonts w:cs="Arial"/>
                <w:color w:val="FFFFFF" w:themeColor="background1"/>
                <w:szCs w:val="20"/>
              </w:rPr>
            </w:pPr>
            <w:r w:rsidRPr="0071619A">
              <w:rPr>
                <w:rFonts w:cs="Arial"/>
                <w:color w:val="FFFFFF" w:themeColor="background1"/>
                <w:szCs w:val="20"/>
              </w:rPr>
              <w:t>Paragraph 5</w:t>
            </w:r>
          </w:p>
        </w:tc>
        <w:tc>
          <w:tcPr>
            <w:tcW w:w="1517" w:type="dxa"/>
          </w:tcPr>
          <w:p w:rsidR="00487B39" w:rsidRPr="002B1DCB" w:rsidRDefault="00487B39" w:rsidP="0022005B">
            <w:r w:rsidRPr="002B1DCB">
              <w:t>N/A</w:t>
            </w:r>
          </w:p>
        </w:tc>
        <w:tc>
          <w:tcPr>
            <w:tcW w:w="1998" w:type="dxa"/>
          </w:tcPr>
          <w:p w:rsidR="00487B39" w:rsidRDefault="00487B39" w:rsidP="0022005B">
            <w:r w:rsidRPr="002B1DCB">
              <w:t>N/A</w:t>
            </w:r>
          </w:p>
        </w:tc>
        <w:tc>
          <w:tcPr>
            <w:tcW w:w="8931" w:type="dxa"/>
            <w:shd w:val="clear" w:color="auto" w:fill="FFC000"/>
          </w:tcPr>
          <w:p w:rsidR="00487B39" w:rsidRPr="001E0645" w:rsidRDefault="00487B39" w:rsidP="0022005B">
            <w:pPr>
              <w:rPr>
                <w:rFonts w:cs="Arial"/>
                <w:szCs w:val="20"/>
              </w:rPr>
            </w:pPr>
            <w:r w:rsidRPr="0071619A">
              <w:rPr>
                <w:rFonts w:cs="Arial"/>
                <w:szCs w:val="20"/>
              </w:rPr>
              <w:t>Technical Advice paragraph 5 [indication that the Technical Advice proposals are intended to achieve a common minimum regime in the EU and that client agreements should remain a minimum harmonisation area under MiFID 2] has not been incorporated into the Delegated Regulation. This suggests that the requirements cannot be gold-plated by individual Member States.</w:t>
            </w:r>
          </w:p>
        </w:tc>
      </w:tr>
    </w:tbl>
    <w:p w:rsidR="00CA2528" w:rsidRDefault="00CA2528">
      <w:pPr>
        <w:rPr>
          <w:rFonts w:cs="Arial"/>
          <w:szCs w:val="20"/>
        </w:rPr>
      </w:pPr>
    </w:p>
    <w:p w:rsidR="00FF4409" w:rsidRDefault="00FF4409">
      <w:pPr>
        <w:spacing w:after="200" w:line="276" w:lineRule="auto"/>
        <w:rPr>
          <w:rFonts w:cs="Arial"/>
          <w:szCs w:val="20"/>
        </w:rPr>
        <w:sectPr w:rsidR="00FF4409" w:rsidSect="00CB058A">
          <w:headerReference w:type="default" r:id="rId10"/>
          <w:footerReference w:type="even" r:id="rId11"/>
          <w:footerReference w:type="default" r:id="rId12"/>
          <w:footerReference w:type="first" r:id="rId13"/>
          <w:pgSz w:w="16838" w:h="11906" w:orient="landscape" w:code="9"/>
          <w:pgMar w:top="1418" w:right="1418" w:bottom="1418" w:left="1418" w:header="709" w:footer="709" w:gutter="0"/>
          <w:cols w:space="708"/>
          <w:docGrid w:linePitch="360"/>
        </w:sectPr>
      </w:pPr>
    </w:p>
    <w:p w:rsidR="008674A1" w:rsidRPr="00CA2528" w:rsidRDefault="008674A1" w:rsidP="008674A1">
      <w:pPr>
        <w:pStyle w:val="ssPara1"/>
        <w:jc w:val="center"/>
        <w:rPr>
          <w:b/>
        </w:rPr>
      </w:pPr>
      <w:r w:rsidRPr="00CA2528">
        <w:rPr>
          <w:b/>
        </w:rPr>
        <w:lastRenderedPageBreak/>
        <w:t>Client Agreements</w:t>
      </w:r>
    </w:p>
    <w:p w:rsidR="008674A1" w:rsidRDefault="008674A1" w:rsidP="008674A1">
      <w:pPr>
        <w:pStyle w:val="ssPara1"/>
        <w:jc w:val="center"/>
        <w:rPr>
          <w:b/>
        </w:rPr>
      </w:pPr>
      <w:r w:rsidRPr="00CA2528">
        <w:rPr>
          <w:b/>
        </w:rPr>
        <w:t>Technical Advice</w:t>
      </w:r>
    </w:p>
    <w:p w:rsidR="008674A1" w:rsidRPr="00CA2528" w:rsidRDefault="008674A1" w:rsidP="008674A1">
      <w:pPr>
        <w:pStyle w:val="ssRestartNumber"/>
      </w:pPr>
    </w:p>
    <w:p w:rsidR="008674A1" w:rsidRPr="00953C5E" w:rsidRDefault="008674A1" w:rsidP="008674A1">
      <w:pPr>
        <w:pStyle w:val="ssNoHeading1"/>
      </w:pPr>
      <w:r w:rsidRPr="00953C5E">
        <w:t>The content of Article 39 of the MiFID Implementing Directive should be modified in the areas below.</w:t>
      </w:r>
    </w:p>
    <w:p w:rsidR="008674A1" w:rsidRPr="00953C5E" w:rsidRDefault="008674A1" w:rsidP="008674A1">
      <w:pPr>
        <w:pStyle w:val="ssNoHeading1"/>
      </w:pPr>
      <w:r w:rsidRPr="00953C5E">
        <w:t>Investment firms providing any investment service or the ancillary service specified in Annex I, Section B(1) of MiFID II</w:t>
      </w:r>
      <w:r w:rsidRPr="00CA2528">
        <w:rPr>
          <w:vertAlign w:val="superscript"/>
        </w:rPr>
        <w:footnoteReference w:id="1"/>
      </w:r>
      <w:r w:rsidRPr="00953C5E">
        <w:t xml:space="preserve"> to a new professional client after the date of application of MiFID II should enter into a written agreement, in paper or another durable medium, with the client setting out the essential right and obligations of the firm and the client. When investment advice is provided, this obligation should only apply where a periodic assessment of the suitability of the financial instruments recommended is provided to the professional client. </w:t>
      </w:r>
    </w:p>
    <w:p w:rsidR="008674A1" w:rsidRPr="00953C5E" w:rsidRDefault="008674A1" w:rsidP="008674A1">
      <w:pPr>
        <w:pStyle w:val="ssNoHeading1"/>
      </w:pPr>
      <w:r w:rsidRPr="00953C5E">
        <w:t xml:space="preserve">In addition to requirements established by Article 39 of the MiFID Implementing Directive, investment firms should enter into a written agreement with retail clients when providing (i) the service of investment advice (except when the investment firm does not provide a periodic assessment of the suitability of the financial instruments recommended to the client), and (ii) the ancillary service mentioned in Annex I, Section B(1) of MiFID II. </w:t>
      </w:r>
    </w:p>
    <w:p w:rsidR="008674A1" w:rsidRPr="00953C5E" w:rsidRDefault="008674A1" w:rsidP="008674A1">
      <w:pPr>
        <w:pStyle w:val="ssNoHeading1"/>
      </w:pPr>
      <w:r w:rsidRPr="00953C5E">
        <w:t xml:space="preserve">The written basic agreement should set out the “essential rights and obligations” of the parties including the following: </w:t>
      </w:r>
    </w:p>
    <w:p w:rsidR="008674A1" w:rsidRPr="00953C5E" w:rsidRDefault="008674A1" w:rsidP="008674A1">
      <w:pPr>
        <w:pStyle w:val="ssPara2"/>
        <w:numPr>
          <w:ilvl w:val="0"/>
          <w:numId w:val="30"/>
        </w:numPr>
        <w:ind w:hanging="709"/>
      </w:pPr>
      <w:r w:rsidRPr="00953C5E">
        <w:t xml:space="preserve">the client agreement should describe the nature and extent of any investment advice services to be provided; </w:t>
      </w:r>
    </w:p>
    <w:p w:rsidR="008674A1" w:rsidRPr="00953C5E" w:rsidRDefault="008674A1" w:rsidP="008674A1">
      <w:pPr>
        <w:pStyle w:val="ssPara2"/>
        <w:numPr>
          <w:ilvl w:val="0"/>
          <w:numId w:val="30"/>
        </w:numPr>
        <w:ind w:hanging="709"/>
      </w:pPr>
      <w:r w:rsidRPr="00953C5E">
        <w:t xml:space="preserve">the client agreement should state the types of financial instruments that may be purchased and sold and the types of transactions that may be undertaken on behalf of the client, as well as any instruments or transactions prohibited, in the context of any portfolio management services to be provided; and </w:t>
      </w:r>
    </w:p>
    <w:p w:rsidR="008674A1" w:rsidRPr="00953C5E" w:rsidRDefault="008674A1" w:rsidP="008674A1">
      <w:pPr>
        <w:pStyle w:val="ssPara2"/>
        <w:numPr>
          <w:ilvl w:val="0"/>
          <w:numId w:val="30"/>
        </w:numPr>
        <w:ind w:hanging="709"/>
      </w:pPr>
      <w:r w:rsidRPr="00953C5E">
        <w:t xml:space="preserve">the client agreement should describe the main features of any custody services to be provided, including where applicable the role of the firm with respect to corporate actions relating to client securities and the terms on which securities financing transactions involving client securities will generate a return for the client. </w:t>
      </w:r>
    </w:p>
    <w:p w:rsidR="008674A1" w:rsidRPr="00953C5E" w:rsidRDefault="008674A1" w:rsidP="008674A1">
      <w:pPr>
        <w:pStyle w:val="ssNoHeading1"/>
      </w:pPr>
      <w:r w:rsidRPr="00953C5E">
        <w:t>The proposals above are intended to achieve a common minimum regime in the European Union. ESMA considers that client agreements should remain a minimum harmonisation area under MiFID II.</w:t>
      </w:r>
    </w:p>
    <w:p w:rsidR="008674A1" w:rsidRPr="00953C5E" w:rsidRDefault="008674A1" w:rsidP="008674A1">
      <w:pPr>
        <w:pStyle w:val="ssPara1"/>
      </w:pPr>
    </w:p>
    <w:p w:rsidR="008674A1" w:rsidRDefault="008674A1" w:rsidP="00CA2528">
      <w:pPr>
        <w:pStyle w:val="ssPara1"/>
        <w:jc w:val="center"/>
        <w:rPr>
          <w:b/>
        </w:rPr>
      </w:pPr>
      <w:r>
        <w:rPr>
          <w:b/>
        </w:rPr>
        <w:br/>
      </w:r>
      <w:r>
        <w:rPr>
          <w:b/>
        </w:rPr>
        <w:br/>
      </w:r>
    </w:p>
    <w:p w:rsidR="008674A1" w:rsidRDefault="008674A1">
      <w:pPr>
        <w:jc w:val="left"/>
        <w:rPr>
          <w:b/>
        </w:rPr>
      </w:pPr>
      <w:r>
        <w:rPr>
          <w:b/>
        </w:rPr>
        <w:br w:type="page"/>
      </w:r>
    </w:p>
    <w:p w:rsidR="00CA2528" w:rsidRPr="00CA2528" w:rsidRDefault="00CA2528" w:rsidP="00CA2528">
      <w:pPr>
        <w:pStyle w:val="ssPara1"/>
        <w:jc w:val="center"/>
        <w:rPr>
          <w:b/>
        </w:rPr>
      </w:pPr>
      <w:r w:rsidRPr="00CA2528">
        <w:rPr>
          <w:b/>
        </w:rPr>
        <w:lastRenderedPageBreak/>
        <w:t>Client Agreements</w:t>
      </w:r>
    </w:p>
    <w:p w:rsidR="00CA2528" w:rsidRPr="00CA2528" w:rsidRDefault="00CA2528" w:rsidP="00CA2528">
      <w:pPr>
        <w:pStyle w:val="ssPara1"/>
        <w:jc w:val="center"/>
        <w:rPr>
          <w:b/>
        </w:rPr>
      </w:pPr>
      <w:r w:rsidRPr="00CA2528">
        <w:rPr>
          <w:b/>
        </w:rPr>
        <w:t>Delegated Regulation</w:t>
      </w:r>
    </w:p>
    <w:p w:rsidR="00CA2528" w:rsidRPr="00CA2528" w:rsidRDefault="00CA2528" w:rsidP="00CA2528">
      <w:pPr>
        <w:pStyle w:val="ssPara1"/>
        <w:jc w:val="center"/>
        <w:rPr>
          <w:b/>
        </w:rPr>
      </w:pPr>
      <w:r w:rsidRPr="00CA2528">
        <w:rPr>
          <w:b/>
        </w:rPr>
        <w:t>Article 58</w:t>
      </w:r>
    </w:p>
    <w:p w:rsidR="00CA2528" w:rsidRPr="00CA2528" w:rsidRDefault="00CA2528" w:rsidP="00CA2528">
      <w:pPr>
        <w:pStyle w:val="ssPara1"/>
        <w:jc w:val="center"/>
        <w:rPr>
          <w:b/>
        </w:rPr>
      </w:pPr>
      <w:r w:rsidRPr="00CA2528">
        <w:rPr>
          <w:b/>
        </w:rPr>
        <w:t>(Article 24(1) and 25(5) of Directive 2014/65/EU)</w:t>
      </w:r>
    </w:p>
    <w:p w:rsidR="00CA2528" w:rsidRPr="00953C5E" w:rsidRDefault="00CA2528" w:rsidP="00CA2528">
      <w:pPr>
        <w:pStyle w:val="ssPara1"/>
      </w:pPr>
      <w:r w:rsidRPr="00953C5E">
        <w:t>Investment firms providing any investment service or the ancillary service referred to in Section B(1) of Annex I to Directive 2014/65/EC to a client after the date of application of this Regulation shall enter into a written basic agreement with the client, in paper or another durable medium, with the client setting out the essential rights and obligations of the firm and the client. Investment firms providing investment advice shall comply with this obligation only where a periodic assessment of the suitability of the financial instruments or services recommended is performed.</w:t>
      </w:r>
    </w:p>
    <w:p w:rsidR="00CA2528" w:rsidRPr="00953C5E" w:rsidRDefault="00CA2528" w:rsidP="00CA2528">
      <w:pPr>
        <w:pStyle w:val="ssPara1"/>
      </w:pPr>
      <w:r w:rsidRPr="00953C5E">
        <w:t>The written agreement shall set out the essential rights and obligations of the parties, and shall include the following:</w:t>
      </w:r>
    </w:p>
    <w:p w:rsidR="00CA2528" w:rsidRPr="00953C5E" w:rsidRDefault="00CA2528" w:rsidP="00CA2528">
      <w:pPr>
        <w:pStyle w:val="ssNoHeading3"/>
      </w:pPr>
      <w:r w:rsidRPr="00953C5E">
        <w:t>a description of the services, and where relevant the nature and extent of the investment advice, to be provided;</w:t>
      </w:r>
    </w:p>
    <w:p w:rsidR="00CA2528" w:rsidRPr="00953C5E" w:rsidRDefault="00CA2528" w:rsidP="00CA2528">
      <w:pPr>
        <w:pStyle w:val="ssNoHeading3"/>
      </w:pPr>
      <w:r w:rsidRPr="00953C5E">
        <w:t>in case of portfolio management services, the types of financial instruments that may be purchased and sold and the types of transactions that may be undertaken on behalf of the client, as well as any instruments or transactions prohibited; and</w:t>
      </w:r>
    </w:p>
    <w:p w:rsidR="00CA2528" w:rsidRPr="00953C5E" w:rsidRDefault="00CA2528" w:rsidP="00CA2528">
      <w:pPr>
        <w:pStyle w:val="ssNoHeading3"/>
        <w:rPr>
          <w:b/>
        </w:rPr>
      </w:pPr>
      <w:r w:rsidRPr="00953C5E">
        <w:t>a description of the main features of any services referred to in Section B(1) of Annex I to Directive 2014/65/EC to be provided, including where applicable the role of the firm with respect to corporate actions relating to client instruments and the terms on which securities financing transactions involving client securities will generate a return for the client</w:t>
      </w:r>
      <w:r w:rsidRPr="00953C5E">
        <w:rPr>
          <w:b/>
        </w:rPr>
        <w:t>.</w:t>
      </w:r>
    </w:p>
    <w:p w:rsidR="00CA2528" w:rsidRPr="00953C5E" w:rsidRDefault="00CA2528" w:rsidP="00CA2528">
      <w:pPr>
        <w:pStyle w:val="ssPara1"/>
      </w:pPr>
      <w:r w:rsidRPr="00953C5E">
        <w:br w:type="page"/>
      </w:r>
    </w:p>
    <w:sectPr w:rsidR="00CA2528" w:rsidRPr="00953C5E" w:rsidSect="00FF4409">
      <w:footerReference w:type="even" r:id="rId14"/>
      <w:footerReference w:type="default" r:id="rId15"/>
      <w:footerReference w:type="firs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C53" w:rsidRDefault="006E0C53" w:rsidP="00CA2528">
      <w:r>
        <w:separator/>
      </w:r>
    </w:p>
  </w:endnote>
  <w:endnote w:type="continuationSeparator" w:id="0">
    <w:p w:rsidR="006E0C53" w:rsidRDefault="006E0C53" w:rsidP="00CA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xpert Sans Regular">
    <w:altName w:val="Courier New"/>
    <w:panose1 w:val="00000000000000000000"/>
    <w:charset w:val="00"/>
    <w:family w:val="auto"/>
    <w:notTrueType/>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E63" w:rsidRPr="007B598B" w:rsidRDefault="00487B39" w:rsidP="007B598B">
    <w:pPr>
      <w:pStyle w:val="Footer"/>
      <w:tabs>
        <w:tab w:val="clear" w:pos="4513"/>
        <w:tab w:val="clear" w:pos="9026"/>
        <w:tab w:val="center" w:pos="7000"/>
        <w:tab w:val="right" w:pos="14020"/>
      </w:tabs>
      <w:rPr>
        <w:sz w:val="12"/>
      </w:rPr>
    </w:pPr>
    <w:bookmarkStart w:id="1" w:name="bmkDocRef1_3"/>
    <w:r>
      <w:rPr>
        <w:sz w:val="12"/>
      </w:rPr>
      <w:t>FMFS/072735-00007/CXMS/SJWA</w:t>
    </w:r>
    <w:bookmarkEnd w:id="1"/>
    <w:r w:rsidR="007B598B" w:rsidRPr="007B598B">
      <w:rPr>
        <w:sz w:val="12"/>
      </w:rPr>
      <w:t xml:space="preserve">  </w:t>
    </w:r>
    <w:bookmarkStart w:id="2" w:name="bmkAsset1_3"/>
    <w:r>
      <w:rPr>
        <w:sz w:val="12"/>
      </w:rPr>
      <w:t>SJWA(LDN7W20998)</w:t>
    </w:r>
    <w:bookmarkEnd w:id="2"/>
    <w:r w:rsidR="007B598B">
      <w:tab/>
    </w:r>
    <w:r w:rsidR="007B598B">
      <w:fldChar w:fldCharType="begin"/>
    </w:r>
    <w:r w:rsidR="007B598B">
      <w:instrText xml:space="preserve"> PAGE  \* MERGEFORMAT </w:instrText>
    </w:r>
    <w:r w:rsidR="007B598B">
      <w:fldChar w:fldCharType="separate"/>
    </w:r>
    <w:r w:rsidR="007B598B">
      <w:rPr>
        <w:noProof/>
      </w:rPr>
      <w:t>1</w:t>
    </w:r>
    <w:r w:rsidR="007B598B">
      <w:fldChar w:fldCharType="end"/>
    </w:r>
    <w:r w:rsidR="007B598B" w:rsidRPr="007B598B">
      <w:rPr>
        <w:sz w:val="12"/>
      </w:rPr>
      <w:tab/>
    </w:r>
    <w:bookmarkStart w:id="3" w:name="bmkDocID1_3"/>
    <w:r>
      <w:rPr>
        <w:sz w:val="12"/>
      </w:rPr>
      <w:t>L_LIVE_EMEA1:33778861v1</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53FC" w:rsidRPr="007B598B" w:rsidRDefault="00487B39" w:rsidP="007B598B">
    <w:pPr>
      <w:pStyle w:val="Footer"/>
      <w:tabs>
        <w:tab w:val="clear" w:pos="4513"/>
        <w:tab w:val="clear" w:pos="9026"/>
        <w:tab w:val="center" w:pos="7000"/>
        <w:tab w:val="right" w:pos="14020"/>
      </w:tabs>
      <w:rPr>
        <w:sz w:val="12"/>
      </w:rPr>
    </w:pPr>
    <w:bookmarkStart w:id="4" w:name="bmkDocRef1_1"/>
    <w:r>
      <w:rPr>
        <w:sz w:val="12"/>
      </w:rPr>
      <w:t>FMFS/072735-00007/CXMS/SJWA</w:t>
    </w:r>
    <w:bookmarkEnd w:id="4"/>
    <w:r w:rsidR="007B598B" w:rsidRPr="007B598B">
      <w:rPr>
        <w:sz w:val="12"/>
      </w:rPr>
      <w:t xml:space="preserve">  </w:t>
    </w:r>
    <w:bookmarkStart w:id="5" w:name="bmkAsset1_1"/>
    <w:r>
      <w:rPr>
        <w:sz w:val="12"/>
      </w:rPr>
      <w:t>SJWA(LDN7W20998)</w:t>
    </w:r>
    <w:bookmarkEnd w:id="5"/>
    <w:r w:rsidR="007B598B">
      <w:tab/>
    </w:r>
    <w:r w:rsidR="007B598B">
      <w:fldChar w:fldCharType="begin"/>
    </w:r>
    <w:r w:rsidR="007B598B">
      <w:instrText xml:space="preserve"> PAGE  \* MERGEFORMAT </w:instrText>
    </w:r>
    <w:r w:rsidR="007B598B">
      <w:fldChar w:fldCharType="separate"/>
    </w:r>
    <w:r>
      <w:rPr>
        <w:noProof/>
      </w:rPr>
      <w:t>1</w:t>
    </w:r>
    <w:r w:rsidR="007B598B">
      <w:fldChar w:fldCharType="end"/>
    </w:r>
    <w:r w:rsidR="007B598B" w:rsidRPr="007B598B">
      <w:rPr>
        <w:sz w:val="12"/>
      </w:rPr>
      <w:tab/>
    </w:r>
    <w:bookmarkStart w:id="6" w:name="bmkDocID1_1"/>
    <w:r>
      <w:rPr>
        <w:sz w:val="12"/>
      </w:rPr>
      <w:t>L_LIVE_EMEA1:33778861v1</w:t>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E63" w:rsidRPr="007B598B" w:rsidRDefault="00487B39" w:rsidP="007B598B">
    <w:pPr>
      <w:pStyle w:val="Footer"/>
      <w:tabs>
        <w:tab w:val="clear" w:pos="4513"/>
        <w:tab w:val="clear" w:pos="9026"/>
        <w:tab w:val="center" w:pos="7000"/>
        <w:tab w:val="right" w:pos="14020"/>
      </w:tabs>
      <w:rPr>
        <w:sz w:val="12"/>
      </w:rPr>
    </w:pPr>
    <w:bookmarkStart w:id="7" w:name="bmkDocRef1_2"/>
    <w:r>
      <w:rPr>
        <w:sz w:val="12"/>
      </w:rPr>
      <w:t>FMFS/072735-00007/CXMS/SJWA</w:t>
    </w:r>
    <w:bookmarkEnd w:id="7"/>
    <w:r w:rsidR="007B598B" w:rsidRPr="007B598B">
      <w:rPr>
        <w:sz w:val="12"/>
      </w:rPr>
      <w:t xml:space="preserve">  </w:t>
    </w:r>
    <w:bookmarkStart w:id="8" w:name="bmkAsset1_2"/>
    <w:r>
      <w:rPr>
        <w:sz w:val="12"/>
      </w:rPr>
      <w:t>SJWA(LDN7W20998)</w:t>
    </w:r>
    <w:bookmarkEnd w:id="8"/>
    <w:r w:rsidR="007B598B">
      <w:tab/>
    </w:r>
    <w:r w:rsidR="007B598B">
      <w:fldChar w:fldCharType="begin"/>
    </w:r>
    <w:r w:rsidR="007B598B">
      <w:instrText xml:space="preserve"> PAGE  \* MERGEFORMAT </w:instrText>
    </w:r>
    <w:r w:rsidR="007B598B">
      <w:fldChar w:fldCharType="separate"/>
    </w:r>
    <w:r w:rsidR="007B598B">
      <w:rPr>
        <w:noProof/>
      </w:rPr>
      <w:t>1</w:t>
    </w:r>
    <w:r w:rsidR="007B598B">
      <w:fldChar w:fldCharType="end"/>
    </w:r>
    <w:r w:rsidR="007B598B" w:rsidRPr="007B598B">
      <w:rPr>
        <w:sz w:val="12"/>
      </w:rPr>
      <w:tab/>
    </w:r>
    <w:bookmarkStart w:id="9" w:name="bmkDocID1_2"/>
    <w:r>
      <w:rPr>
        <w:sz w:val="12"/>
      </w:rPr>
      <w:t>L_LIVE_EMEA1:33778861v1</w:t>
    </w:r>
    <w:bookmarkEnd w:id="9"/>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8B" w:rsidRPr="007B598B" w:rsidRDefault="00487B39" w:rsidP="007B598B">
    <w:pPr>
      <w:pStyle w:val="Footer"/>
      <w:tabs>
        <w:tab w:val="clear" w:pos="4513"/>
        <w:tab w:val="clear" w:pos="9026"/>
        <w:tab w:val="center" w:pos="4540"/>
        <w:tab w:val="right" w:pos="9100"/>
      </w:tabs>
      <w:rPr>
        <w:sz w:val="12"/>
      </w:rPr>
    </w:pPr>
    <w:bookmarkStart w:id="10" w:name="bmkDocRef2_3"/>
    <w:r>
      <w:rPr>
        <w:sz w:val="12"/>
      </w:rPr>
      <w:t>FMFS/072735-00007/CXMS/SJWA</w:t>
    </w:r>
    <w:bookmarkEnd w:id="10"/>
    <w:r w:rsidR="007B598B" w:rsidRPr="007B598B">
      <w:rPr>
        <w:sz w:val="12"/>
      </w:rPr>
      <w:t xml:space="preserve">  </w:t>
    </w:r>
    <w:bookmarkStart w:id="11" w:name="bmkAsset2_3"/>
    <w:r>
      <w:rPr>
        <w:sz w:val="12"/>
      </w:rPr>
      <w:t>SJWA(LDN7W20998)</w:t>
    </w:r>
    <w:bookmarkEnd w:id="11"/>
    <w:r w:rsidR="007B598B">
      <w:tab/>
    </w:r>
    <w:r w:rsidR="007B598B">
      <w:fldChar w:fldCharType="begin"/>
    </w:r>
    <w:r w:rsidR="007B598B">
      <w:instrText xml:space="preserve"> PAGE  \* MERGEFORMAT </w:instrText>
    </w:r>
    <w:r w:rsidR="007B598B">
      <w:fldChar w:fldCharType="separate"/>
    </w:r>
    <w:r w:rsidR="007B598B">
      <w:rPr>
        <w:noProof/>
      </w:rPr>
      <w:t>2</w:t>
    </w:r>
    <w:r w:rsidR="007B598B">
      <w:fldChar w:fldCharType="end"/>
    </w:r>
    <w:r w:rsidR="007B598B" w:rsidRPr="007B598B">
      <w:rPr>
        <w:sz w:val="12"/>
      </w:rPr>
      <w:tab/>
    </w:r>
    <w:bookmarkStart w:id="12" w:name="bmkDocID2_3"/>
    <w:r>
      <w:rPr>
        <w:sz w:val="12"/>
      </w:rPr>
      <w:t>L_LIVE_EMEA1:33778861v1</w:t>
    </w:r>
    <w:bookmarkEnd w:id="12"/>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8B" w:rsidRPr="007B598B" w:rsidRDefault="00487B39" w:rsidP="007B598B">
    <w:pPr>
      <w:pStyle w:val="Footer"/>
      <w:tabs>
        <w:tab w:val="clear" w:pos="4513"/>
        <w:tab w:val="clear" w:pos="9026"/>
        <w:tab w:val="center" w:pos="4540"/>
        <w:tab w:val="right" w:pos="9100"/>
      </w:tabs>
      <w:rPr>
        <w:sz w:val="12"/>
      </w:rPr>
    </w:pPr>
    <w:bookmarkStart w:id="13" w:name="bmkDocRef2_1"/>
    <w:r>
      <w:rPr>
        <w:sz w:val="12"/>
      </w:rPr>
      <w:t>FMFS/072735-00007/CXMS/SJWA</w:t>
    </w:r>
    <w:bookmarkEnd w:id="13"/>
    <w:r w:rsidR="007B598B" w:rsidRPr="007B598B">
      <w:rPr>
        <w:sz w:val="12"/>
      </w:rPr>
      <w:t xml:space="preserve">  </w:t>
    </w:r>
    <w:bookmarkStart w:id="14" w:name="bmkAsset2_1"/>
    <w:r>
      <w:rPr>
        <w:sz w:val="12"/>
      </w:rPr>
      <w:t>SJWA(LDN7W20998)</w:t>
    </w:r>
    <w:bookmarkEnd w:id="14"/>
    <w:r w:rsidR="007B598B">
      <w:tab/>
    </w:r>
    <w:r w:rsidR="007B598B">
      <w:fldChar w:fldCharType="begin"/>
    </w:r>
    <w:r w:rsidR="007B598B">
      <w:instrText xml:space="preserve"> PAGE  \* MERGEFORMAT </w:instrText>
    </w:r>
    <w:r w:rsidR="007B598B">
      <w:fldChar w:fldCharType="separate"/>
    </w:r>
    <w:r>
      <w:rPr>
        <w:noProof/>
      </w:rPr>
      <w:t>3</w:t>
    </w:r>
    <w:r w:rsidR="007B598B">
      <w:fldChar w:fldCharType="end"/>
    </w:r>
    <w:r w:rsidR="007B598B" w:rsidRPr="007B598B">
      <w:rPr>
        <w:sz w:val="12"/>
      </w:rPr>
      <w:tab/>
    </w:r>
    <w:bookmarkStart w:id="15" w:name="bmkDocID2_1"/>
    <w:r>
      <w:rPr>
        <w:sz w:val="12"/>
      </w:rPr>
      <w:t>L_LIVE_EMEA1:33778861v1</w:t>
    </w:r>
    <w:bookmarkEnd w:id="15"/>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98B" w:rsidRPr="007B598B" w:rsidRDefault="00487B39" w:rsidP="007B598B">
    <w:pPr>
      <w:pStyle w:val="Footer"/>
      <w:tabs>
        <w:tab w:val="clear" w:pos="4513"/>
        <w:tab w:val="clear" w:pos="9026"/>
        <w:tab w:val="center" w:pos="4540"/>
        <w:tab w:val="right" w:pos="9100"/>
      </w:tabs>
      <w:rPr>
        <w:sz w:val="12"/>
      </w:rPr>
    </w:pPr>
    <w:bookmarkStart w:id="16" w:name="bmkDocRef2_2"/>
    <w:r>
      <w:rPr>
        <w:sz w:val="12"/>
      </w:rPr>
      <w:t>FMFS/072735-00007/CXMS/SJWA</w:t>
    </w:r>
    <w:bookmarkEnd w:id="16"/>
    <w:r w:rsidR="007B598B" w:rsidRPr="007B598B">
      <w:rPr>
        <w:sz w:val="12"/>
      </w:rPr>
      <w:t xml:space="preserve">  </w:t>
    </w:r>
    <w:bookmarkStart w:id="17" w:name="bmkAsset2_2"/>
    <w:r>
      <w:rPr>
        <w:sz w:val="12"/>
      </w:rPr>
      <w:t>SJWA(LDN7W20998)</w:t>
    </w:r>
    <w:bookmarkEnd w:id="17"/>
    <w:r w:rsidR="007B598B">
      <w:tab/>
    </w:r>
    <w:r w:rsidR="007B598B">
      <w:fldChar w:fldCharType="begin"/>
    </w:r>
    <w:r w:rsidR="007B598B">
      <w:instrText xml:space="preserve"> PAGE  \* MERGEFORMAT </w:instrText>
    </w:r>
    <w:r w:rsidR="007B598B">
      <w:fldChar w:fldCharType="separate"/>
    </w:r>
    <w:r w:rsidR="007B598B">
      <w:rPr>
        <w:noProof/>
      </w:rPr>
      <w:t>2</w:t>
    </w:r>
    <w:r w:rsidR="007B598B">
      <w:fldChar w:fldCharType="end"/>
    </w:r>
    <w:r w:rsidR="007B598B" w:rsidRPr="007B598B">
      <w:rPr>
        <w:sz w:val="12"/>
      </w:rPr>
      <w:tab/>
    </w:r>
    <w:bookmarkStart w:id="18" w:name="bmkDocID2_2"/>
    <w:r>
      <w:rPr>
        <w:sz w:val="12"/>
      </w:rPr>
      <w:t>L_LIVE_EMEA1:33778861v1</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C53" w:rsidRDefault="006E0C53" w:rsidP="00CA2528">
      <w:r>
        <w:separator/>
      </w:r>
    </w:p>
  </w:footnote>
  <w:footnote w:type="continuationSeparator" w:id="0">
    <w:p w:rsidR="006E0C53" w:rsidRDefault="006E0C53" w:rsidP="00CA2528">
      <w:r>
        <w:continuationSeparator/>
      </w:r>
    </w:p>
  </w:footnote>
  <w:footnote w:id="1">
    <w:p w:rsidR="008674A1" w:rsidRDefault="008674A1" w:rsidP="008674A1">
      <w:r w:rsidRPr="00CA2528">
        <w:rPr>
          <w:vertAlign w:val="superscript"/>
        </w:rPr>
        <w:footnoteRef/>
      </w:r>
      <w:r>
        <w:t xml:space="preserve"> </w:t>
      </w:r>
      <w:r>
        <w:rPr>
          <w:sz w:val="16"/>
          <w:szCs w:val="16"/>
        </w:rPr>
        <w:t xml:space="preserve">MiFID II Annex I Section B: “(1) </w:t>
      </w:r>
      <w:r>
        <w:rPr>
          <w:i/>
          <w:iCs/>
          <w:sz w:val="16"/>
          <w:szCs w:val="16"/>
        </w:rPr>
        <w:t>Safekeeping and administration of financial instruments for the account of clients, including custodianship and related services such as cash/collateral management and excluding maintaining securities accounts at the top tier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1B82" w:rsidRDefault="00751B82" w:rsidP="00A7460B">
    <w:pPr>
      <w:jc w:val="right"/>
      <w:rPr>
        <w:rFonts w:cs="Arial"/>
        <w:sz w:val="16"/>
        <w:szCs w:val="16"/>
      </w:rPr>
    </w:pPr>
    <w:r>
      <w:rPr>
        <w:rFonts w:cs="Arial"/>
        <w:noProof/>
        <w:sz w:val="16"/>
        <w:szCs w:val="16"/>
        <w:lang w:eastAsia="en-GB"/>
      </w:rPr>
      <w:drawing>
        <wp:inline distT="0" distB="0" distL="0" distR="0" wp14:anchorId="23A74DC4" wp14:editId="645F2826">
          <wp:extent cx="2505673" cy="60965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ID2 Manager logo.png"/>
                  <pic:cNvPicPr/>
                </pic:nvPicPr>
                <pic:blipFill>
                  <a:blip r:embed="rId1">
                    <a:extLst>
                      <a:ext uri="{28A0092B-C50C-407E-A947-70E740481C1C}">
                        <a14:useLocalDpi xmlns:a14="http://schemas.microsoft.com/office/drawing/2010/main" val="0"/>
                      </a:ext>
                    </a:extLst>
                  </a:blip>
                  <a:stretch>
                    <a:fillRect/>
                  </a:stretch>
                </pic:blipFill>
                <pic:spPr>
                  <a:xfrm>
                    <a:off x="0" y="0"/>
                    <a:ext cx="2505673" cy="609653"/>
                  </a:xfrm>
                  <a:prstGeom prst="rect">
                    <a:avLst/>
                  </a:prstGeom>
                </pic:spPr>
              </pic:pic>
            </a:graphicData>
          </a:graphic>
        </wp:inline>
      </w:drawing>
    </w:r>
  </w:p>
  <w:p w:rsidR="00A7460B" w:rsidRPr="00A7460B" w:rsidRDefault="00487B39" w:rsidP="00A7460B">
    <w:pPr>
      <w:jc w:val="right"/>
      <w:rPr>
        <w:rFonts w:cs="Arial"/>
        <w:sz w:val="16"/>
        <w:szCs w:val="16"/>
      </w:rPr>
    </w:pPr>
    <w:r>
      <w:rPr>
        <w:rFonts w:cs="Arial"/>
        <w:sz w:val="16"/>
        <w:szCs w:val="16"/>
      </w:rPr>
      <w:t>20 June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F0DF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41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894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92C9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A076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0EBD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F694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DE58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5C27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E9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A3027"/>
    <w:multiLevelType w:val="multilevel"/>
    <w:tmpl w:val="3650ECEA"/>
    <w:name w:val="Schedule"/>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6941B78"/>
    <w:multiLevelType w:val="multilevel"/>
    <w:tmpl w:val="904EA4D2"/>
    <w:name w:val="Part"/>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CFD6BC0"/>
    <w:multiLevelType w:val="multilevel"/>
    <w:tmpl w:val="AF0AC594"/>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552"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74A6C09"/>
    <w:multiLevelType w:val="multilevel"/>
    <w:tmpl w:val="2E528D2A"/>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283"/>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7517FE3"/>
    <w:multiLevelType w:val="hybridMultilevel"/>
    <w:tmpl w:val="08306C7A"/>
    <w:lvl w:ilvl="0" w:tplc="8BCC8B04">
      <w:start w:val="1"/>
      <w:numFmt w:val="lowerRoman"/>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2C087586"/>
    <w:multiLevelType w:val="multilevel"/>
    <w:tmpl w:val="0409001D"/>
    <w:name w:val="Simmons&amp;Simmons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92269D"/>
    <w:multiLevelType w:val="multilevel"/>
    <w:tmpl w:val="FAD8ED8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5232DDC"/>
    <w:multiLevelType w:val="multilevel"/>
    <w:tmpl w:val="0409001D"/>
    <w:name w:val="Simmons&amp;Simmon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BB5FBE"/>
    <w:multiLevelType w:val="multilevel"/>
    <w:tmpl w:val="93FE0BF6"/>
    <w:name w:val="Appendix"/>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8F96FE3"/>
    <w:multiLevelType w:val="multilevel"/>
    <w:tmpl w:val="DEEEF714"/>
    <w:name w:val="Exhibit"/>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90B0FE2"/>
    <w:multiLevelType w:val="multilevel"/>
    <w:tmpl w:val="0409001D"/>
    <w:name w:val="Simmons&amp;Simmons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055996"/>
    <w:multiLevelType w:val="multilevel"/>
    <w:tmpl w:val="3EA809C4"/>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47D03AF3"/>
    <w:multiLevelType w:val="multilevel"/>
    <w:tmpl w:val="30C6A426"/>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985"/>
        </w:tabs>
        <w:ind w:left="1985" w:hanging="567"/>
      </w:pPr>
      <w:rPr>
        <w:rFonts w:hint="default"/>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F1A6F9C"/>
    <w:multiLevelType w:val="multilevel"/>
    <w:tmpl w:val="0409001D"/>
    <w:name w:val="Simmons&amp;Simmon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E670E2"/>
    <w:multiLevelType w:val="multilevel"/>
    <w:tmpl w:val="89806CD0"/>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8F558E0"/>
    <w:multiLevelType w:val="multilevel"/>
    <w:tmpl w:val="0BCCCE9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suff w:val="nothing"/>
      <w:lvlText w:val="(%5)"/>
      <w:lvlJc w:val="left"/>
      <w:pPr>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73C2384B"/>
    <w:multiLevelType w:val="multilevel"/>
    <w:tmpl w:val="B680C116"/>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52B37AC"/>
    <w:multiLevelType w:val="multilevel"/>
    <w:tmpl w:val="4442EDA6"/>
    <w:name w:val="Simmons&amp;Simmons"/>
    <w:lvl w:ilvl="0">
      <w:start w:val="1"/>
      <w:numFmt w:val="none"/>
      <w:pStyle w:val="ssRestartNumber"/>
      <w:suff w:val="nothing"/>
      <w:lvlText w:val=""/>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none"/>
      <w:pStyle w:val="Heading7"/>
      <w:suff w:val="nothing"/>
      <w:lvlText w:val=""/>
      <w:lvlJc w:val="left"/>
      <w:pPr>
        <w:ind w:left="0" w:firstLine="0"/>
      </w:pPr>
      <w:rPr>
        <w:rFonts w:hint="default"/>
      </w:rPr>
    </w:lvl>
    <w:lvl w:ilvl="8">
      <w:start w:val="1"/>
      <w:numFmt w:val="none"/>
      <w:pStyle w:val="Heading8"/>
      <w:suff w:val="nothing"/>
      <w:lvlText w:val=""/>
      <w:lvlJc w:val="left"/>
      <w:pPr>
        <w:ind w:left="0" w:firstLine="0"/>
      </w:pPr>
      <w:rPr>
        <w:rFonts w:hint="default"/>
      </w:rPr>
    </w:lvl>
  </w:abstractNum>
  <w:abstractNum w:abstractNumId="28" w15:restartNumberingAfterBreak="0">
    <w:nsid w:val="7B6B16F3"/>
    <w:multiLevelType w:val="multilevel"/>
    <w:tmpl w:val="E1EC99DE"/>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283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7F540CB0"/>
    <w:multiLevelType w:val="multilevel"/>
    <w:tmpl w:val="B2FA9EDC"/>
    <w:lvl w:ilvl="0">
      <w:start w:val="1"/>
      <w:numFmt w:val="none"/>
      <w:suff w:val="nothing"/>
      <w:lvlText w:val=""/>
      <w:lvlJc w:val="left"/>
      <w:pPr>
        <w:ind w:left="0" w:firstLine="0"/>
      </w:pPr>
      <w:rPr>
        <w:rFonts w:hint="default"/>
      </w:rPr>
    </w:lvl>
    <w:lvl w:ilvl="1">
      <w:start w:val="1"/>
      <w:numFmt w:val="decimal"/>
      <w:lvlText w:val="%2."/>
      <w:lvlJc w:val="left"/>
      <w:pPr>
        <w:tabs>
          <w:tab w:val="num" w:pos="0"/>
        </w:tabs>
        <w:ind w:left="709" w:hanging="709"/>
      </w:pPr>
      <w:rPr>
        <w:rFonts w:hint="default"/>
      </w:rPr>
    </w:lvl>
    <w:lvl w:ilvl="2">
      <w:start w:val="1"/>
      <w:numFmt w:val="decimal"/>
      <w:lvlText w:val="%2.%3"/>
      <w:lvlJc w:val="left"/>
      <w:pPr>
        <w:tabs>
          <w:tab w:val="num" w:pos="0"/>
        </w:tabs>
        <w:ind w:left="709" w:hanging="709"/>
      </w:pPr>
      <w:rPr>
        <w:rFonts w:hint="default"/>
      </w:rPr>
    </w:lvl>
    <w:lvl w:ilvl="3">
      <w:start w:val="1"/>
      <w:numFmt w:val="upperLetter"/>
      <w:lvlText w:val="(%4)"/>
      <w:lvlJc w:val="left"/>
      <w:pPr>
        <w:tabs>
          <w:tab w:val="num" w:pos="0"/>
        </w:tabs>
        <w:ind w:left="1418" w:hanging="709"/>
      </w:pPr>
      <w:rPr>
        <w:rFonts w:hint="default"/>
      </w:rPr>
    </w:lvl>
    <w:lvl w:ilvl="4">
      <w:start w:val="1"/>
      <w:numFmt w:val="decimal"/>
      <w:lvlText w:val="(%5)"/>
      <w:lvlJc w:val="left"/>
      <w:pPr>
        <w:tabs>
          <w:tab w:val="num" w:pos="0"/>
        </w:tabs>
        <w:ind w:left="1985" w:hanging="567"/>
      </w:pPr>
      <w:rPr>
        <w:rFonts w:hint="default"/>
      </w:rPr>
    </w:lvl>
    <w:lvl w:ilvl="5">
      <w:start w:val="1"/>
      <w:numFmt w:val="lowerLetter"/>
      <w:lvlText w:val="(%6)"/>
      <w:lvlJc w:val="left"/>
      <w:pPr>
        <w:tabs>
          <w:tab w:val="num" w:pos="0"/>
        </w:tabs>
        <w:ind w:left="2552" w:hanging="567"/>
      </w:pPr>
      <w:rPr>
        <w:rFonts w:hint="default"/>
      </w:rPr>
    </w:lvl>
    <w:lvl w:ilvl="6">
      <w:start w:val="1"/>
      <w:numFmt w:val="lowerRoman"/>
      <w:lvlText w:val="(%7)"/>
      <w:lvlJc w:val="left"/>
      <w:pPr>
        <w:tabs>
          <w:tab w:val="num" w:pos="0"/>
        </w:tabs>
        <w:ind w:left="3119"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7"/>
  </w:num>
  <w:num w:numId="2">
    <w:abstractNumId w:val="17"/>
  </w:num>
  <w:num w:numId="3">
    <w:abstractNumId w:val="23"/>
  </w:num>
  <w:num w:numId="4">
    <w:abstractNumId w:val="15"/>
  </w:num>
  <w:num w:numId="5">
    <w:abstractNumId w:val="20"/>
  </w:num>
  <w:num w:numId="6">
    <w:abstractNumId w:val="25"/>
  </w:num>
  <w:num w:numId="7">
    <w:abstractNumId w:val="26"/>
  </w:num>
  <w:num w:numId="8">
    <w:abstractNumId w:val="24"/>
  </w:num>
  <w:num w:numId="9">
    <w:abstractNumId w:val="12"/>
  </w:num>
  <w:num w:numId="10">
    <w:abstractNumId w:val="28"/>
  </w:num>
  <w:num w:numId="11">
    <w:abstractNumId w:val="13"/>
  </w:num>
  <w:num w:numId="12">
    <w:abstractNumId w:val="29"/>
  </w:num>
  <w:num w:numId="13">
    <w:abstractNumId w:val="11"/>
  </w:num>
  <w:num w:numId="14">
    <w:abstractNumId w:val="10"/>
  </w:num>
  <w:num w:numId="15">
    <w:abstractNumId w:val="21"/>
  </w:num>
  <w:num w:numId="16">
    <w:abstractNumId w:val="19"/>
  </w:num>
  <w:num w:numId="17">
    <w:abstractNumId w:val="16"/>
  </w:num>
  <w:num w:numId="18">
    <w:abstractNumId w:val="22"/>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0"/>
  </w:num>
  <w:num w:numId="26">
    <w:abstractNumId w:val="1"/>
  </w:num>
  <w:num w:numId="27">
    <w:abstractNumId w:val="2"/>
  </w:num>
  <w:num w:numId="28">
    <w:abstractNumId w:val="3"/>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A5"/>
    <w:rsid w:val="00072072"/>
    <w:rsid w:val="0008206C"/>
    <w:rsid w:val="00094146"/>
    <w:rsid w:val="000F4286"/>
    <w:rsid w:val="001153B6"/>
    <w:rsid w:val="00126D51"/>
    <w:rsid w:val="00175581"/>
    <w:rsid w:val="0017715A"/>
    <w:rsid w:val="001955B3"/>
    <w:rsid w:val="001B24D8"/>
    <w:rsid w:val="001E43A5"/>
    <w:rsid w:val="001F21EF"/>
    <w:rsid w:val="001F3817"/>
    <w:rsid w:val="001F53FC"/>
    <w:rsid w:val="00213975"/>
    <w:rsid w:val="00220094"/>
    <w:rsid w:val="002906AA"/>
    <w:rsid w:val="0029381C"/>
    <w:rsid w:val="002A6843"/>
    <w:rsid w:val="002E4D24"/>
    <w:rsid w:val="002F49E3"/>
    <w:rsid w:val="00301554"/>
    <w:rsid w:val="00311015"/>
    <w:rsid w:val="003252CD"/>
    <w:rsid w:val="003506E6"/>
    <w:rsid w:val="00381DDC"/>
    <w:rsid w:val="00390328"/>
    <w:rsid w:val="003C310D"/>
    <w:rsid w:val="003E16E2"/>
    <w:rsid w:val="003F2EB0"/>
    <w:rsid w:val="0044328B"/>
    <w:rsid w:val="00487B39"/>
    <w:rsid w:val="004C7C3F"/>
    <w:rsid w:val="004F05B8"/>
    <w:rsid w:val="00502393"/>
    <w:rsid w:val="0050396B"/>
    <w:rsid w:val="0056687A"/>
    <w:rsid w:val="0062234B"/>
    <w:rsid w:val="0064577C"/>
    <w:rsid w:val="00695E51"/>
    <w:rsid w:val="006E0C53"/>
    <w:rsid w:val="006E7FB2"/>
    <w:rsid w:val="00751B82"/>
    <w:rsid w:val="00767452"/>
    <w:rsid w:val="007A7E9F"/>
    <w:rsid w:val="007B598B"/>
    <w:rsid w:val="007C666F"/>
    <w:rsid w:val="00822DBB"/>
    <w:rsid w:val="008674A1"/>
    <w:rsid w:val="008A3338"/>
    <w:rsid w:val="008A4EB4"/>
    <w:rsid w:val="00953C5E"/>
    <w:rsid w:val="0096097B"/>
    <w:rsid w:val="00980174"/>
    <w:rsid w:val="009B0A35"/>
    <w:rsid w:val="00A7460B"/>
    <w:rsid w:val="00AC41A4"/>
    <w:rsid w:val="00AE07E3"/>
    <w:rsid w:val="00AE6F9C"/>
    <w:rsid w:val="00AE7282"/>
    <w:rsid w:val="00AF5BA0"/>
    <w:rsid w:val="00B14584"/>
    <w:rsid w:val="00B540F8"/>
    <w:rsid w:val="00BA3E63"/>
    <w:rsid w:val="00BB285E"/>
    <w:rsid w:val="00BD7939"/>
    <w:rsid w:val="00BD7D3A"/>
    <w:rsid w:val="00C04072"/>
    <w:rsid w:val="00C27680"/>
    <w:rsid w:val="00CA2528"/>
    <w:rsid w:val="00CA7274"/>
    <w:rsid w:val="00CB058A"/>
    <w:rsid w:val="00D0777B"/>
    <w:rsid w:val="00D74945"/>
    <w:rsid w:val="00D804FC"/>
    <w:rsid w:val="00D812DA"/>
    <w:rsid w:val="00D845E5"/>
    <w:rsid w:val="00DD060C"/>
    <w:rsid w:val="00E057C8"/>
    <w:rsid w:val="00E72948"/>
    <w:rsid w:val="00E74DB4"/>
    <w:rsid w:val="00E85801"/>
    <w:rsid w:val="00E85E2E"/>
    <w:rsid w:val="00EB2152"/>
    <w:rsid w:val="00EB6C5A"/>
    <w:rsid w:val="00EC237A"/>
    <w:rsid w:val="00EF5631"/>
    <w:rsid w:val="00F13CBE"/>
    <w:rsid w:val="00F2199C"/>
    <w:rsid w:val="00F32C2B"/>
    <w:rsid w:val="00F66402"/>
    <w:rsid w:val="00FB22E2"/>
    <w:rsid w:val="00FB2994"/>
    <w:rsid w:val="00FC3F86"/>
    <w:rsid w:val="00FF4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619544-B385-446A-8792-B61953C6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2528"/>
    <w:pPr>
      <w:jc w:val="both"/>
    </w:pPr>
    <w:rPr>
      <w:rFonts w:ascii="Arial" w:hAnsi="Arial"/>
      <w:szCs w:val="22"/>
      <w:lang w:eastAsia="zh-CN"/>
    </w:rPr>
  </w:style>
  <w:style w:type="paragraph" w:styleId="Heading1">
    <w:name w:val="heading 1"/>
    <w:basedOn w:val="Normal"/>
    <w:next w:val="ssPara1"/>
    <w:qFormat/>
    <w:rsid w:val="00CA65D2"/>
    <w:pPr>
      <w:keepNext/>
      <w:widowControl w:val="0"/>
      <w:numPr>
        <w:ilvl w:val="1"/>
        <w:numId w:val="1"/>
      </w:numPr>
      <w:spacing w:after="260"/>
      <w:outlineLvl w:val="0"/>
    </w:pPr>
    <w:rPr>
      <w:rFonts w:cs="Arial"/>
      <w:b/>
      <w:bCs/>
      <w:kern w:val="32"/>
      <w:szCs w:val="32"/>
      <w:u w:val="single"/>
    </w:rPr>
  </w:style>
  <w:style w:type="paragraph" w:styleId="Heading2">
    <w:name w:val="heading 2"/>
    <w:basedOn w:val="Normal"/>
    <w:next w:val="ssPara2"/>
    <w:qFormat/>
    <w:rsid w:val="00CA65D2"/>
    <w:pPr>
      <w:keepNext/>
      <w:widowControl w:val="0"/>
      <w:numPr>
        <w:ilvl w:val="2"/>
        <w:numId w:val="1"/>
      </w:numPr>
      <w:spacing w:after="260"/>
      <w:outlineLvl w:val="1"/>
    </w:pPr>
    <w:rPr>
      <w:rFonts w:cs="Arial"/>
      <w:b/>
      <w:bCs/>
      <w:iCs/>
    </w:rPr>
  </w:style>
  <w:style w:type="paragraph" w:styleId="Heading3">
    <w:name w:val="heading 3"/>
    <w:basedOn w:val="Normal"/>
    <w:next w:val="ssPara3"/>
    <w:qFormat/>
    <w:rsid w:val="00CA65D2"/>
    <w:pPr>
      <w:keepNext/>
      <w:widowControl w:val="0"/>
      <w:numPr>
        <w:ilvl w:val="3"/>
        <w:numId w:val="1"/>
      </w:numPr>
      <w:spacing w:after="260"/>
      <w:outlineLvl w:val="2"/>
    </w:pPr>
    <w:rPr>
      <w:rFonts w:cs="Arial"/>
      <w:b/>
      <w:bCs/>
      <w:szCs w:val="26"/>
    </w:rPr>
  </w:style>
  <w:style w:type="paragraph" w:styleId="Heading4">
    <w:name w:val="heading 4"/>
    <w:basedOn w:val="Normal"/>
    <w:next w:val="ssPara4"/>
    <w:qFormat/>
    <w:rsid w:val="00CA65D2"/>
    <w:pPr>
      <w:keepNext/>
      <w:widowControl w:val="0"/>
      <w:numPr>
        <w:ilvl w:val="4"/>
        <w:numId w:val="1"/>
      </w:numPr>
      <w:spacing w:after="260"/>
      <w:outlineLvl w:val="3"/>
    </w:pPr>
    <w:rPr>
      <w:b/>
      <w:bCs/>
      <w:szCs w:val="28"/>
    </w:rPr>
  </w:style>
  <w:style w:type="paragraph" w:styleId="Heading5">
    <w:name w:val="heading 5"/>
    <w:basedOn w:val="Normal"/>
    <w:next w:val="ssPara5"/>
    <w:qFormat/>
    <w:rsid w:val="00CA65D2"/>
    <w:pPr>
      <w:keepNext/>
      <w:widowControl w:val="0"/>
      <w:numPr>
        <w:ilvl w:val="5"/>
        <w:numId w:val="1"/>
      </w:numPr>
      <w:spacing w:after="260"/>
      <w:outlineLvl w:val="4"/>
    </w:pPr>
    <w:rPr>
      <w:b/>
      <w:bCs/>
      <w:iCs/>
    </w:rPr>
  </w:style>
  <w:style w:type="paragraph" w:styleId="Heading6">
    <w:name w:val="heading 6"/>
    <w:basedOn w:val="Normal"/>
    <w:next w:val="ssPara6"/>
    <w:qFormat/>
    <w:rsid w:val="00CA65D2"/>
    <w:pPr>
      <w:keepNext/>
      <w:widowControl w:val="0"/>
      <w:numPr>
        <w:ilvl w:val="6"/>
        <w:numId w:val="1"/>
      </w:numPr>
      <w:spacing w:after="260"/>
      <w:outlineLvl w:val="5"/>
    </w:pPr>
    <w:rPr>
      <w:b/>
      <w:bCs/>
    </w:rPr>
  </w:style>
  <w:style w:type="paragraph" w:styleId="Heading7">
    <w:name w:val="heading 7"/>
    <w:basedOn w:val="Normal"/>
    <w:next w:val="Normal"/>
    <w:qFormat/>
    <w:rsid w:val="00CA65D2"/>
    <w:pPr>
      <w:numPr>
        <w:ilvl w:val="7"/>
        <w:numId w:val="1"/>
      </w:numPr>
      <w:outlineLvl w:val="6"/>
    </w:pPr>
    <w:rPr>
      <w:szCs w:val="24"/>
    </w:rPr>
  </w:style>
  <w:style w:type="paragraph" w:styleId="Heading8">
    <w:name w:val="heading 8"/>
    <w:basedOn w:val="Normal"/>
    <w:next w:val="Normal"/>
    <w:qFormat/>
    <w:rsid w:val="00CA65D2"/>
    <w:pPr>
      <w:numPr>
        <w:ilvl w:val="8"/>
        <w:numId w:val="1"/>
      </w:numPr>
      <w:outlineLvl w:val="7"/>
    </w:pPr>
    <w:rPr>
      <w:iCs/>
      <w:szCs w:val="24"/>
    </w:rPr>
  </w:style>
  <w:style w:type="paragraph" w:styleId="Heading9">
    <w:name w:val="heading 9"/>
    <w:basedOn w:val="Normal"/>
    <w:next w:val="Normal"/>
    <w:qFormat/>
    <w:rsid w:val="00367A2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rsid w:val="0060762C"/>
    <w:pPr>
      <w:spacing w:after="260"/>
    </w:pPr>
  </w:style>
  <w:style w:type="paragraph" w:customStyle="1" w:styleId="ssPara2">
    <w:name w:val="ssPara2"/>
    <w:basedOn w:val="Normal"/>
    <w:rsid w:val="0060762C"/>
    <w:pPr>
      <w:spacing w:after="260"/>
      <w:ind w:left="709"/>
    </w:pPr>
  </w:style>
  <w:style w:type="paragraph" w:customStyle="1" w:styleId="ssPara3">
    <w:name w:val="ssPara3"/>
    <w:basedOn w:val="Normal"/>
    <w:rsid w:val="0060762C"/>
    <w:pPr>
      <w:spacing w:after="260"/>
      <w:ind w:left="1418"/>
    </w:pPr>
  </w:style>
  <w:style w:type="paragraph" w:customStyle="1" w:styleId="ssPara4">
    <w:name w:val="ssPara4"/>
    <w:basedOn w:val="Normal"/>
    <w:rsid w:val="0060762C"/>
    <w:pPr>
      <w:spacing w:after="260"/>
      <w:ind w:left="1985"/>
    </w:pPr>
  </w:style>
  <w:style w:type="paragraph" w:customStyle="1" w:styleId="ssPara5">
    <w:name w:val="ssPara5"/>
    <w:basedOn w:val="Normal"/>
    <w:rsid w:val="0060762C"/>
    <w:pPr>
      <w:spacing w:after="260"/>
      <w:ind w:left="2552"/>
    </w:pPr>
  </w:style>
  <w:style w:type="paragraph" w:customStyle="1" w:styleId="ssPara6">
    <w:name w:val="ssPara6"/>
    <w:basedOn w:val="Normal"/>
    <w:rsid w:val="0060762C"/>
    <w:pPr>
      <w:spacing w:after="260"/>
      <w:ind w:left="3119"/>
    </w:pPr>
  </w:style>
  <w:style w:type="paragraph" w:customStyle="1" w:styleId="ssNoHeading1">
    <w:name w:val="ssNoHeading1"/>
    <w:basedOn w:val="Heading1"/>
    <w:rsid w:val="00B060B8"/>
    <w:pPr>
      <w:keepNext w:val="0"/>
      <w:widowControl/>
    </w:pPr>
    <w:rPr>
      <w:b w:val="0"/>
      <w:szCs w:val="22"/>
      <w:u w:val="none"/>
    </w:rPr>
  </w:style>
  <w:style w:type="paragraph" w:customStyle="1" w:styleId="ssNoHeading2">
    <w:name w:val="ssNoHeading2"/>
    <w:basedOn w:val="Heading2"/>
    <w:rsid w:val="00B060B8"/>
    <w:pPr>
      <w:keepNext w:val="0"/>
      <w:widowControl/>
    </w:pPr>
    <w:rPr>
      <w:b w:val="0"/>
    </w:rPr>
  </w:style>
  <w:style w:type="paragraph" w:customStyle="1" w:styleId="ssNoHeading3">
    <w:name w:val="ssNoHeading3"/>
    <w:basedOn w:val="Heading3"/>
    <w:rsid w:val="00B060B8"/>
    <w:pPr>
      <w:keepNext w:val="0"/>
      <w:widowControl/>
    </w:pPr>
    <w:rPr>
      <w:b w:val="0"/>
    </w:rPr>
  </w:style>
  <w:style w:type="paragraph" w:customStyle="1" w:styleId="ssNoHeading4">
    <w:name w:val="ssNoHeading4"/>
    <w:basedOn w:val="Heading4"/>
    <w:rsid w:val="00B060B8"/>
    <w:pPr>
      <w:keepNext w:val="0"/>
      <w:widowControl/>
    </w:pPr>
    <w:rPr>
      <w:b w:val="0"/>
    </w:rPr>
  </w:style>
  <w:style w:type="paragraph" w:customStyle="1" w:styleId="ssNoHeading5">
    <w:name w:val="ssNoHeading5"/>
    <w:basedOn w:val="Heading5"/>
    <w:rsid w:val="00B060B8"/>
    <w:pPr>
      <w:keepNext w:val="0"/>
      <w:widowControl/>
    </w:pPr>
    <w:rPr>
      <w:b w:val="0"/>
    </w:rPr>
  </w:style>
  <w:style w:type="paragraph" w:customStyle="1" w:styleId="ssNoHeading6">
    <w:name w:val="ssNoHeading6"/>
    <w:basedOn w:val="Heading6"/>
    <w:rsid w:val="00B060B8"/>
    <w:pPr>
      <w:keepNext w:val="0"/>
      <w:widowControl/>
    </w:pPr>
    <w:rPr>
      <w:b w:val="0"/>
    </w:rPr>
  </w:style>
  <w:style w:type="paragraph" w:customStyle="1" w:styleId="ssRestartNumber">
    <w:name w:val="ssRestartNumber"/>
    <w:basedOn w:val="Normal"/>
    <w:next w:val="ssPara1"/>
    <w:rsid w:val="00CA65D2"/>
    <w:pPr>
      <w:numPr>
        <w:numId w:val="1"/>
      </w:numPr>
    </w:pPr>
    <w:rPr>
      <w:color w:val="FF0000"/>
    </w:rPr>
  </w:style>
  <w:style w:type="paragraph" w:customStyle="1" w:styleId="ssqPart">
    <w:name w:val="ssqPart"/>
    <w:basedOn w:val="Normal"/>
    <w:next w:val="ssPara1"/>
    <w:rsid w:val="00DB29D9"/>
    <w:pPr>
      <w:numPr>
        <w:ilvl w:val="1"/>
        <w:numId w:val="13"/>
      </w:numPr>
      <w:spacing w:after="260"/>
      <w:jc w:val="center"/>
    </w:pPr>
    <w:rPr>
      <w:b/>
      <w:caps/>
    </w:rPr>
  </w:style>
  <w:style w:type="paragraph" w:customStyle="1" w:styleId="ssRestartPart">
    <w:name w:val="ssRestartPart"/>
    <w:basedOn w:val="Normal"/>
    <w:next w:val="ssPara1"/>
    <w:rsid w:val="00DB29D9"/>
    <w:pPr>
      <w:numPr>
        <w:numId w:val="13"/>
      </w:numPr>
    </w:pPr>
    <w:rPr>
      <w:color w:val="FF0000"/>
    </w:rPr>
  </w:style>
  <w:style w:type="paragraph" w:customStyle="1" w:styleId="ssRestartSchedule">
    <w:name w:val="ssRestartSchedule"/>
    <w:basedOn w:val="Normal"/>
    <w:next w:val="ssPara1"/>
    <w:rsid w:val="008B5DC3"/>
    <w:pPr>
      <w:numPr>
        <w:numId w:val="14"/>
      </w:numPr>
    </w:pPr>
    <w:rPr>
      <w:color w:val="FF0000"/>
    </w:rPr>
  </w:style>
  <w:style w:type="paragraph" w:customStyle="1" w:styleId="ssqSchedule">
    <w:name w:val="ssqSchedule"/>
    <w:basedOn w:val="Normal"/>
    <w:next w:val="ssPara1"/>
    <w:rsid w:val="008B5DC3"/>
    <w:pPr>
      <w:numPr>
        <w:ilvl w:val="1"/>
        <w:numId w:val="14"/>
      </w:numPr>
      <w:spacing w:after="260"/>
      <w:jc w:val="center"/>
    </w:pPr>
    <w:rPr>
      <w:b/>
      <w:caps/>
    </w:rPr>
  </w:style>
  <w:style w:type="paragraph" w:customStyle="1" w:styleId="ssqExhibit">
    <w:name w:val="ssqExhibit"/>
    <w:basedOn w:val="Normal"/>
    <w:next w:val="ssPara1"/>
    <w:rsid w:val="002468A8"/>
    <w:pPr>
      <w:numPr>
        <w:ilvl w:val="1"/>
        <w:numId w:val="16"/>
      </w:numPr>
      <w:spacing w:after="260"/>
      <w:jc w:val="center"/>
    </w:pPr>
    <w:rPr>
      <w:b/>
      <w:caps/>
    </w:rPr>
  </w:style>
  <w:style w:type="paragraph" w:customStyle="1" w:styleId="ssRestartExhibit">
    <w:name w:val="ssRestartExhibit"/>
    <w:basedOn w:val="Normal"/>
    <w:next w:val="ssPara1"/>
    <w:rsid w:val="002468A8"/>
    <w:pPr>
      <w:numPr>
        <w:numId w:val="16"/>
      </w:numPr>
    </w:pPr>
    <w:rPr>
      <w:color w:val="FF0000"/>
    </w:rPr>
  </w:style>
  <w:style w:type="paragraph" w:customStyle="1" w:styleId="ssqToCAdd">
    <w:name w:val="ssqToCAdd"/>
    <w:basedOn w:val="ssPara1"/>
    <w:next w:val="ssPara1"/>
    <w:rsid w:val="0034673E"/>
  </w:style>
  <w:style w:type="paragraph" w:customStyle="1" w:styleId="ssqAppendix">
    <w:name w:val="ssqAppendix"/>
    <w:basedOn w:val="Normal"/>
    <w:next w:val="ssPara1"/>
    <w:rsid w:val="00CB7D04"/>
    <w:pPr>
      <w:numPr>
        <w:ilvl w:val="1"/>
        <w:numId w:val="19"/>
      </w:numPr>
      <w:spacing w:after="260"/>
      <w:jc w:val="center"/>
    </w:pPr>
    <w:rPr>
      <w:b/>
      <w:caps/>
    </w:rPr>
  </w:style>
  <w:style w:type="paragraph" w:customStyle="1" w:styleId="ssRestartAppendix">
    <w:name w:val="ssRestartAppendix"/>
    <w:basedOn w:val="Normal"/>
    <w:next w:val="ssPara1"/>
    <w:rsid w:val="004108F5"/>
    <w:pPr>
      <w:numPr>
        <w:numId w:val="19"/>
      </w:numPr>
    </w:pPr>
    <w:rPr>
      <w:color w:val="FF0000"/>
    </w:rPr>
  </w:style>
  <w:style w:type="paragraph" w:styleId="TOC1">
    <w:name w:val="toc 1"/>
    <w:basedOn w:val="Normal"/>
    <w:next w:val="Normal"/>
    <w:autoRedefine/>
    <w:rsid w:val="00800C13"/>
    <w:pPr>
      <w:tabs>
        <w:tab w:val="right" w:leader="dot" w:pos="9497"/>
      </w:tabs>
      <w:spacing w:before="220"/>
      <w:ind w:left="709" w:right="595" w:hanging="709"/>
    </w:pPr>
  </w:style>
  <w:style w:type="paragraph" w:styleId="TOC2">
    <w:name w:val="toc 2"/>
    <w:basedOn w:val="Normal"/>
    <w:next w:val="Normal"/>
    <w:autoRedefine/>
    <w:rsid w:val="0098314B"/>
    <w:pPr>
      <w:tabs>
        <w:tab w:val="right" w:leader="dot" w:pos="9497"/>
      </w:tabs>
      <w:ind w:left="1418" w:right="595" w:hanging="709"/>
    </w:pPr>
  </w:style>
  <w:style w:type="paragraph" w:styleId="TOC3">
    <w:name w:val="toc 3"/>
    <w:basedOn w:val="Normal"/>
    <w:next w:val="Normal"/>
    <w:autoRedefine/>
    <w:rsid w:val="00D33221"/>
    <w:pPr>
      <w:tabs>
        <w:tab w:val="right" w:leader="dot" w:pos="9497"/>
      </w:tabs>
      <w:ind w:left="2127" w:right="595" w:hanging="709"/>
    </w:pPr>
  </w:style>
  <w:style w:type="paragraph" w:styleId="TOC4">
    <w:name w:val="toc 4"/>
    <w:basedOn w:val="Normal"/>
    <w:next w:val="Normal"/>
    <w:autoRedefine/>
    <w:rsid w:val="00D33221"/>
    <w:pPr>
      <w:tabs>
        <w:tab w:val="right" w:leader="dot" w:pos="9497"/>
      </w:tabs>
      <w:ind w:left="2694" w:right="595" w:hanging="709"/>
    </w:pPr>
  </w:style>
  <w:style w:type="paragraph" w:styleId="BodyText">
    <w:name w:val="Body Text"/>
    <w:basedOn w:val="Normal"/>
    <w:link w:val="BodyTextChar"/>
    <w:rsid w:val="00D04C79"/>
    <w:pPr>
      <w:spacing w:after="120"/>
    </w:pPr>
  </w:style>
  <w:style w:type="character" w:customStyle="1" w:styleId="BodyTextChar">
    <w:name w:val="Body Text Char"/>
    <w:link w:val="BodyText"/>
    <w:rsid w:val="00D04C79"/>
    <w:rPr>
      <w:rFonts w:ascii="Arial" w:hAnsi="Arial"/>
      <w:sz w:val="22"/>
      <w:szCs w:val="22"/>
      <w:lang w:eastAsia="zh-CN"/>
    </w:rPr>
  </w:style>
  <w:style w:type="character" w:styleId="Hyperlink">
    <w:name w:val="Hyperlink"/>
    <w:basedOn w:val="DefaultParagraphFont"/>
    <w:rsid w:val="00CA2528"/>
    <w:rPr>
      <w:color w:val="0000FF" w:themeColor="hyperlink"/>
      <w:u w:val="single"/>
    </w:rPr>
  </w:style>
  <w:style w:type="paragraph" w:styleId="Header">
    <w:name w:val="header"/>
    <w:basedOn w:val="Normal"/>
    <w:link w:val="HeaderChar"/>
    <w:rsid w:val="00751B82"/>
    <w:pPr>
      <w:tabs>
        <w:tab w:val="center" w:pos="4513"/>
        <w:tab w:val="right" w:pos="9026"/>
      </w:tabs>
    </w:pPr>
  </w:style>
  <w:style w:type="character" w:customStyle="1" w:styleId="HeaderChar">
    <w:name w:val="Header Char"/>
    <w:basedOn w:val="DefaultParagraphFont"/>
    <w:link w:val="Header"/>
    <w:rsid w:val="00751B82"/>
    <w:rPr>
      <w:rFonts w:ascii="Arial" w:hAnsi="Arial"/>
      <w:szCs w:val="22"/>
      <w:lang w:eastAsia="zh-CN"/>
    </w:rPr>
  </w:style>
  <w:style w:type="paragraph" w:styleId="Footer">
    <w:name w:val="footer"/>
    <w:basedOn w:val="Normal"/>
    <w:link w:val="FooterChar"/>
    <w:rsid w:val="00751B82"/>
    <w:pPr>
      <w:tabs>
        <w:tab w:val="center" w:pos="4513"/>
        <w:tab w:val="right" w:pos="9026"/>
      </w:tabs>
    </w:pPr>
  </w:style>
  <w:style w:type="character" w:customStyle="1" w:styleId="FooterChar">
    <w:name w:val="Footer Char"/>
    <w:basedOn w:val="DefaultParagraphFont"/>
    <w:link w:val="Footer"/>
    <w:rsid w:val="00751B82"/>
    <w:rPr>
      <w:rFonts w:ascii="Arial" w:hAnsi="Arial"/>
      <w:szCs w:val="22"/>
      <w:lang w:eastAsia="zh-CN"/>
    </w:rPr>
  </w:style>
  <w:style w:type="paragraph" w:styleId="BalloonText">
    <w:name w:val="Balloon Text"/>
    <w:basedOn w:val="Normal"/>
    <w:link w:val="BalloonTextChar"/>
    <w:rsid w:val="00FF4409"/>
    <w:rPr>
      <w:rFonts w:ascii="Tahoma" w:hAnsi="Tahoma" w:cs="Tahoma"/>
      <w:sz w:val="16"/>
      <w:szCs w:val="16"/>
    </w:rPr>
  </w:style>
  <w:style w:type="character" w:customStyle="1" w:styleId="BalloonTextChar">
    <w:name w:val="Balloon Text Char"/>
    <w:basedOn w:val="DefaultParagraphFont"/>
    <w:link w:val="BalloonText"/>
    <w:rsid w:val="00FF4409"/>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sma.europa.eu/sites/default/files/library/2015/11/2014-1569_final_report_-_esmas_technical_advice_to_the_commission_on_mifid_ii_and_mifir.pdf"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transparency/regdoc/rep/3/2016/EN/3-2016-2398-EN-F1-1.PDF"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rclays">
      <a:majorFont>
        <a:latin typeface="Expert Sans Regular"/>
        <a:ea typeface=""/>
        <a:cs typeface=""/>
      </a:majorFont>
      <a:minorFont>
        <a:latin typeface="Expert Sans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504E-6634-4E37-B6E9-5661F8DD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miloshju</dc:creator>
  <cp:keywords/>
  <dc:description/>
  <cp:lastModifiedBy>Sally Anderson</cp:lastModifiedBy>
  <cp:revision>2</cp:revision>
  <cp:lastPrinted>2016-05-10T14:12:00Z</cp:lastPrinted>
  <dcterms:created xsi:type="dcterms:W3CDTF">2019-10-13T19:22:00Z</dcterms:created>
  <dcterms:modified xsi:type="dcterms:W3CDTF">2019-10-13T19:22:00Z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62052754 V1 -  - UK1</vt:lpwstr>
  </property>
</Properties>
</file>