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75" w:rsidRDefault="00780D75" w:rsidP="00780D75">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40160" behindDoc="1" locked="0" layoutInCell="1" allowOverlap="1" wp14:anchorId="4AFE886C" wp14:editId="21C47C2A">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D75" w:rsidRDefault="00780D75" w:rsidP="00780D75">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FM5fXO0AgAAtAUA&#10;AA4AAAAAAAAAAAAAAAAALgIAAGRycy9lMm9Eb2MueG1sUEsBAi0AFAAGAAgAAAAhAIlqjMzeAAAA&#10;DQEAAA8AAAAAAAAAAAAAAAAADgUAAGRycy9kb3ducmV2LnhtbFBLBQYAAAAABAAEAPMAAAAZBgAA&#10;AAA=&#10;" filled="f" stroked="f">
                <v:textbox inset="0,0,0,0">
                  <w:txbxContent>
                    <w:p w:rsidR="00780D75" w:rsidRDefault="00780D75" w:rsidP="00780D75">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CC47EE" w:rsidRPr="00CC47EE" w:rsidRDefault="00CC47EE" w:rsidP="00CC47EE">
      <w:pPr>
        <w:spacing w:before="426" w:after="2050" w:line="408" w:lineRule="exact"/>
        <w:ind w:left="144" w:right="144"/>
        <w:jc w:val="left"/>
        <w:textAlignment w:val="baseline"/>
        <w:rPr>
          <w:rFonts w:ascii="Times New Roman" w:eastAsia="Times New Roman" w:hAnsi="Times New Roman"/>
          <w:b/>
          <w:color w:val="000000"/>
          <w:sz w:val="32"/>
          <w:lang w:val="en-US" w:eastAsia="en-US"/>
        </w:rPr>
      </w:pPr>
      <w:r w:rsidRPr="00CC47EE">
        <w:rPr>
          <w:rFonts w:ascii="Times New Roman" w:eastAsia="Times New Roman" w:hAnsi="Times New Roman"/>
          <w:b/>
          <w:color w:val="000000"/>
          <w:sz w:val="32"/>
          <w:lang w:val="en-US" w:eastAsia="en-US"/>
        </w:rPr>
        <w:t>RTS 15: Draft regulatory technical standards on access in respect of central counterparties and trading venues</w:t>
      </w:r>
    </w:p>
    <w:p w:rsidR="00CC47EE" w:rsidRPr="00CC47EE" w:rsidRDefault="00CC47EE" w:rsidP="00CC47EE">
      <w:pPr>
        <w:spacing w:before="426" w:after="2050" w:line="408" w:lineRule="exact"/>
        <w:jc w:val="left"/>
        <w:rPr>
          <w:rFonts w:ascii="Times New Roman" w:eastAsia="PMingLiU" w:hAnsi="Times New Roman"/>
          <w:lang w:val="en-US" w:eastAsia="en-US"/>
        </w:rPr>
        <w:sectPr w:rsidR="00CC47EE" w:rsidRPr="00CC47EE">
          <w:pgSz w:w="11909" w:h="16838"/>
          <w:pgMar w:top="580" w:right="1259" w:bottom="960" w:left="1250" w:header="720" w:footer="720" w:gutter="0"/>
          <w:cols w:space="720"/>
        </w:sectPr>
      </w:pPr>
    </w:p>
    <w:p w:rsidR="00CC47EE" w:rsidRPr="00CC47EE" w:rsidRDefault="00CC47EE" w:rsidP="00CC47EE">
      <w:pPr>
        <w:spacing w:before="1163" w:line="288" w:lineRule="exact"/>
        <w:jc w:val="left"/>
        <w:textAlignment w:val="baseline"/>
        <w:rPr>
          <w:rFonts w:ascii="Times New Roman" w:eastAsia="Times New Roman" w:hAnsi="Times New Roman"/>
          <w:color w:val="000000"/>
          <w:sz w:val="24"/>
          <w:lang w:val="en-US" w:eastAsia="en-US"/>
        </w:rPr>
      </w:pPr>
    </w:p>
    <w:p w:rsidR="00CC47EE" w:rsidRPr="00CC47EE" w:rsidRDefault="00CC47EE" w:rsidP="00CC47EE">
      <w:pPr>
        <w:jc w:val="left"/>
        <w:rPr>
          <w:rFonts w:ascii="Times New Roman" w:eastAsia="PMingLiU" w:hAnsi="Times New Roman"/>
          <w:lang w:val="en-US" w:eastAsia="en-US"/>
        </w:rPr>
        <w:sectPr w:rsidR="00CC47EE" w:rsidRPr="00CC47EE">
          <w:type w:val="continuous"/>
          <w:pgSz w:w="11909" w:h="16838"/>
          <w:pgMar w:top="580" w:right="1259" w:bottom="960" w:left="1125" w:header="720" w:footer="720" w:gutter="0"/>
          <w:cols w:space="720"/>
        </w:sectPr>
      </w:pPr>
    </w:p>
    <w:p w:rsidR="00CC47EE" w:rsidRPr="00CC47EE" w:rsidRDefault="00CC47EE" w:rsidP="00CC47EE">
      <w:pPr>
        <w:spacing w:before="3" w:line="269" w:lineRule="exact"/>
        <w:ind w:left="5400"/>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83840" behindDoc="0" locked="0" layoutInCell="1" allowOverlap="1" wp14:anchorId="002EAA9C" wp14:editId="1953E30A">
                <wp:simplePos x="0" y="0"/>
                <wp:positionH relativeFrom="page">
                  <wp:posOffset>714375</wp:posOffset>
                </wp:positionH>
                <wp:positionV relativeFrom="page">
                  <wp:posOffset>9831070</wp:posOffset>
                </wp:positionV>
                <wp:extent cx="650240" cy="342900"/>
                <wp:effectExtent l="0" t="127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7" type="#_x0000_t202" style="position:absolute;left:0;text-align:left;margin-left:56.25pt;margin-top:774.1pt;width:51.2pt;height:2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3zsQIAALE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" filled="f" stroked="f">
                <v:textbox inset="0,0,0,0">
                  <w:txbxContent>
                    <w:p w:rsidR="00CC47EE" w:rsidRDefault="00CC47EE" w:rsidP="00CC47EE">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4864" behindDoc="0" locked="0" layoutInCell="1" allowOverlap="1" wp14:anchorId="4239AB3C" wp14:editId="396AF246">
                <wp:simplePos x="0" y="0"/>
                <wp:positionH relativeFrom="page">
                  <wp:posOffset>3609975</wp:posOffset>
                </wp:positionH>
                <wp:positionV relativeFrom="page">
                  <wp:posOffset>9965055</wp:posOffset>
                </wp:positionV>
                <wp:extent cx="330200" cy="172720"/>
                <wp:effectExtent l="0" t="1905" r="3175"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before="3" w:line="259" w:lineRule="exact"/>
                              <w:textAlignment w:val="baseline"/>
                              <w:rPr>
                                <w:rFonts w:eastAsia="Times New Roman"/>
                                <w:color w:val="000000"/>
                                <w:spacing w:val="11"/>
                                <w:sz w:val="24"/>
                              </w:rPr>
                            </w:pPr>
                            <w:r>
                              <w:rPr>
                                <w:rFonts w:eastAsia="Times New Roman"/>
                                <w:color w:val="000000"/>
                                <w:spacing w:val="11"/>
                                <w:sz w:val="24"/>
                              </w:rPr>
                              <w:t>341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left:0;text-align:left;margin-left:284.25pt;margin-top:784.65pt;width:26pt;height:13.6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qwsgIAALE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" filled="f" stroked="f">
                <v:textbox inset="0,0,0,0">
                  <w:txbxContent>
                    <w:p w:rsidR="00CC47EE" w:rsidRDefault="00CC47EE" w:rsidP="00CC47EE">
                      <w:pPr>
                        <w:spacing w:before="3" w:line="259" w:lineRule="exact"/>
                        <w:textAlignment w:val="baseline"/>
                        <w:rPr>
                          <w:rFonts w:eastAsia="Times New Roman"/>
                          <w:color w:val="000000"/>
                          <w:spacing w:val="11"/>
                          <w:sz w:val="24"/>
                        </w:rPr>
                      </w:pPr>
                      <w:r>
                        <w:rPr>
                          <w:rFonts w:eastAsia="Times New Roman"/>
                          <w:color w:val="000000"/>
                          <w:spacing w:val="11"/>
                          <w:sz w:val="24"/>
                        </w:rPr>
                        <w:t>341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5888" behindDoc="0" locked="0" layoutInCell="1" allowOverlap="1" wp14:anchorId="56DD2C70" wp14:editId="7DFEA9B0">
                <wp:simplePos x="0" y="0"/>
                <wp:positionH relativeFrom="page">
                  <wp:posOffset>6194425</wp:posOffset>
                </wp:positionH>
                <wp:positionV relativeFrom="page">
                  <wp:posOffset>9831070</wp:posOffset>
                </wp:positionV>
                <wp:extent cx="506730" cy="342900"/>
                <wp:effectExtent l="3175" t="1270" r="4445"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9" type="#_x0000_t202" style="position:absolute;left:0;text-align:left;margin-left:487.75pt;margin-top:774.1pt;width:39.9pt;height:27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VsgIAALE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wv&#10;E4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jMpjHYyfIR&#10;CKwkEAy4CHsPhFqqHxj1sEMyrL8fiGIYNR8EDIFdOJOgJmE3CURQeJphg9Eobsy4mA6d4vsakMcx&#10;E/IGBqXijsR2osYoTuMFe8HlctphdvE8/XdWl02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sf6I1bICAACx&#10;BQAADgAAAAAAAAAAAAAAAAAuAgAAZHJzL2Uyb0RvYy54bWxQSwECLQAUAAYACAAAACEA028a8eIA&#10;AAAOAQAADwAAAAAAAAAAAAAAAAAMBQAAZHJzL2Rvd25yZXYueG1sUEsFBgAAAAAEAAQA8wAAABsG&#10;A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C47EE">
        <w:rPr>
          <w:rFonts w:ascii="Times New Roman" w:eastAsia="Times New Roman" w:hAnsi="Times New Roman"/>
          <w:color w:val="000000"/>
          <w:sz w:val="24"/>
          <w:lang w:val="en-US" w:eastAsia="en-US"/>
        </w:rPr>
        <w:t>Brussels, XXX</w:t>
      </w:r>
    </w:p>
    <w:p w:rsidR="00CC47EE" w:rsidRPr="00CC47EE" w:rsidRDefault="00CC47EE" w:rsidP="00CC47EE">
      <w:pPr>
        <w:spacing w:before="6" w:line="269" w:lineRule="exact"/>
        <w:ind w:left="5400"/>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[...](2012) XXX draft</w:t>
      </w:r>
    </w:p>
    <w:p w:rsidR="00CC47EE" w:rsidRPr="00CC47EE" w:rsidRDefault="00780D75" w:rsidP="00CC47EE">
      <w:pPr>
        <w:spacing w:before="1462" w:line="269"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2816" behindDoc="0" locked="0" layoutInCell="1" allowOverlap="1" wp14:anchorId="57E86C72" wp14:editId="0A952736">
                <wp:simplePos x="0" y="0"/>
                <wp:positionH relativeFrom="column">
                  <wp:posOffset>1296035</wp:posOffset>
                </wp:positionH>
                <wp:positionV relativeFrom="paragraph">
                  <wp:posOffset>285115</wp:posOffset>
                </wp:positionV>
                <wp:extent cx="2953385" cy="646430"/>
                <wp:effectExtent l="0" t="0" r="18415" b="127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CC47EE">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CC47EE" w:rsidRDefault="00CC47EE">
                                  <w:pPr>
                                    <w:spacing w:before="10"/>
                                    <w:jc w:val="center"/>
                                    <w:textAlignment w:val="baseline"/>
                                  </w:pPr>
                                  <w:r>
                                    <w:rPr>
                                      <w:noProof/>
                                    </w:rPr>
                                    <w:drawing>
                                      <wp:inline distT="0" distB="0" distL="0" distR="0" wp14:anchorId="25C8B37A" wp14:editId="1F9A13A8">
                                        <wp:extent cx="956945" cy="6400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190"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CC47EE" w:rsidRDefault="00CC47EE">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CC47EE" w:rsidRDefault="00CC47EE" w:rsidP="00CC47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0" type="#_x0000_t202" style="position:absolute;left:0;text-align:left;margin-left:102.05pt;margin-top:22.45pt;width:232.55pt;height:50.9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5RFtAIAALIFAAAOAAAAZHJzL2Uyb0RvYy54bWysVNuOmzAQfa/Uf7D8znIJYQE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CC47EE">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CC47EE" w:rsidRDefault="00CC47EE">
                            <w:pPr>
                              <w:spacing w:before="10"/>
                              <w:jc w:val="center"/>
                              <w:textAlignment w:val="baseline"/>
                            </w:pPr>
                            <w:r>
                              <w:rPr>
                                <w:noProof/>
                              </w:rPr>
                              <w:drawing>
                                <wp:inline distT="0" distB="0" distL="0" distR="0" wp14:anchorId="25C8B37A" wp14:editId="1F9A13A8">
                                  <wp:extent cx="956945" cy="6400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190"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CC47EE" w:rsidRDefault="00CC47EE">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CC47EE" w:rsidRDefault="00CC47EE" w:rsidP="00CC47EE"/>
                  </w:txbxContent>
                </v:textbox>
              </v:shape>
            </w:pict>
          </mc:Fallback>
        </mc:AlternateContent>
      </w:r>
      <w:r w:rsidR="00CC47EE" w:rsidRPr="00CC47EE">
        <w:rPr>
          <w:rFonts w:ascii="Times New Roman" w:eastAsia="Times New Roman" w:hAnsi="Times New Roman"/>
          <w:color w:val="000000"/>
          <w:sz w:val="24"/>
          <w:lang w:val="en-US" w:eastAsia="en-US"/>
        </w:rPr>
        <w:t>COMMISSION DELEGATED REGULATION (EU) No .../..</w:t>
      </w:r>
    </w:p>
    <w:p w:rsidR="00CC47EE" w:rsidRPr="00CC47EE" w:rsidRDefault="00CC47EE" w:rsidP="00CC47EE">
      <w:pPr>
        <w:spacing w:before="365" w:line="269" w:lineRule="exact"/>
        <w:ind w:left="446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of XXX</w:t>
      </w:r>
    </w:p>
    <w:p w:rsidR="00CC47EE" w:rsidRPr="00CC47EE" w:rsidRDefault="00CC47EE" w:rsidP="00CC47EE">
      <w:pPr>
        <w:spacing w:before="417" w:line="269" w:lineRule="exact"/>
        <w:jc w:val="center"/>
        <w:textAlignment w:val="baseline"/>
        <w:rPr>
          <w:rFonts w:ascii="Times New Roman" w:eastAsia="Times New Roman" w:hAnsi="Times New Roman"/>
          <w:color w:val="000000"/>
          <w:spacing w:val="-8"/>
          <w:sz w:val="24"/>
          <w:lang w:val="en-US" w:eastAsia="en-US"/>
        </w:rPr>
      </w:pPr>
      <w:r w:rsidRPr="00CC47EE">
        <w:rPr>
          <w:rFonts w:ascii="Times New Roman" w:eastAsia="Times New Roman" w:hAnsi="Times New Roman"/>
          <w:color w:val="000000"/>
          <w:spacing w:val="-8"/>
          <w:sz w:val="24"/>
          <w:lang w:val="en-US" w:eastAsia="en-US"/>
        </w:rPr>
        <w:t>[—]</w:t>
      </w:r>
    </w:p>
    <w:p w:rsidR="00CC47EE" w:rsidRPr="00CC47EE" w:rsidRDefault="00CC47EE" w:rsidP="00CC47EE">
      <w:pPr>
        <w:jc w:val="left"/>
        <w:rPr>
          <w:rFonts w:ascii="Times New Roman" w:eastAsia="PMingLiU" w:hAnsi="Times New Roman"/>
          <w:lang w:val="en-US" w:eastAsia="en-US"/>
        </w:rPr>
        <w:sectPr w:rsidR="00CC47EE" w:rsidRPr="00CC47EE">
          <w:type w:val="continuous"/>
          <w:pgSz w:w="11909" w:h="16838"/>
          <w:pgMar w:top="580" w:right="1384" w:bottom="960" w:left="1125" w:header="720" w:footer="720" w:gutter="0"/>
          <w:cols w:space="720"/>
        </w:sectPr>
      </w:pPr>
    </w:p>
    <w:p w:rsidR="00CC47EE" w:rsidRDefault="00CC47EE" w:rsidP="00CC47EE">
      <w:pPr>
        <w:spacing w:line="103" w:lineRule="exact"/>
        <w:ind w:left="432"/>
        <w:jc w:val="left"/>
        <w:textAlignment w:val="baseline"/>
        <w:rPr>
          <w:rFonts w:ascii="Bookman Old Style" w:eastAsia="Bookman Old Style" w:hAnsi="Bookman Old Style"/>
          <w:color w:val="6177A8"/>
          <w:sz w:val="13"/>
          <w:lang w:val="en-US" w:eastAsia="en-US"/>
        </w:rPr>
      </w:pPr>
    </w:p>
    <w:p w:rsidR="00780D75" w:rsidRDefault="00780D75" w:rsidP="00CC47EE">
      <w:pPr>
        <w:spacing w:line="103" w:lineRule="exact"/>
        <w:ind w:left="432"/>
        <w:jc w:val="left"/>
        <w:textAlignment w:val="baseline"/>
        <w:rPr>
          <w:rFonts w:ascii="Bookman Old Style" w:eastAsia="Bookman Old Style" w:hAnsi="Bookman Old Style"/>
          <w:color w:val="6177A8"/>
          <w:sz w:val="13"/>
          <w:lang w:val="en-US" w:eastAsia="en-US"/>
        </w:rPr>
      </w:pPr>
    </w:p>
    <w:p w:rsidR="00780D75" w:rsidRDefault="00780D75" w:rsidP="00CC47EE">
      <w:pPr>
        <w:spacing w:before="286" w:line="274" w:lineRule="exact"/>
        <w:jc w:val="center"/>
        <w:textAlignment w:val="baseline"/>
        <w:rPr>
          <w:rFonts w:ascii="Times New Roman" w:eastAsia="Times New Roman" w:hAnsi="Times New Roman"/>
          <w:b/>
          <w:color w:val="000000"/>
          <w:spacing w:val="2"/>
          <w:sz w:val="24"/>
          <w:lang w:val="en-US" w:eastAsia="en-US"/>
        </w:rPr>
      </w:pPr>
    </w:p>
    <w:p w:rsidR="00CC47EE" w:rsidRPr="00CC47EE" w:rsidRDefault="00CC47EE" w:rsidP="00CC47EE">
      <w:pPr>
        <w:spacing w:before="286" w:line="274" w:lineRule="exact"/>
        <w:jc w:val="center"/>
        <w:textAlignment w:val="baseline"/>
        <w:rPr>
          <w:rFonts w:ascii="Times New Roman" w:eastAsia="Times New Roman" w:hAnsi="Times New Roman"/>
          <w:b/>
          <w:color w:val="000000"/>
          <w:spacing w:val="2"/>
          <w:sz w:val="24"/>
          <w:lang w:val="en-US" w:eastAsia="en-US"/>
        </w:rPr>
      </w:pPr>
      <w:r w:rsidRPr="00CC47EE">
        <w:rPr>
          <w:rFonts w:ascii="Times New Roman" w:eastAsia="Times New Roman" w:hAnsi="Times New Roman"/>
          <w:b/>
          <w:color w:val="000000"/>
          <w:spacing w:val="2"/>
          <w:sz w:val="24"/>
          <w:lang w:val="en-US" w:eastAsia="en-US"/>
        </w:rPr>
        <w:t>COMMISSION DELEGATED REGULATION (EU) .../..</w:t>
      </w:r>
    </w:p>
    <w:p w:rsidR="00CC47EE" w:rsidRPr="00CC47EE" w:rsidRDefault="00CC47EE" w:rsidP="00CC47EE">
      <w:pPr>
        <w:spacing w:before="148" w:line="274" w:lineRule="exact"/>
        <w:jc w:val="center"/>
        <w:textAlignment w:val="baseline"/>
        <w:rPr>
          <w:rFonts w:ascii="Times New Roman" w:eastAsia="Times New Roman" w:hAnsi="Times New Roman"/>
          <w:b/>
          <w:color w:val="000000"/>
          <w:spacing w:val="17"/>
          <w:sz w:val="24"/>
          <w:lang w:val="en-US" w:eastAsia="en-US"/>
        </w:rPr>
      </w:pPr>
      <w:r w:rsidRPr="00CC47EE">
        <w:rPr>
          <w:rFonts w:ascii="Times New Roman" w:eastAsia="Times New Roman" w:hAnsi="Times New Roman"/>
          <w:b/>
          <w:color w:val="000000"/>
          <w:spacing w:val="17"/>
          <w:sz w:val="24"/>
          <w:lang w:val="en-US" w:eastAsia="en-US"/>
        </w:rPr>
        <w:t xml:space="preserve">of </w:t>
      </w:r>
      <w:r w:rsidRPr="00CC47EE">
        <w:rPr>
          <w:rFonts w:ascii="Times New Roman" w:eastAsia="Times New Roman" w:hAnsi="Times New Roman"/>
          <w:i/>
          <w:color w:val="000000"/>
          <w:spacing w:val="17"/>
          <w:sz w:val="21"/>
          <w:lang w:val="en-US" w:eastAsia="en-US"/>
        </w:rPr>
        <w:t>XXX</w:t>
      </w:r>
    </w:p>
    <w:p w:rsidR="00CC47EE" w:rsidRPr="00CC47EE" w:rsidRDefault="00CC47EE" w:rsidP="00CC47EE">
      <w:pPr>
        <w:spacing w:before="121" w:line="354" w:lineRule="exact"/>
        <w:jc w:val="center"/>
        <w:textAlignment w:val="baseline"/>
        <w:rPr>
          <w:rFonts w:ascii="Times New Roman" w:eastAsia="Times New Roman" w:hAnsi="Times New Roman"/>
          <w:b/>
          <w:color w:val="000000"/>
          <w:sz w:val="28"/>
          <w:lang w:val="en-US" w:eastAsia="en-US"/>
        </w:rPr>
      </w:pPr>
      <w:r w:rsidRPr="00CC47EE">
        <w:rPr>
          <w:rFonts w:ascii="Times New Roman" w:eastAsia="Times New Roman" w:hAnsi="Times New Roman"/>
          <w:b/>
          <w:color w:val="000000"/>
          <w:sz w:val="28"/>
          <w:lang w:val="en-US" w:eastAsia="en-US"/>
        </w:rPr>
        <w:t xml:space="preserve">supplementing Regulation (EU) No 600/2014 of the European Parliament </w:t>
      </w:r>
      <w:r w:rsidRPr="00CC47EE">
        <w:rPr>
          <w:rFonts w:ascii="Times New Roman" w:eastAsia="Times New Roman" w:hAnsi="Times New Roman"/>
          <w:b/>
          <w:color w:val="000000"/>
          <w:sz w:val="28"/>
          <w:lang w:val="en-US" w:eastAsia="en-US"/>
        </w:rPr>
        <w:br/>
        <w:t xml:space="preserve">and of the Council on markets in financial instruments with regard to </w:t>
      </w:r>
      <w:r w:rsidRPr="00CC47EE">
        <w:rPr>
          <w:rFonts w:ascii="Times New Roman" w:eastAsia="Times New Roman" w:hAnsi="Times New Roman"/>
          <w:b/>
          <w:color w:val="000000"/>
          <w:sz w:val="28"/>
          <w:lang w:val="en-US" w:eastAsia="en-US"/>
        </w:rPr>
        <w:br/>
        <w:t xml:space="preserve">regulatory technical standards on clearing access in respect of central </w:t>
      </w:r>
      <w:r w:rsidRPr="00CC47EE">
        <w:rPr>
          <w:rFonts w:ascii="Times New Roman" w:eastAsia="Times New Roman" w:hAnsi="Times New Roman"/>
          <w:b/>
          <w:color w:val="000000"/>
          <w:sz w:val="28"/>
          <w:lang w:val="en-US" w:eastAsia="en-US"/>
        </w:rPr>
        <w:br/>
        <w:t>counterparties and trading venues</w:t>
      </w:r>
    </w:p>
    <w:p w:rsidR="00CC47EE" w:rsidRPr="00CC47EE" w:rsidRDefault="00CC47EE" w:rsidP="00CC47EE">
      <w:pPr>
        <w:spacing w:before="156" w:line="317" w:lineRule="exact"/>
        <w:jc w:val="center"/>
        <w:textAlignment w:val="baseline"/>
        <w:rPr>
          <w:rFonts w:ascii="Times New Roman" w:eastAsia="Times New Roman" w:hAnsi="Times New Roman"/>
          <w:b/>
          <w:color w:val="000000"/>
          <w:sz w:val="28"/>
          <w:lang w:val="en-US" w:eastAsia="en-US"/>
        </w:rPr>
      </w:pPr>
      <w:r w:rsidRPr="00CC47EE">
        <w:rPr>
          <w:rFonts w:ascii="Times New Roman" w:eastAsia="Times New Roman" w:hAnsi="Times New Roman"/>
          <w:b/>
          <w:color w:val="000000"/>
          <w:sz w:val="28"/>
          <w:lang w:val="en-US" w:eastAsia="en-US"/>
        </w:rPr>
        <w:t>(Text with EEA relevance)</w:t>
      </w:r>
    </w:p>
    <w:p w:rsidR="00CC47EE" w:rsidRPr="00CC47EE" w:rsidRDefault="00CC47EE" w:rsidP="00CC47EE">
      <w:pPr>
        <w:spacing w:before="833" w:line="273" w:lineRule="exact"/>
        <w:ind w:lef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 EUROPEAN COMMISSION,</w:t>
      </w:r>
    </w:p>
    <w:p w:rsidR="00CC47EE" w:rsidRPr="00CC47EE" w:rsidRDefault="00CC47EE" w:rsidP="00CC47EE">
      <w:pPr>
        <w:spacing w:before="281" w:line="273" w:lineRule="exact"/>
        <w:ind w:lef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Having regard to the Treaty on the Functioning of the European Union,</w:t>
      </w:r>
    </w:p>
    <w:p w:rsidR="00CC47EE" w:rsidRPr="00CC47EE" w:rsidRDefault="00CC47EE" w:rsidP="00CC47EE">
      <w:pPr>
        <w:spacing w:before="248" w:line="305"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Having regard to Regulation (EU) No 600/2014 of the European Parliament and of the Council of 15 May 2014 on markets in </w:t>
      </w:r>
      <w:r w:rsidR="00780D75">
        <w:rPr>
          <w:rFonts w:ascii="Times New Roman" w:eastAsia="Times New Roman" w:hAnsi="Times New Roman"/>
          <w:color w:val="000000"/>
          <w:sz w:val="24"/>
          <w:lang w:val="en-US" w:eastAsia="en-US"/>
        </w:rPr>
        <w:t>financial</w:t>
      </w:r>
      <w:r w:rsidRPr="00CC47EE">
        <w:rPr>
          <w:rFonts w:ascii="Times New Roman" w:eastAsia="Times New Roman" w:hAnsi="Times New Roman"/>
          <w:color w:val="000000"/>
          <w:sz w:val="24"/>
          <w:lang w:val="en-US" w:eastAsia="en-US"/>
        </w:rPr>
        <w:t xml:space="preserve"> instruments and amending Regulation (EU) No 648/2012</w:t>
      </w:r>
      <w:r w:rsidRPr="00CC47EE">
        <w:rPr>
          <w:rFonts w:ascii="Times New Roman" w:eastAsia="Times New Roman" w:hAnsi="Times New Roman"/>
          <w:color w:val="000000"/>
          <w:sz w:val="24"/>
          <w:vertAlign w:val="superscript"/>
          <w:lang w:val="en-US" w:eastAsia="en-US"/>
        </w:rPr>
        <w:t>1</w:t>
      </w:r>
      <w:r w:rsidRPr="00CC47EE">
        <w:rPr>
          <w:rFonts w:ascii="Times New Roman" w:eastAsia="Times New Roman" w:hAnsi="Times New Roman"/>
          <w:color w:val="000000"/>
          <w:sz w:val="24"/>
          <w:lang w:val="en-US" w:eastAsia="en-US"/>
        </w:rPr>
        <w:t>, and in particular Articles 35(6) and 36(6) thereof,</w:t>
      </w:r>
    </w:p>
    <w:p w:rsidR="00CC47EE" w:rsidRPr="00CC47EE" w:rsidRDefault="00CC47EE" w:rsidP="00CC47EE">
      <w:pPr>
        <w:spacing w:before="278" w:line="273" w:lineRule="exact"/>
        <w:ind w:left="144"/>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Whereas:</w:t>
      </w:r>
    </w:p>
    <w:p w:rsidR="00CC47EE" w:rsidRPr="00CC47EE" w:rsidRDefault="00CC47EE" w:rsidP="00780D75">
      <w:pPr>
        <w:numPr>
          <w:ilvl w:val="0"/>
          <w:numId w:val="13"/>
        </w:numPr>
        <w:tabs>
          <w:tab w:val="clear" w:pos="792"/>
        </w:tabs>
        <w:spacing w:before="250" w:line="303" w:lineRule="exact"/>
        <w:ind w:left="14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To prevent distortion of competition, central counterparties (CCPs) as well as trading </w:t>
      </w:r>
      <w:r w:rsidRPr="00CC47EE">
        <w:rPr>
          <w:rFonts w:ascii="Times New Roman" w:eastAsia="Times New Roman" w:hAnsi="Times New Roman"/>
          <w:color w:val="000000"/>
          <w:sz w:val="24"/>
          <w:lang w:val="en-US" w:eastAsia="en-US"/>
        </w:rPr>
        <w:br/>
        <w:t>venues should only be able to deny an access request where they have made all reasonable efforts to manage the risk arising from granting that access but significant undue risk remains.</w:t>
      </w:r>
    </w:p>
    <w:p w:rsidR="00CC47EE" w:rsidRPr="00CC47EE" w:rsidRDefault="00CC47EE" w:rsidP="00780D75">
      <w:pPr>
        <w:numPr>
          <w:ilvl w:val="0"/>
          <w:numId w:val="13"/>
        </w:numPr>
        <w:tabs>
          <w:tab w:val="clear" w:pos="792"/>
        </w:tabs>
        <w:spacing w:before="257" w:line="303" w:lineRule="exact"/>
        <w:ind w:left="14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In accordance with Regulation (EU) No 600/2014 if a CCP or trading venue denies an </w:t>
      </w:r>
      <w:r w:rsidRPr="00CC47EE">
        <w:rPr>
          <w:rFonts w:ascii="Times New Roman" w:eastAsia="Times New Roman" w:hAnsi="Times New Roman"/>
          <w:color w:val="000000"/>
          <w:sz w:val="24"/>
          <w:lang w:val="en-US" w:eastAsia="en-US"/>
        </w:rPr>
        <w:br/>
        <w:t>access request it has to provide full reasons for that decision and this includes identifying how the relevant risks arising from granting access would in the particular situation be unmanageable and that there would be significant undue risk remaining. An appropriate way of doing this is for the party denying access to clearly outline the changes that would arise from granting access, how it would have to manage the risk associated with changes in consequence of granting access, and to explain the impact on its structures.</w:t>
      </w:r>
    </w:p>
    <w:p w:rsidR="00CC47EE" w:rsidRDefault="00CC47EE" w:rsidP="00780D75">
      <w:pPr>
        <w:numPr>
          <w:ilvl w:val="0"/>
          <w:numId w:val="13"/>
        </w:numPr>
        <w:tabs>
          <w:tab w:val="clear" w:pos="792"/>
        </w:tabs>
        <w:spacing w:before="256" w:after="629" w:line="303" w:lineRule="exact"/>
        <w:ind w:left="14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Regulation (EU) No 600/2014 does not distinguish between risks incurred by CCPs </w:t>
      </w:r>
      <w:r w:rsidRPr="00CC47EE">
        <w:rPr>
          <w:rFonts w:ascii="Times New Roman" w:eastAsia="Times New Roman" w:hAnsi="Times New Roman"/>
          <w:color w:val="000000"/>
          <w:sz w:val="24"/>
          <w:lang w:val="en-US" w:eastAsia="en-US"/>
        </w:rPr>
        <w:br/>
        <w:t>and trading venues when granting access and includes the same general categories of conditions to be considered by trading venues and CCPs when assessing access requests. However, due to the different nature of the activities of CCPs as compared to trading venues, risks stemming from granting access may in practice impact CCPs and</w:t>
      </w:r>
    </w:p>
    <w:p w:rsidR="00780D75" w:rsidRPr="00CC47EE" w:rsidRDefault="00780D75" w:rsidP="00780D75">
      <w:pPr>
        <w:spacing w:before="256" w:after="629" w:line="303" w:lineRule="exact"/>
        <w:ind w:left="142" w:right="144"/>
        <w:jc w:val="left"/>
        <w:textAlignment w:val="baseline"/>
        <w:rPr>
          <w:rFonts w:ascii="Times New Roman" w:eastAsia="Times New Roman" w:hAnsi="Times New Roman"/>
          <w:color w:val="000000"/>
          <w:sz w:val="24"/>
          <w:lang w:val="en-US" w:eastAsia="en-US"/>
        </w:rPr>
      </w:pPr>
    </w:p>
    <w:p w:rsidR="00CC47EE" w:rsidRPr="00CC47EE" w:rsidRDefault="00CC47EE" w:rsidP="00CC47EE">
      <w:pPr>
        <w:spacing w:before="270" w:line="228" w:lineRule="exact"/>
        <w:ind w:left="144"/>
        <w:jc w:val="left"/>
        <w:textAlignment w:val="baseline"/>
        <w:rPr>
          <w:rFonts w:ascii="Bookman Old Style" w:eastAsia="Bookman Old Style" w:hAnsi="Bookman Old Style"/>
          <w:color w:val="000000"/>
          <w:spacing w:val="-2"/>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ZbHwIAADk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" strokeweight=".95pt">
                <w10:wrap anchorx="page" anchory="page"/>
              </v:line>
            </w:pict>
          </mc:Fallback>
        </mc:AlternateContent>
      </w:r>
      <w:r w:rsidRPr="00CC47EE">
        <w:rPr>
          <w:rFonts w:ascii="Bookman Old Style" w:eastAsia="Bookman Old Style" w:hAnsi="Bookman Old Style"/>
          <w:color w:val="000000"/>
          <w:spacing w:val="-2"/>
          <w:sz w:val="13"/>
          <w:vertAlign w:val="superscript"/>
          <w:lang w:val="en-US" w:eastAsia="en-US"/>
        </w:rPr>
        <w:t>1</w:t>
      </w:r>
      <w:r w:rsidRPr="00CC47EE">
        <w:rPr>
          <w:rFonts w:ascii="Times New Roman" w:eastAsia="Times New Roman" w:hAnsi="Times New Roman"/>
          <w:color w:val="000000"/>
          <w:spacing w:val="-2"/>
          <w:sz w:val="21"/>
          <w:lang w:val="en-US" w:eastAsia="en-US"/>
        </w:rPr>
        <w:t>0J L 173, 12.6.2014, p. 84.</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00" w:right="1247" w:bottom="960" w:left="1262" w:header="720" w:footer="720" w:gutter="0"/>
          <w:cols w:space="720"/>
        </w:sectPr>
      </w:pPr>
    </w:p>
    <w:p w:rsidR="00CC47EE" w:rsidRPr="00CC47EE" w:rsidRDefault="00CC47EE" w:rsidP="00CC47EE">
      <w:pPr>
        <w:spacing w:before="1" w:after="288"/>
        <w:ind w:left="147" w:right="8365"/>
        <w:jc w:val="left"/>
        <w:textAlignment w:val="baseline"/>
        <w:rPr>
          <w:rFonts w:ascii="Times New Roman" w:eastAsia="PMingLiU" w:hAnsi="Times New Roman"/>
          <w:lang w:val="en-US" w:eastAsia="en-US"/>
        </w:rPr>
      </w:pPr>
      <w:r w:rsidRPr="00CC47EE">
        <w:rPr>
          <w:rFonts w:ascii="Times New Roman" w:eastAsia="PMingLiU" w:hAnsi="Times New Roman"/>
          <w:noProof/>
        </w:rPr>
        <w:lastRenderedPageBreak/>
        <w:drawing>
          <wp:inline distT="0" distB="0" distL="0" distR="0" wp14:anchorId="49AE389D" wp14:editId="3BBEB13B">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19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CC47EE" w:rsidRPr="00CC47EE" w:rsidRDefault="00CC47EE" w:rsidP="00CC47EE">
      <w:pPr>
        <w:spacing w:line="302"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9984" behindDoc="0" locked="0" layoutInCell="1" allowOverlap="1" wp14:anchorId="6CBD38C2" wp14:editId="3237589F">
                <wp:simplePos x="0" y="0"/>
                <wp:positionH relativeFrom="page">
                  <wp:posOffset>857885</wp:posOffset>
                </wp:positionH>
                <wp:positionV relativeFrom="page">
                  <wp:posOffset>9831070</wp:posOffset>
                </wp:positionV>
                <wp:extent cx="506730" cy="342900"/>
                <wp:effectExtent l="635" t="1270" r="0"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left:0;text-align:left;margin-left:67.55pt;margin-top:774.1pt;width:39.9pt;height:27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NIsgIAALE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cV4TSLICAACx&#10;BQAADgAAAAAAAAAAAAAAAAAuAgAAZHJzL2Uyb0RvYy54bWxQSwECLQAUAAYACAAAACEAPpXU6OIA&#10;AAANAQAADwAAAAAAAAAAAAAAAAAMBQAAZHJzL2Rvd25yZXYueG1sUEsFBgAAAAAEAAQA8wAAABsG&#10;A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1008" behindDoc="0" locked="0" layoutInCell="1" allowOverlap="1" wp14:anchorId="104FA60E" wp14:editId="5AA215D7">
                <wp:simplePos x="0" y="0"/>
                <wp:positionH relativeFrom="page">
                  <wp:posOffset>3609975</wp:posOffset>
                </wp:positionH>
                <wp:positionV relativeFrom="page">
                  <wp:posOffset>9947910</wp:posOffset>
                </wp:positionV>
                <wp:extent cx="335915" cy="192405"/>
                <wp:effectExtent l="0" t="3810" r="0" b="381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before="30" w:line="259" w:lineRule="exact"/>
                              <w:textAlignment w:val="baseline"/>
                              <w:rPr>
                                <w:rFonts w:eastAsia="Times New Roman"/>
                                <w:color w:val="000000"/>
                                <w:spacing w:val="13"/>
                                <w:sz w:val="24"/>
                              </w:rPr>
                            </w:pPr>
                            <w:r>
                              <w:rPr>
                                <w:rFonts w:eastAsia="Times New Roman"/>
                                <w:color w:val="000000"/>
                                <w:spacing w:val="13"/>
                                <w:sz w:val="24"/>
                              </w:rPr>
                              <w:t>343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2" type="#_x0000_t202" style="position:absolute;left:0;text-align:left;margin-left:284.25pt;margin-top:783.3pt;width:26.45pt;height:15.1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og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" filled="f" stroked="f">
                <v:textbox inset="0,0,0,0">
                  <w:txbxContent>
                    <w:p w:rsidR="00CC47EE" w:rsidRDefault="00CC47EE" w:rsidP="00CC47EE">
                      <w:pPr>
                        <w:spacing w:before="30" w:line="259" w:lineRule="exact"/>
                        <w:textAlignment w:val="baseline"/>
                        <w:rPr>
                          <w:rFonts w:eastAsia="Times New Roman"/>
                          <w:color w:val="000000"/>
                          <w:spacing w:val="13"/>
                          <w:sz w:val="24"/>
                        </w:rPr>
                      </w:pPr>
                      <w:r>
                        <w:rPr>
                          <w:rFonts w:eastAsia="Times New Roman"/>
                          <w:color w:val="000000"/>
                          <w:spacing w:val="13"/>
                          <w:sz w:val="24"/>
                        </w:rPr>
                        <w:t>343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2032" behindDoc="0" locked="0" layoutInCell="1" allowOverlap="1" wp14:anchorId="172CC022" wp14:editId="2AD3A8D3">
                <wp:simplePos x="0" y="0"/>
                <wp:positionH relativeFrom="page">
                  <wp:posOffset>6194425</wp:posOffset>
                </wp:positionH>
                <wp:positionV relativeFrom="page">
                  <wp:posOffset>9831070</wp:posOffset>
                </wp:positionV>
                <wp:extent cx="506730" cy="342900"/>
                <wp:effectExtent l="3175" t="1270" r="4445"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3" type="#_x0000_t202" style="position:absolute;left:0;text-align:left;margin-left:487.75pt;margin-top:774.1pt;width:39.9pt;height:27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psgIAALE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9cfyqbICAACx&#10;BQAADgAAAAAAAAAAAAAAAAAuAgAAZHJzL2Uyb0RvYy54bWxQSwECLQAUAAYACAAAACEA028a8eIA&#10;AAAOAQAADwAAAAAAAAAAAAAAAAAMBQAAZHJzL2Rvd25yZXYueG1sUEsFBgAAAAAEAAQA8wAAABsG&#10;A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150083A4" wp14:editId="4FC6EE03">
                <wp:simplePos x="0" y="0"/>
                <wp:positionH relativeFrom="page">
                  <wp:posOffset>1591310</wp:posOffset>
                </wp:positionH>
                <wp:positionV relativeFrom="page">
                  <wp:posOffset>460375</wp:posOffset>
                </wp:positionV>
                <wp:extent cx="0" cy="561340"/>
                <wp:effectExtent l="10160" t="12700" r="889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&#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YN+ik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CC47EE">
        <w:rPr>
          <w:rFonts w:ascii="Times New Roman" w:eastAsia="Times New Roman" w:hAnsi="Times New Roman"/>
          <w:color w:val="000000"/>
          <w:sz w:val="24"/>
          <w:lang w:val="en-US" w:eastAsia="en-US"/>
        </w:rPr>
        <w:t>trading venues differently, thus demanding an approach differentiating between CCPs and trading venues.</w:t>
      </w:r>
    </w:p>
    <w:p w:rsidR="00CC47EE" w:rsidRPr="00CC47EE" w:rsidRDefault="00CC47EE" w:rsidP="00780D75">
      <w:pPr>
        <w:numPr>
          <w:ilvl w:val="0"/>
          <w:numId w:val="14"/>
        </w:numPr>
        <w:tabs>
          <w:tab w:val="clear" w:pos="720"/>
        </w:tabs>
        <w:spacing w:before="251" w:line="303" w:lineRule="exact"/>
        <w:ind w:left="28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When a competent authority assesses whether access would threaten the smooth and </w:t>
      </w:r>
      <w:r w:rsidRPr="00CC47EE">
        <w:rPr>
          <w:rFonts w:ascii="Times New Roman" w:eastAsia="Times New Roman" w:hAnsi="Times New Roman"/>
          <w:color w:val="000000"/>
          <w:sz w:val="24"/>
          <w:lang w:val="en-US" w:eastAsia="en-US"/>
        </w:rPr>
        <w:br/>
        <w:t>orderly functioning of the markets or adversely affect systemic risk, it should consider whether the CCP or trading venue in question has adequate risk management procedures, including with respect to operational and legal risks, to avoid the access agreement creating significant undue risks to third parties that cannot be mitigated.</w:t>
      </w:r>
    </w:p>
    <w:p w:rsidR="00CC47EE" w:rsidRPr="00CC47EE" w:rsidRDefault="00CC47EE" w:rsidP="00780D75">
      <w:pPr>
        <w:numPr>
          <w:ilvl w:val="0"/>
          <w:numId w:val="14"/>
        </w:numPr>
        <w:tabs>
          <w:tab w:val="clear" w:pos="720"/>
        </w:tabs>
        <w:spacing w:before="259" w:line="303" w:lineRule="exact"/>
        <w:ind w:left="28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The terms under which access must be permitted should be reasonable and non- </w:t>
      </w:r>
      <w:r w:rsidRPr="00CC47EE">
        <w:rPr>
          <w:rFonts w:ascii="Times New Roman" w:eastAsia="Times New Roman" w:hAnsi="Times New Roman"/>
          <w:color w:val="000000"/>
          <w:sz w:val="24"/>
          <w:lang w:val="en-US" w:eastAsia="en-US"/>
        </w:rPr>
        <w:br/>
        <w:t>discriminatory so as not to undermine the purpose for which the access provisions were introduced. Charging fees in a discriminatory way so as to deter access should not be permitted. However, fees could differ for objectively justified reasons, such as where the costs to implement the access arrangements are higher. When access results in a trading venue dealing with two or more CCPs, it is important to specify how trades on the trading venue will be allocated to the CCP that is party to the agreement, if the agreement creates a situation where there are two or more CCPs with access to the trading venue .</w:t>
      </w:r>
    </w:p>
    <w:p w:rsidR="00CC47EE" w:rsidRPr="00CC47EE" w:rsidRDefault="00CC47EE" w:rsidP="00780D75">
      <w:pPr>
        <w:numPr>
          <w:ilvl w:val="0"/>
          <w:numId w:val="14"/>
        </w:numPr>
        <w:tabs>
          <w:tab w:val="clear" w:pos="720"/>
        </w:tabs>
        <w:spacing w:before="255" w:line="303" w:lineRule="exact"/>
        <w:ind w:left="28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When granting access CCPs and trading venues incur both one-off costs, such as </w:t>
      </w:r>
      <w:r w:rsidRPr="00CC47EE">
        <w:rPr>
          <w:rFonts w:ascii="Times New Roman" w:eastAsia="Times New Roman" w:hAnsi="Times New Roman"/>
          <w:color w:val="000000"/>
          <w:sz w:val="24"/>
          <w:lang w:val="en-US" w:eastAsia="en-US"/>
        </w:rPr>
        <w:br/>
        <w:t>assessing legal requirements, and ongoing costs. Since the scope of the access request and the associated costs for implementing the access agreement are likely to differ on a case-by-case basis, it is not appropriate to cover the specific allocation of costs between the CCP and the trading venue in this Regulation, However, the allocation of costs is an important element of an access agreement, therefore both parties should specify in the access arrangement the coverage of costs.</w:t>
      </w:r>
    </w:p>
    <w:p w:rsidR="00CC47EE" w:rsidRPr="00CC47EE" w:rsidRDefault="00CC47EE" w:rsidP="00780D75">
      <w:pPr>
        <w:numPr>
          <w:ilvl w:val="0"/>
          <w:numId w:val="14"/>
        </w:numPr>
        <w:tabs>
          <w:tab w:val="clear" w:pos="720"/>
        </w:tabs>
        <w:spacing w:before="253" w:line="303" w:lineRule="exact"/>
        <w:ind w:left="28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Pursuant to Regulation (EU) No 648/2012 of the European Parliament and of the </w:t>
      </w:r>
      <w:r w:rsidRPr="00CC47EE">
        <w:rPr>
          <w:rFonts w:ascii="Times New Roman" w:eastAsia="Times New Roman" w:hAnsi="Times New Roman"/>
          <w:color w:val="000000"/>
          <w:sz w:val="24"/>
          <w:lang w:val="en-US" w:eastAsia="en-US"/>
        </w:rPr>
        <w:br/>
        <w:t>Council</w:t>
      </w:r>
      <w:r w:rsidRPr="00CC47EE">
        <w:rPr>
          <w:rFonts w:ascii="Times New Roman" w:eastAsia="Times New Roman" w:hAnsi="Times New Roman"/>
          <w:color w:val="000000"/>
          <w:sz w:val="24"/>
          <w:vertAlign w:val="superscript"/>
          <w:lang w:val="en-US" w:eastAsia="en-US"/>
        </w:rPr>
        <w:t>2</w:t>
      </w:r>
      <w:r w:rsidRPr="00CC47EE">
        <w:rPr>
          <w:rFonts w:ascii="Times New Roman" w:eastAsia="Times New Roman" w:hAnsi="Times New Roman"/>
          <w:color w:val="000000"/>
          <w:sz w:val="24"/>
          <w:lang w:val="en-US" w:eastAsia="en-US"/>
        </w:rPr>
        <w:t>, a CCP wishing to extend its business to additional services or activities not covered by the initial authorisation should submit a request for an extension of authorisation. An extension of authorisation is needed where a CCP intends to offer clearing services on financial instruments with a different risk profile or that have material differences from the CCP's existing product set. When a contract traded on a trading venue to which a CCP has granted access is in a class of financial instruments covered by the CCP's existing authorisation and has therefore similar risk characteristics to the contracts already cleared by the CCP, such a contract is to be considered as economically equivalent.</w:t>
      </w:r>
    </w:p>
    <w:p w:rsidR="00CC47EE" w:rsidRDefault="00CC47EE" w:rsidP="00780D75">
      <w:pPr>
        <w:numPr>
          <w:ilvl w:val="0"/>
          <w:numId w:val="14"/>
        </w:numPr>
        <w:tabs>
          <w:tab w:val="clear" w:pos="720"/>
        </w:tabs>
        <w:spacing w:before="252" w:after="246" w:line="303" w:lineRule="exact"/>
        <w:ind w:left="28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In order to ensure that a CCP does not apply discriminatory collateral and margining </w:t>
      </w:r>
      <w:r w:rsidRPr="00CC47EE">
        <w:rPr>
          <w:rFonts w:ascii="Times New Roman" w:eastAsia="Times New Roman" w:hAnsi="Times New Roman"/>
          <w:color w:val="000000"/>
          <w:sz w:val="24"/>
          <w:lang w:val="en-US" w:eastAsia="en-US"/>
        </w:rPr>
        <w:br/>
        <w:t>requirements to economically equivalent contracts traded on a trading venue that has been granted access to the CCP, any change to the margining methodology and</w:t>
      </w:r>
    </w:p>
    <w:p w:rsidR="00780D75" w:rsidRPr="00CC47EE" w:rsidRDefault="00780D75" w:rsidP="00780D75">
      <w:pPr>
        <w:spacing w:before="252" w:after="246" w:line="303" w:lineRule="exact"/>
        <w:ind w:left="284" w:right="144"/>
        <w:jc w:val="left"/>
        <w:textAlignment w:val="baseline"/>
        <w:rPr>
          <w:rFonts w:ascii="Times New Roman" w:eastAsia="Times New Roman" w:hAnsi="Times New Roman"/>
          <w:color w:val="000000"/>
          <w:sz w:val="24"/>
          <w:lang w:val="en-US" w:eastAsia="en-US"/>
        </w:rPr>
      </w:pPr>
    </w:p>
    <w:p w:rsidR="00CC47EE" w:rsidRPr="00CC47EE" w:rsidRDefault="00CC47EE" w:rsidP="00CC47EE">
      <w:pPr>
        <w:spacing w:before="227" w:line="104" w:lineRule="exact"/>
        <w:ind w:left="144"/>
        <w:jc w:val="left"/>
        <w:textAlignment w:val="baseline"/>
        <w:rPr>
          <w:rFonts w:ascii="Times New Roman" w:eastAsia="Times New Roman" w:hAnsi="Times New Roman"/>
          <w:color w:val="000000"/>
          <w:sz w:val="14"/>
          <w:lang w:val="en-US" w:eastAsia="en-US"/>
        </w:r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ge">
                  <wp:posOffset>9089390</wp:posOffset>
                </wp:positionV>
                <wp:extent cx="1832610" cy="0"/>
                <wp:effectExtent l="13335" t="12065" r="11430" b="698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6pHgIAADk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" strokeweight=".95pt">
                <w10:wrap anchorx="page" anchory="page"/>
              </v:line>
            </w:pict>
          </mc:Fallback>
        </mc:AlternateContent>
      </w:r>
      <w:r w:rsidRPr="00CC47EE">
        <w:rPr>
          <w:rFonts w:ascii="Times New Roman" w:eastAsia="Times New Roman" w:hAnsi="Times New Roman"/>
          <w:color w:val="000000"/>
          <w:sz w:val="14"/>
          <w:lang w:val="en-US" w:eastAsia="en-US"/>
        </w:rPr>
        <w:t>2</w:t>
      </w:r>
    </w:p>
    <w:p w:rsidR="00CC47EE" w:rsidRPr="00CC47EE" w:rsidRDefault="00CC47EE" w:rsidP="00CC47EE">
      <w:pPr>
        <w:spacing w:line="200" w:lineRule="exact"/>
        <w:ind w:left="144" w:right="144" w:firstLine="144"/>
        <w:textAlignment w:val="baseline"/>
        <w:rPr>
          <w:rFonts w:ascii="Times New Roman" w:eastAsia="Times New Roman" w:hAnsi="Times New Roman"/>
          <w:color w:val="000000"/>
          <w:sz w:val="21"/>
          <w:lang w:val="en-US" w:eastAsia="en-US"/>
        </w:rPr>
      </w:pPr>
      <w:r w:rsidRPr="00CC47EE">
        <w:rPr>
          <w:rFonts w:ascii="Times New Roman" w:eastAsia="Times New Roman" w:hAnsi="Times New Roman"/>
          <w:color w:val="000000"/>
          <w:sz w:val="21"/>
          <w:lang w:val="en-US" w:eastAsia="en-US"/>
        </w:rPr>
        <w:t>Regulation (EU) No 648/2012 of the European Parliament and of the Council of 4 July 2012 on OTC derivatives, central counterparties and trade repositories (OJ L 201, 27.7.2012, p. 1).</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700" w:right="1245" w:bottom="960" w:left="1264" w:header="720" w:footer="720" w:gutter="0"/>
          <w:cols w:space="720"/>
        </w:sectPr>
      </w:pPr>
    </w:p>
    <w:p w:rsidR="00CC47EE" w:rsidRPr="00CC47EE" w:rsidRDefault="00CC47EE" w:rsidP="00780D75">
      <w:pPr>
        <w:spacing w:before="23" w:line="244" w:lineRule="exact"/>
        <w:ind w:left="360"/>
        <w:jc w:val="left"/>
        <w:textAlignment w:val="baseline"/>
        <w:rPr>
          <w:rFonts w:ascii="Bookman Old Style" w:eastAsia="Bookman Old Style" w:hAnsi="Bookman Old Style"/>
          <w:color w:val="6177A8"/>
          <w:sz w:val="13"/>
          <w:lang w:val="en-US" w:eastAsia="en-US"/>
        </w:rPr>
      </w:pPr>
      <w:r>
        <w:rPr>
          <w:rFonts w:ascii="Times New Roman" w:eastAsia="PMingLiU" w:hAnsi="Times New Roman"/>
          <w:noProof/>
        </w:rPr>
        <w:lastRenderedPageBreak/>
        <mc:AlternateContent>
          <mc:Choice Requires="wps">
            <w:drawing>
              <wp:anchor distT="0" distB="0" distL="0" distR="0" simplePos="0" relativeHeight="25169305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4" type="#_x0000_t202" style="position:absolute;left:0;text-align:left;margin-left:67.55pt;margin-top:774.1pt;width:39.9pt;height:27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7psw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NpTzumzAgAA&#10;sQUAAA4AAAAAAAAAAAAAAAAALgIAAGRycy9lMm9Eb2MueG1sUEsBAi0AFAAGAAgAAAAhAD6V1Oji&#10;AAAADQEAAA8AAAAAAAAAAAAAAAAADQUAAGRycy9kb3ducmV2LnhtbFBLBQYAAAAABAAEAPMAAAAc&#10;Bg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4080" behindDoc="0" locked="0" layoutInCell="1" allowOverlap="1">
                <wp:simplePos x="0" y="0"/>
                <wp:positionH relativeFrom="page">
                  <wp:posOffset>3609975</wp:posOffset>
                </wp:positionH>
                <wp:positionV relativeFrom="page">
                  <wp:posOffset>9944735</wp:posOffset>
                </wp:positionV>
                <wp:extent cx="345440" cy="193040"/>
                <wp:effectExtent l="0" t="635" r="0" b="0"/>
                <wp:wrapSquare wrapText="bothSides"/>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before="30" w:line="264" w:lineRule="exact"/>
                              <w:textAlignment w:val="baseline"/>
                              <w:rPr>
                                <w:rFonts w:eastAsia="Times New Roman"/>
                                <w:color w:val="000000"/>
                                <w:spacing w:val="17"/>
                                <w:sz w:val="24"/>
                              </w:rPr>
                            </w:pPr>
                            <w:r>
                              <w:rPr>
                                <w:rFonts w:eastAsia="Times New Roman"/>
                                <w:color w:val="000000"/>
                                <w:spacing w:val="17"/>
                                <w:sz w:val="24"/>
                              </w:rPr>
                              <w:t>344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5" type="#_x0000_t202" style="position:absolute;left:0;text-align:left;margin-left:284.25pt;margin-top:783.05pt;width:27.2pt;height:15.2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" filled="f" stroked="f">
                <v:textbox inset="0,0,0,0">
                  <w:txbxContent>
                    <w:p w:rsidR="00CC47EE" w:rsidRDefault="00CC47EE" w:rsidP="00CC47EE">
                      <w:pPr>
                        <w:spacing w:before="30" w:line="264" w:lineRule="exact"/>
                        <w:textAlignment w:val="baseline"/>
                        <w:rPr>
                          <w:rFonts w:eastAsia="Times New Roman"/>
                          <w:color w:val="000000"/>
                          <w:spacing w:val="17"/>
                          <w:sz w:val="24"/>
                        </w:rPr>
                      </w:pPr>
                      <w:r>
                        <w:rPr>
                          <w:rFonts w:eastAsia="Times New Roman"/>
                          <w:color w:val="000000"/>
                          <w:spacing w:val="17"/>
                          <w:sz w:val="24"/>
                        </w:rPr>
                        <w:t>344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510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6" type="#_x0000_t202" style="position:absolute;left:0;text-align:left;margin-left:487.75pt;margin-top:774.1pt;width:39.9pt;height:2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RKO57ICAACy&#10;BQAADgAAAAAAAAAAAAAAAAAuAgAAZHJzL2Uyb0RvYy54bWxQSwECLQAUAAYACAAAACEA028a8eIA&#10;AAAOAQAADwAAAAAAAAAAAAAAAAAMBQAAZHJzL2Rvd25yZXYueG1sUEsFBgAAAAAEAAQA8wAAABsG&#10;A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p>
    <w:p w:rsidR="00780D75" w:rsidRDefault="00780D75" w:rsidP="00CC47EE">
      <w:pPr>
        <w:spacing w:before="252" w:line="304" w:lineRule="exact"/>
        <w:ind w:left="936" w:right="144"/>
        <w:textAlignment w:val="baseline"/>
        <w:rPr>
          <w:rFonts w:ascii="Times New Roman" w:eastAsia="Times New Roman" w:hAnsi="Times New Roman"/>
          <w:color w:val="000000"/>
          <w:sz w:val="24"/>
          <w:lang w:val="en-US" w:eastAsia="en-US"/>
        </w:rPr>
      </w:pPr>
    </w:p>
    <w:p w:rsidR="00CC47EE" w:rsidRPr="00CC47EE" w:rsidRDefault="00CC47EE" w:rsidP="00CC47EE">
      <w:pPr>
        <w:spacing w:before="252" w:line="304" w:lineRule="exact"/>
        <w:ind w:left="936"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operational requirements regarding margining and netting applied to economically equivalent contracts already cleared by the CCP should be subject to a review by the risk committee of the CCP and be considered as a significant change to the models and parameters for the purpose of the review procedure as provided for by Regulation (EU) No 648/2012. Such a review should validate that the new models and parameters are non-discriminatory and based on relevant risk considerations.</w:t>
      </w:r>
    </w:p>
    <w:p w:rsidR="00CC47EE" w:rsidRPr="00CC47EE" w:rsidRDefault="00CC47EE" w:rsidP="00780D75">
      <w:pPr>
        <w:numPr>
          <w:ilvl w:val="0"/>
          <w:numId w:val="15"/>
        </w:numPr>
        <w:tabs>
          <w:tab w:val="clear" w:pos="720"/>
        </w:tabs>
        <w:spacing w:before="247"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 xml:space="preserve">Regulation (EU) No 648/2012 prevents competitive distortions by requiring non- </w:t>
      </w:r>
      <w:r w:rsidRPr="00CC47EE">
        <w:rPr>
          <w:rFonts w:ascii="Times New Roman" w:eastAsia="Times New Roman" w:hAnsi="Times New Roman"/>
          <w:color w:val="000000"/>
          <w:sz w:val="24"/>
          <w:lang w:val="en-US" w:eastAsia="en-US"/>
        </w:rPr>
        <w:br/>
        <w:t>discriminatory access to CCPs offering clearing of OTC derivatives to trading venues. In turn, Regulation (EU) No 600/2014 recognises the need to introduce similar requirements for regulated markets. Given that a CCP may clear both OTC and exchange-traded derivatives, non-discriminatory treatment of economically equivalent contracts traded on a trading venue requesting access to a CCP should take into account all relevant contracts cleared by that CCP, irrespective of where the contracts are traded.</w:t>
      </w:r>
    </w:p>
    <w:p w:rsidR="00CC47EE" w:rsidRPr="00CC47EE" w:rsidRDefault="00CC47EE" w:rsidP="00CC47EE">
      <w:pPr>
        <w:numPr>
          <w:ilvl w:val="0"/>
          <w:numId w:val="15"/>
        </w:numPr>
        <w:tabs>
          <w:tab w:val="left" w:pos="936"/>
        </w:tabs>
        <w:spacing w:before="251"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Article 35 (6)(e) of Regulation (EU) No 600/2014 refers to the cross-margining of correlated contracts. The term "portfolio margining" should be used when referring to correlated contracts cleared by the same CCP, rather than "cross-margining" which is used in contexts involving margining between two CCPs, e.g. in relation to interoperability arrangements.</w:t>
      </w:r>
    </w:p>
    <w:p w:rsidR="00CC47EE" w:rsidRPr="00CC47EE" w:rsidRDefault="00CC47EE" w:rsidP="00CC47EE">
      <w:pPr>
        <w:numPr>
          <w:ilvl w:val="0"/>
          <w:numId w:val="15"/>
        </w:numPr>
        <w:tabs>
          <w:tab w:val="left" w:pos="936"/>
        </w:tabs>
        <w:spacing w:before="246"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notification by a relevant competent authority to the CCP college and the European Securities and Markets Authority (ESMA) about the approval of CCP transitional arrangements in accordance with Article 35 of Regulation (EU) No 600/2014 should be made without undue delay in order to assist other relevant competent authorities to understand the impact this will have on the CCP and any trading venues that are connected by close links to that CCP. The notification should contain all relevant information necessary to enable the CCP college and ESMA to understand the decision and to enhance transparency.</w:t>
      </w:r>
    </w:p>
    <w:p w:rsidR="00CC47EE" w:rsidRPr="00CC47EE" w:rsidRDefault="00CC47EE" w:rsidP="00CC47EE">
      <w:pPr>
        <w:numPr>
          <w:ilvl w:val="0"/>
          <w:numId w:val="15"/>
        </w:numPr>
        <w:tabs>
          <w:tab w:val="left" w:pos="936"/>
        </w:tabs>
        <w:spacing w:before="242"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Clear requirements about the information to be provided by CCPs and trading venues when notifying competent authorities and ESMA that they wish to benefit from transitional arrangements in accordance with Articles 35 and 36 of Regulation (EU) No 600/2014 should contribute to a transparent and harmonised application of the notification procedure. It is therefore necessary for the notification procedure to include uniform templates for the notifications so as to enable consistent supervisory practices and a level playing field.</w:t>
      </w:r>
    </w:p>
    <w:p w:rsidR="00CC47EE" w:rsidRPr="00CC47EE" w:rsidRDefault="00CC47EE" w:rsidP="00CC47EE">
      <w:pPr>
        <w:numPr>
          <w:ilvl w:val="0"/>
          <w:numId w:val="15"/>
        </w:numPr>
        <w:tabs>
          <w:tab w:val="left" w:pos="936"/>
        </w:tabs>
        <w:spacing w:before="250"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It is important to avoid the risk of larger trading venues using calculation methods that minimise their annual notional amount with the aim of benefiting from the opt-out mechanism to the access provisions. Where there are equally accepted alternative approaches to calculating notional amount, using the calculation which gives the higher value helps avoid that risk. The methods used for calculating notional amount for the purposes of Regulation (EU) No 600/2014 should enable genuinely smaller</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42" w:bottom="960" w:left="1267" w:header="720" w:footer="720" w:gutter="0"/>
          <w:cols w:space="720"/>
        </w:sectPr>
      </w:pPr>
    </w:p>
    <w:p w:rsidR="00CC47EE" w:rsidRPr="00CC47EE" w:rsidRDefault="00CC47EE" w:rsidP="00CC47EE">
      <w:pPr>
        <w:spacing w:before="1" w:after="319"/>
        <w:ind w:left="147" w:right="8365"/>
        <w:jc w:val="left"/>
        <w:textAlignment w:val="baseline"/>
        <w:rPr>
          <w:rFonts w:ascii="Times New Roman" w:eastAsia="PMingLiU" w:hAnsi="Times New Roman"/>
          <w:lang w:val="en-US" w:eastAsia="en-US"/>
        </w:rPr>
      </w:pPr>
      <w:r w:rsidRPr="00CC47EE">
        <w:rPr>
          <w:rFonts w:ascii="Times New Roman" w:eastAsia="PMingLiU" w:hAnsi="Times New Roman"/>
          <w:noProof/>
        </w:rPr>
        <w:lastRenderedPageBreak/>
        <w:drawing>
          <wp:inline distT="0" distB="0" distL="0" distR="0" wp14:anchorId="239E4AF4" wp14:editId="0AAE4537">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9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CC47EE" w:rsidRPr="00CC47EE" w:rsidRDefault="00CC47EE" w:rsidP="00CC47EE">
      <w:pPr>
        <w:spacing w:line="296"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6128" behindDoc="0" locked="0" layoutInCell="1" allowOverlap="1">
                <wp:simplePos x="0" y="0"/>
                <wp:positionH relativeFrom="page">
                  <wp:posOffset>802640</wp:posOffset>
                </wp:positionH>
                <wp:positionV relativeFrom="page">
                  <wp:posOffset>9831070</wp:posOffset>
                </wp:positionV>
                <wp:extent cx="561975" cy="342900"/>
                <wp:effectExtent l="2540" t="1270" r="0"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ind w:left="72"/>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7" type="#_x0000_t202" style="position:absolute;left:0;text-align:left;margin-left:63.2pt;margin-top:774.1pt;width:44.25pt;height:27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0h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" filled="f" stroked="f">
                <v:textbox inset="0,0,0,0">
                  <w:txbxContent>
                    <w:p w:rsidR="00CC47EE" w:rsidRDefault="00CC47EE" w:rsidP="00CC47EE">
                      <w:pPr>
                        <w:spacing w:line="530" w:lineRule="exact"/>
                        <w:ind w:left="72"/>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7152" behindDoc="0" locked="0" layoutInCell="1" allowOverlap="1">
                <wp:simplePos x="0" y="0"/>
                <wp:positionH relativeFrom="page">
                  <wp:posOffset>3609975</wp:posOffset>
                </wp:positionH>
                <wp:positionV relativeFrom="page">
                  <wp:posOffset>9968230</wp:posOffset>
                </wp:positionV>
                <wp:extent cx="339090" cy="172085"/>
                <wp:effectExtent l="0" t="0" r="3810" b="381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257" w:lineRule="exact"/>
                              <w:textAlignment w:val="baseline"/>
                              <w:rPr>
                                <w:rFonts w:eastAsia="Times New Roman"/>
                                <w:color w:val="000000"/>
                                <w:spacing w:val="15"/>
                                <w:sz w:val="24"/>
                              </w:rPr>
                            </w:pPr>
                            <w:r>
                              <w:rPr>
                                <w:rFonts w:eastAsia="Times New Roman"/>
                                <w:color w:val="000000"/>
                                <w:spacing w:val="15"/>
                                <w:sz w:val="24"/>
                              </w:rPr>
                              <w:t>345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left:0;text-align:left;margin-left:284.25pt;margin-top:784.9pt;width:26.7pt;height:13.5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lMsQIAALI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" filled="f" stroked="f">
                <v:textbox inset="0,0,0,0">
                  <w:txbxContent>
                    <w:p w:rsidR="00CC47EE" w:rsidRDefault="00CC47EE" w:rsidP="00CC47EE">
                      <w:pPr>
                        <w:spacing w:line="257" w:lineRule="exact"/>
                        <w:textAlignment w:val="baseline"/>
                        <w:rPr>
                          <w:rFonts w:eastAsia="Times New Roman"/>
                          <w:color w:val="000000"/>
                          <w:spacing w:val="15"/>
                          <w:sz w:val="24"/>
                        </w:rPr>
                      </w:pPr>
                      <w:r>
                        <w:rPr>
                          <w:rFonts w:eastAsia="Times New Roman"/>
                          <w:color w:val="000000"/>
                          <w:spacing w:val="15"/>
                          <w:sz w:val="24"/>
                        </w:rPr>
                        <w:t>345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817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9" type="#_x0000_t202" style="position:absolute;left:0;text-align:left;margin-left:487.75pt;margin-top:774.1pt;width:39.9pt;height:27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FtA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8a+2FtAIA&#10;ALIFAAAOAAAAAAAAAAAAAAAAAC4CAABkcnMvZTJvRG9jLnhtbFBLAQItABQABgAIAAAAIQDTbxrx&#10;4gAAAA4BAAAPAAAAAAAAAAAAAAAAAA4FAABkcnMvZG93bnJldi54bWxQSwUGAAAAAAQABADzAAAA&#10;HQY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NuYLW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CC47EE">
        <w:rPr>
          <w:rFonts w:ascii="Times New Roman" w:eastAsia="Times New Roman" w:hAnsi="Times New Roman"/>
          <w:color w:val="000000"/>
          <w:sz w:val="24"/>
          <w:lang w:val="en-US" w:eastAsia="en-US"/>
        </w:rPr>
        <w:t>trading venues that have not yet acquired the technological capability to engage on a level playing field with the majority of the post-trade infrastructure market to make use of the opt-out mechanism. It is also important for the methods prescribed to be straightforward and unambiguous in order to contribute to consistent supervisory practices and a level playing field.</w:t>
      </w:r>
    </w:p>
    <w:p w:rsidR="00CC47EE" w:rsidRPr="00CC47EE" w:rsidRDefault="00CC47EE" w:rsidP="00CC47EE">
      <w:pPr>
        <w:numPr>
          <w:ilvl w:val="0"/>
          <w:numId w:val="16"/>
        </w:numPr>
        <w:tabs>
          <w:tab w:val="left" w:pos="864"/>
        </w:tabs>
        <w:spacing w:before="250" w:line="304" w:lineRule="exact"/>
        <w:ind w:left="86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It is important for trading venues to be consistent about calculating their notional amount for the purposes of Regulation (EU) No 600/2014 so that the access provisions can be applied fairly by trading venues. This is particularly relevant for certain types of exchange-traded derivatives, traded in units, such as barrels or tons.</w:t>
      </w:r>
    </w:p>
    <w:p w:rsidR="00CC47EE" w:rsidRPr="00CC47EE" w:rsidRDefault="00CC47EE" w:rsidP="00CC47EE">
      <w:pPr>
        <w:numPr>
          <w:ilvl w:val="0"/>
          <w:numId w:val="16"/>
        </w:numPr>
        <w:tabs>
          <w:tab w:val="left" w:pos="864"/>
        </w:tabs>
        <w:spacing w:before="250" w:line="304" w:lineRule="exact"/>
        <w:ind w:left="86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 requirements in respect of non-discriminatory access to CCPs and trading venues set out in Regulation (EU) No 600/2014 apply from 3 January 2017. To ensure consistency and legal certainty, this Regulation should apply from the same date. However, to ensure that CCPs and trading venues may benefit from the transitional arrangements, it is necessary for certain transitional provisions to apply at an earlier date.</w:t>
      </w:r>
    </w:p>
    <w:p w:rsidR="00CC47EE" w:rsidRPr="00CC47EE" w:rsidRDefault="00CC47EE" w:rsidP="00CC47EE">
      <w:pPr>
        <w:numPr>
          <w:ilvl w:val="0"/>
          <w:numId w:val="16"/>
        </w:numPr>
        <w:tabs>
          <w:tab w:val="left" w:pos="864"/>
        </w:tabs>
        <w:spacing w:before="249" w:line="303" w:lineRule="exact"/>
        <w:ind w:left="86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 provisions in this Regulation are closely linked, since they deal with the denial and granting of access to CCPs and trading venues, incl. the procedure for CCPs and trading venues to opt out. To ensure coherence between those provisions, most of which should enter into force at the same time, and to facilitate a comprehensive view and compact access to them by persons subject to those obligations, it is desirable to include these regulatory technical standards in a single Regulation.</w:t>
      </w:r>
    </w:p>
    <w:p w:rsidR="00CC47EE" w:rsidRPr="00CC47EE" w:rsidRDefault="00CC47EE" w:rsidP="00CC47EE">
      <w:pPr>
        <w:numPr>
          <w:ilvl w:val="0"/>
          <w:numId w:val="16"/>
        </w:numPr>
        <w:tabs>
          <w:tab w:val="left" w:pos="864"/>
        </w:tabs>
        <w:spacing w:before="248" w:line="305" w:lineRule="exact"/>
        <w:ind w:left="86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This Regulation is based on the draft regulatory technical standards submitted by ESMA to the Commission.</w:t>
      </w:r>
    </w:p>
    <w:p w:rsidR="00CC47EE" w:rsidRPr="00CC47EE" w:rsidRDefault="00CC47EE" w:rsidP="00CC47EE">
      <w:pPr>
        <w:numPr>
          <w:ilvl w:val="0"/>
          <w:numId w:val="16"/>
        </w:numPr>
        <w:tabs>
          <w:tab w:val="left" w:pos="864"/>
        </w:tabs>
        <w:spacing w:before="255" w:line="302" w:lineRule="exact"/>
        <w:ind w:left="86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CC47EE">
        <w:rPr>
          <w:rFonts w:ascii="Times New Roman" w:eastAsia="Times New Roman" w:hAnsi="Times New Roman"/>
          <w:color w:val="000000"/>
          <w:sz w:val="24"/>
          <w:vertAlign w:val="superscript"/>
          <w:lang w:val="en-US" w:eastAsia="en-US"/>
        </w:rPr>
        <w:t>3</w:t>
      </w:r>
      <w:r w:rsidRPr="00CC47EE">
        <w:rPr>
          <w:rFonts w:ascii="Times New Roman" w:eastAsia="Times New Roman" w:hAnsi="Times New Roman"/>
          <w:color w:val="000000"/>
          <w:sz w:val="24"/>
          <w:lang w:val="en-US" w:eastAsia="en-US"/>
        </w:rPr>
        <w:t>,</w:t>
      </w:r>
    </w:p>
    <w:p w:rsidR="00CC47EE" w:rsidRPr="00CC47EE" w:rsidRDefault="00CC47EE" w:rsidP="00CC47EE">
      <w:pPr>
        <w:spacing w:before="835" w:line="273" w:lineRule="exact"/>
        <w:ind w:lef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HAS ADOPTED THIS REGULATION:</w:t>
      </w:r>
    </w:p>
    <w:p w:rsidR="00CC47EE" w:rsidRPr="00CC47EE" w:rsidRDefault="00CC47EE" w:rsidP="00CC47EE">
      <w:pPr>
        <w:spacing w:before="704" w:after="357" w:line="278" w:lineRule="exact"/>
        <w:jc w:val="center"/>
        <w:textAlignment w:val="baseline"/>
        <w:rPr>
          <w:rFonts w:ascii="Times New Roman" w:eastAsia="Times New Roman" w:hAnsi="Times New Roman"/>
          <w:i/>
          <w:color w:val="000000"/>
          <w:spacing w:val="2"/>
          <w:sz w:val="24"/>
          <w:lang w:val="en-US" w:eastAsia="en-US"/>
        </w:rPr>
      </w:pPr>
      <w:r w:rsidRPr="00CC47EE">
        <w:rPr>
          <w:rFonts w:ascii="Times New Roman" w:eastAsia="Times New Roman" w:hAnsi="Times New Roman"/>
          <w:i/>
          <w:color w:val="000000"/>
          <w:spacing w:val="2"/>
          <w:sz w:val="24"/>
          <w:lang w:val="en-US" w:eastAsia="en-US"/>
        </w:rPr>
        <w:t>SECTION I</w:t>
      </w:r>
    </w:p>
    <w:p w:rsidR="00CC47EE" w:rsidRPr="00CC47EE" w:rsidRDefault="00CC47EE" w:rsidP="00CC47EE">
      <w:pPr>
        <w:spacing w:before="275" w:line="229" w:lineRule="exact"/>
        <w:ind w:left="144" w:right="144"/>
        <w:textAlignment w:val="baseline"/>
        <w:rPr>
          <w:rFonts w:ascii="Times New Roman" w:eastAsia="Times New Roman" w:hAnsi="Times New Roman"/>
          <w:color w:val="000000"/>
          <w:sz w:val="13"/>
          <w:lang w:val="en-US" w:eastAsia="en-US"/>
        </w:rPr>
      </w:pPr>
      <w:r>
        <w:rPr>
          <w:rFonts w:ascii="Times New Roman" w:eastAsia="PMingLiU" w:hAnsi="Times New Roman"/>
          <w:noProof/>
        </w:rPr>
        <mc:AlternateContent>
          <mc:Choice Requires="wps">
            <w:drawing>
              <wp:anchor distT="0" distB="0" distL="114300" distR="114300" simplePos="0" relativeHeight="251665408"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F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Bx+KPFHgIAADkEAAAOAAAAAAAAAAAAAAAAAC4CAABkcnMvZTJvRG9jLnhtbFBL&#10;AQItABQABgAIAAAAIQATDMwQ3wAAAA0BAAAPAAAAAAAAAAAAAAAAAHgEAABkcnMvZG93bnJldi54&#10;bWxQSwUGAAAAAAQABADzAAAAhAUAAAAA&#10;" strokeweight=".95pt">
                <w10:wrap anchorx="page" anchory="page"/>
              </v:line>
            </w:pict>
          </mc:Fallback>
        </mc:AlternateContent>
      </w:r>
      <w:r w:rsidRPr="00CC47EE">
        <w:rPr>
          <w:rFonts w:ascii="Times New Roman" w:eastAsia="Times New Roman" w:hAnsi="Times New Roman"/>
          <w:color w:val="000000"/>
          <w:sz w:val="13"/>
          <w:lang w:val="en-US" w:eastAsia="en-US"/>
        </w:rPr>
        <w:t xml:space="preserve">3 </w:t>
      </w:r>
      <w:r w:rsidRPr="00CC47EE">
        <w:rPr>
          <w:rFonts w:ascii="Times New Roman" w:eastAsia="Times New Roman" w:hAnsi="Times New Roman"/>
          <w:color w:val="000000"/>
          <w:sz w:val="20"/>
          <w:lang w:val="en-US" w:eastAsia="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700" w:right="1245" w:bottom="960" w:left="1264" w:header="720" w:footer="720" w:gutter="0"/>
          <w:cols w:space="720"/>
        </w:sectPr>
      </w:pPr>
    </w:p>
    <w:p w:rsidR="00780D75" w:rsidRDefault="00780D75" w:rsidP="00CC47EE">
      <w:pPr>
        <w:spacing w:before="272" w:line="274" w:lineRule="exact"/>
        <w:jc w:val="center"/>
        <w:textAlignment w:val="baseline"/>
        <w:rPr>
          <w:rFonts w:ascii="Times New Roman" w:eastAsia="Times New Roman" w:hAnsi="Times New Roman"/>
          <w:b/>
          <w:i/>
          <w:color w:val="000000"/>
          <w:sz w:val="24"/>
          <w:lang w:val="en-US" w:eastAsia="en-US"/>
        </w:rPr>
      </w:pPr>
    </w:p>
    <w:p w:rsidR="00CC47EE" w:rsidRPr="00CC47EE" w:rsidRDefault="00CC47EE" w:rsidP="00CC47EE">
      <w:pPr>
        <w:spacing w:before="272" w:line="274" w:lineRule="exact"/>
        <w:jc w:val="center"/>
        <w:textAlignment w:val="baseline"/>
        <w:rPr>
          <w:rFonts w:ascii="Times New Roman" w:eastAsia="Times New Roman" w:hAnsi="Times New Roman"/>
          <w:b/>
          <w:i/>
          <w:color w:val="000000"/>
          <w:sz w:val="24"/>
          <w:lang w:val="en-US" w:eastAsia="en-US"/>
        </w:rPr>
      </w:pPr>
      <w:r w:rsidRPr="00CC47EE">
        <w:rPr>
          <w:rFonts w:ascii="Times New Roman" w:eastAsia="Times New Roman" w:hAnsi="Times New Roman"/>
          <w:b/>
          <w:i/>
          <w:color w:val="000000"/>
          <w:sz w:val="24"/>
          <w:lang w:val="en-US" w:eastAsia="en-US"/>
        </w:rPr>
        <w:t>Non-discriminatory access to CCPs and Trading Venues</w:t>
      </w:r>
    </w:p>
    <w:p w:rsidR="00CC47EE" w:rsidRPr="00CC47EE" w:rsidRDefault="00CC47EE" w:rsidP="00CC47EE">
      <w:pPr>
        <w:spacing w:before="701" w:line="278" w:lineRule="exact"/>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1</w:t>
      </w:r>
    </w:p>
    <w:p w:rsidR="00CC47EE" w:rsidRPr="00CC47EE" w:rsidRDefault="00CC47EE" w:rsidP="00CC47EE">
      <w:pPr>
        <w:spacing w:before="149"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Conditions on the denial of access by a CCP</w:t>
      </w:r>
    </w:p>
    <w:p w:rsidR="00CC47EE" w:rsidRPr="00CC47EE" w:rsidRDefault="00CC47EE" w:rsidP="00CC47EE">
      <w:pPr>
        <w:numPr>
          <w:ilvl w:val="0"/>
          <w:numId w:val="17"/>
        </w:numPr>
        <w:tabs>
          <w:tab w:val="left" w:pos="720"/>
        </w:tabs>
        <w:spacing w:before="242" w:line="304"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shall assess whether granting access would create any of the risks specified in Articles 2, 3 and 4 and may deny access only if, after making all reasonable efforts to manage its risks, there remain significant undue risks that cannot be managed.</w:t>
      </w:r>
    </w:p>
    <w:p w:rsidR="00CC47EE" w:rsidRPr="00CC47EE" w:rsidRDefault="00CC47EE" w:rsidP="00CC47EE">
      <w:pPr>
        <w:numPr>
          <w:ilvl w:val="0"/>
          <w:numId w:val="17"/>
        </w:numPr>
        <w:tabs>
          <w:tab w:val="left" w:pos="720"/>
        </w:tabs>
        <w:spacing w:before="252" w:line="302"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If a CCP denies access, it shall identify which risks specified in Articles 2, 3 and 4 would result from granting access and why those risks cannot be managed.</w:t>
      </w:r>
    </w:p>
    <w:p w:rsidR="00CC47EE" w:rsidRPr="00CC47EE" w:rsidRDefault="00CC47EE" w:rsidP="00CC47EE">
      <w:pPr>
        <w:spacing w:before="706"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2</w:t>
      </w:r>
    </w:p>
    <w:p w:rsidR="00CC47EE" w:rsidRPr="00CC47EE" w:rsidRDefault="00CC47EE" w:rsidP="00CC47EE">
      <w:pPr>
        <w:spacing w:before="150"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Denial of access by a CCP based on the anticipated volume of transactions</w:t>
      </w:r>
    </w:p>
    <w:p w:rsidR="00CC47EE" w:rsidRPr="00CC47EE" w:rsidRDefault="00CC47EE" w:rsidP="00CC47EE">
      <w:pPr>
        <w:spacing w:before="239" w:line="307"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may deny an access request on grounds of the anticipated volume of transactions arising from such access only where this would result in one of the following:</w:t>
      </w:r>
    </w:p>
    <w:p w:rsidR="00CC47EE" w:rsidRPr="00CC47EE" w:rsidRDefault="00CC47EE" w:rsidP="00CC47EE">
      <w:pPr>
        <w:numPr>
          <w:ilvl w:val="0"/>
          <w:numId w:val="18"/>
        </w:numPr>
        <w:tabs>
          <w:tab w:val="left" w:pos="792"/>
        </w:tabs>
        <w:spacing w:before="250" w:line="302"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exceeding the scalable design of the CCP to such an extent that the CCP cannot adapt its systems so as to deal with the anticipated volume of transactions;</w:t>
      </w:r>
    </w:p>
    <w:p w:rsidR="00CC47EE" w:rsidRPr="00CC47EE" w:rsidRDefault="00CC47EE" w:rsidP="00CC47EE">
      <w:pPr>
        <w:numPr>
          <w:ilvl w:val="0"/>
          <w:numId w:val="18"/>
        </w:numPr>
        <w:tabs>
          <w:tab w:val="left" w:pos="792"/>
        </w:tabs>
        <w:spacing w:before="244" w:line="308"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exceeding the planned capacity of the CCP in a way that the CCP would not be able to acquire the required extra capacity to clear the anticipated volume of transactions.</w:t>
      </w:r>
    </w:p>
    <w:p w:rsidR="00CC47EE" w:rsidRPr="00CC47EE" w:rsidRDefault="00CC47EE" w:rsidP="00CC47EE">
      <w:pPr>
        <w:spacing w:before="700" w:line="278" w:lineRule="exact"/>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3</w:t>
      </w:r>
    </w:p>
    <w:p w:rsidR="00CC47EE" w:rsidRPr="00CC47EE" w:rsidRDefault="00CC47EE" w:rsidP="00CC47EE">
      <w:pPr>
        <w:spacing w:before="154"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Denial of access by a CCP based on operational risk and complexity</w:t>
      </w:r>
    </w:p>
    <w:p w:rsidR="00CC47EE" w:rsidRPr="00CC47EE" w:rsidRDefault="00CC47EE" w:rsidP="00CC47EE">
      <w:pPr>
        <w:spacing w:line="549" w:lineRule="exact"/>
        <w:ind w:left="144" w:right="1296"/>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may deny an access request on grounds of operational risk and complexity. Relevant types of risks shall include any of the following:</w:t>
      </w:r>
    </w:p>
    <w:p w:rsidR="00CC47EE" w:rsidRPr="00CC47EE" w:rsidRDefault="00CC47EE" w:rsidP="00CC47EE">
      <w:pPr>
        <w:numPr>
          <w:ilvl w:val="0"/>
          <w:numId w:val="19"/>
        </w:numPr>
        <w:tabs>
          <w:tab w:val="left" w:pos="792"/>
        </w:tabs>
        <w:spacing w:before="245" w:line="307"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incompatibility of CCP and trading venue IT systems impeding the CCP to provide for connectivity between the systems;</w:t>
      </w:r>
    </w:p>
    <w:p w:rsidR="00CC47EE" w:rsidRPr="00CC47EE" w:rsidRDefault="00CC47EE" w:rsidP="00CC47EE">
      <w:pPr>
        <w:numPr>
          <w:ilvl w:val="0"/>
          <w:numId w:val="19"/>
        </w:numPr>
        <w:tabs>
          <w:tab w:val="left" w:pos="792"/>
        </w:tabs>
        <w:spacing w:before="248"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lack of human resources with the necessary knowledge, skills and experience to perform the CCP's functions regarding the risk stemming from additional financial instruments where these differ from financial instruments already cleared by the CCP or inability to deploy such human resources.</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52" w:bottom="1340" w:left="1257" w:header="720" w:footer="720" w:gutter="0"/>
          <w:cols w:space="720"/>
        </w:sectPr>
      </w:pPr>
    </w:p>
    <w:p w:rsidR="00780D75" w:rsidRDefault="00780D75" w:rsidP="00CC47EE">
      <w:pPr>
        <w:spacing w:before="326" w:line="274" w:lineRule="exact"/>
        <w:jc w:val="center"/>
        <w:textAlignment w:val="baseline"/>
        <w:rPr>
          <w:rFonts w:ascii="Times New Roman" w:eastAsia="Times New Roman" w:hAnsi="Times New Roman"/>
          <w:b/>
          <w:color w:val="000000"/>
          <w:sz w:val="24"/>
          <w:lang w:val="en-US" w:eastAsia="en-US"/>
        </w:rPr>
      </w:pPr>
    </w:p>
    <w:p w:rsidR="00780D75" w:rsidRDefault="00780D75" w:rsidP="00CC47EE">
      <w:pPr>
        <w:spacing w:before="326" w:line="274" w:lineRule="exact"/>
        <w:jc w:val="center"/>
        <w:textAlignment w:val="baseline"/>
        <w:rPr>
          <w:rFonts w:ascii="Times New Roman" w:eastAsia="Times New Roman" w:hAnsi="Times New Roman"/>
          <w:b/>
          <w:color w:val="000000"/>
          <w:sz w:val="24"/>
          <w:lang w:val="en-US" w:eastAsia="en-US"/>
        </w:rPr>
      </w:pPr>
    </w:p>
    <w:p w:rsidR="00CC47EE" w:rsidRPr="00CC47EE" w:rsidRDefault="00CC47EE" w:rsidP="00CC47EE">
      <w:pPr>
        <w:spacing w:before="326"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Denial of access by a CCP based on other factors creating significant undue risks</w:t>
      </w:r>
    </w:p>
    <w:p w:rsidR="00CC47EE" w:rsidRPr="00CC47EE" w:rsidRDefault="00CC47EE" w:rsidP="00CC47EE">
      <w:pPr>
        <w:spacing w:before="274" w:line="273" w:lineRule="exact"/>
        <w:ind w:left="144"/>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1. A CCP may deny an access request on grounds of significant undue risks where:</w:t>
      </w:r>
    </w:p>
    <w:p w:rsidR="00CC47EE" w:rsidRPr="00CC47EE" w:rsidRDefault="00CC47EE" w:rsidP="00CC47EE">
      <w:pPr>
        <w:numPr>
          <w:ilvl w:val="0"/>
          <w:numId w:val="20"/>
        </w:numPr>
        <w:tabs>
          <w:tab w:val="left" w:pos="792"/>
        </w:tabs>
        <w:spacing w:before="253" w:line="302"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 CCP does not offer clearing services in respect of the financial instruments for which access is being requested and would not be able with reasonable efforts to launch a clearing service consistent with the requirements set out in Titles II, III and W of Regulation (EU) No 648/2012;</w:t>
      </w:r>
    </w:p>
    <w:p w:rsidR="00CC47EE" w:rsidRPr="00CC47EE" w:rsidRDefault="00CC47EE" w:rsidP="00CC47EE">
      <w:pPr>
        <w:numPr>
          <w:ilvl w:val="0"/>
          <w:numId w:val="20"/>
        </w:numPr>
        <w:tabs>
          <w:tab w:val="left" w:pos="792"/>
        </w:tabs>
        <w:spacing w:before="261" w:line="299"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granting access would threaten the economic viability of the CCP or its ability to meet minimum capital requirements under Article 16 of Regulation (EU) No 648/2012;</w:t>
      </w:r>
    </w:p>
    <w:p w:rsidR="00CC47EE" w:rsidRPr="00CC47EE" w:rsidRDefault="00CC47EE" w:rsidP="00CC47EE">
      <w:pPr>
        <w:numPr>
          <w:ilvl w:val="0"/>
          <w:numId w:val="20"/>
        </w:numPr>
        <w:tabs>
          <w:tab w:val="left" w:pos="792"/>
        </w:tabs>
        <w:spacing w:before="280" w:line="273" w:lineRule="exact"/>
        <w:ind w:left="648"/>
        <w:jc w:val="left"/>
        <w:textAlignment w:val="baseline"/>
        <w:rPr>
          <w:rFonts w:ascii="Times New Roman" w:eastAsia="Times New Roman" w:hAnsi="Times New Roman"/>
          <w:color w:val="000000"/>
          <w:spacing w:val="-3"/>
          <w:sz w:val="24"/>
          <w:lang w:val="en-US" w:eastAsia="en-US"/>
        </w:rPr>
      </w:pPr>
      <w:r w:rsidRPr="00CC47EE">
        <w:rPr>
          <w:rFonts w:ascii="Times New Roman" w:eastAsia="Times New Roman" w:hAnsi="Times New Roman"/>
          <w:color w:val="000000"/>
          <w:spacing w:val="-3"/>
          <w:sz w:val="24"/>
          <w:lang w:val="en-US" w:eastAsia="en-US"/>
        </w:rPr>
        <w:t>there are legal risks;</w:t>
      </w:r>
    </w:p>
    <w:p w:rsidR="00CC47EE" w:rsidRPr="00CC47EE" w:rsidRDefault="00CC47EE" w:rsidP="00CC47EE">
      <w:pPr>
        <w:numPr>
          <w:ilvl w:val="0"/>
          <w:numId w:val="20"/>
        </w:numPr>
        <w:tabs>
          <w:tab w:val="left" w:pos="792"/>
        </w:tabs>
        <w:spacing w:before="245" w:line="308"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there is an incompatibility of CCP rules and trading venue rules that the CCP cannot remedy in cooperation with the trading venue.</w:t>
      </w:r>
    </w:p>
    <w:p w:rsidR="00CC47EE" w:rsidRPr="00CC47EE" w:rsidRDefault="00CC47EE" w:rsidP="00CC47EE">
      <w:pPr>
        <w:spacing w:before="248"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2. A CCP may refuse an access request based on legal risk as referred to in paragraph 1(c), where as a result of granting access, the CCP would not be able to enforce its rules relating to close out netting and default procedures or cannot manage the risks arising from the simultaneous use of different trade acceptance models.</w:t>
      </w:r>
    </w:p>
    <w:p w:rsidR="00CC47EE" w:rsidRPr="00CC47EE" w:rsidRDefault="00CC47EE" w:rsidP="00CC47EE">
      <w:pPr>
        <w:spacing w:before="700"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5</w:t>
      </w:r>
    </w:p>
    <w:p w:rsidR="00CC47EE" w:rsidRPr="00CC47EE" w:rsidRDefault="00CC47EE" w:rsidP="00CC47EE">
      <w:pPr>
        <w:spacing w:before="155"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Conditions on the denial of access by a trading venue</w:t>
      </w:r>
    </w:p>
    <w:p w:rsidR="00CC47EE" w:rsidRPr="00CC47EE" w:rsidRDefault="00CC47EE" w:rsidP="00CC47EE">
      <w:pPr>
        <w:numPr>
          <w:ilvl w:val="0"/>
          <w:numId w:val="21"/>
        </w:numPr>
        <w:tabs>
          <w:tab w:val="left" w:pos="648"/>
        </w:tabs>
        <w:spacing w:before="243" w:line="304"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trading venue shall assess whether granting access would create any of the risks specified in Articles 6 and 7 and may deny access only if, after making all reasonable efforts to manage its risks, there remain significant undue risks that cannot be managed.</w:t>
      </w:r>
    </w:p>
    <w:p w:rsidR="00CC47EE" w:rsidRPr="00CC47EE" w:rsidRDefault="00CC47EE" w:rsidP="00CC47EE">
      <w:pPr>
        <w:numPr>
          <w:ilvl w:val="0"/>
          <w:numId w:val="21"/>
        </w:numPr>
        <w:tabs>
          <w:tab w:val="left" w:pos="648"/>
        </w:tabs>
        <w:spacing w:before="250"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If a trading venue denies access, it shall identify which risks specified in Articles 5 and 6 would result from granting access and why those risks cannot be managed.</w:t>
      </w:r>
    </w:p>
    <w:p w:rsidR="00CC47EE" w:rsidRPr="00CC47EE" w:rsidRDefault="00CC47EE" w:rsidP="00CC47EE">
      <w:pPr>
        <w:spacing w:before="705" w:line="278" w:lineRule="exact"/>
        <w:jc w:val="center"/>
        <w:textAlignment w:val="baseline"/>
        <w:rPr>
          <w:rFonts w:ascii="Times New Roman" w:eastAsia="Times New Roman" w:hAnsi="Times New Roman"/>
          <w:i/>
          <w:color w:val="000000"/>
          <w:spacing w:val="2"/>
          <w:sz w:val="24"/>
          <w:lang w:val="en-US" w:eastAsia="en-US"/>
        </w:rPr>
      </w:pPr>
      <w:r w:rsidRPr="00CC47EE">
        <w:rPr>
          <w:rFonts w:ascii="Times New Roman" w:eastAsia="Times New Roman" w:hAnsi="Times New Roman"/>
          <w:i/>
          <w:color w:val="000000"/>
          <w:spacing w:val="2"/>
          <w:sz w:val="24"/>
          <w:lang w:val="en-US" w:eastAsia="en-US"/>
        </w:rPr>
        <w:t>Article 6</w:t>
      </w:r>
    </w:p>
    <w:p w:rsidR="00CC47EE" w:rsidRPr="00CC47EE" w:rsidRDefault="00CC47EE" w:rsidP="00CC47EE">
      <w:pPr>
        <w:spacing w:before="149"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Denial of access by a trading venue based on operational risk and complexity</w:t>
      </w:r>
    </w:p>
    <w:p w:rsidR="00CC47EE" w:rsidRPr="00CC47EE" w:rsidRDefault="00CC47EE" w:rsidP="00CC47EE">
      <w:pPr>
        <w:spacing w:before="243"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trading venue may deny an access request on grounds of operational risk and complexity arising from such access only if the relevant types of risks could result in incompatibility of CCP IT systems and trading venue IT systems, impeding the trading venue to provide for connectivity between those systems.</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45" w:bottom="1526" w:left="1264" w:header="720" w:footer="720" w:gutter="0"/>
          <w:cols w:space="720"/>
        </w:sectPr>
      </w:pPr>
    </w:p>
    <w:p w:rsidR="00780D75" w:rsidRDefault="00780D75" w:rsidP="00CC47EE">
      <w:pPr>
        <w:spacing w:before="284" w:line="301" w:lineRule="exact"/>
        <w:ind w:left="360"/>
        <w:jc w:val="left"/>
        <w:textAlignment w:val="baseline"/>
        <w:rPr>
          <w:rFonts w:ascii="Times New Roman" w:eastAsia="Times New Roman" w:hAnsi="Times New Roman"/>
          <w:b/>
          <w:color w:val="000000"/>
          <w:sz w:val="24"/>
          <w:lang w:val="en-US" w:eastAsia="en-US"/>
        </w:rPr>
      </w:pPr>
    </w:p>
    <w:p w:rsidR="00780D75" w:rsidRDefault="00780D75" w:rsidP="00CC47EE">
      <w:pPr>
        <w:spacing w:before="284" w:line="301" w:lineRule="exact"/>
        <w:ind w:left="360"/>
        <w:jc w:val="left"/>
        <w:textAlignment w:val="baseline"/>
        <w:rPr>
          <w:rFonts w:ascii="Times New Roman" w:eastAsia="Times New Roman" w:hAnsi="Times New Roman"/>
          <w:b/>
          <w:color w:val="000000"/>
          <w:sz w:val="24"/>
          <w:lang w:val="en-US" w:eastAsia="en-US"/>
        </w:rPr>
      </w:pPr>
    </w:p>
    <w:p w:rsidR="00CC47EE" w:rsidRPr="00CC47EE" w:rsidRDefault="00CC47EE" w:rsidP="00CC47EE">
      <w:pPr>
        <w:spacing w:before="284" w:line="301" w:lineRule="exact"/>
        <w:ind w:left="360"/>
        <w:jc w:val="left"/>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Denial of access by a trading venue based on other factors creating significant undue</w:t>
      </w:r>
    </w:p>
    <w:p w:rsidR="00CC47EE" w:rsidRPr="00CC47EE" w:rsidRDefault="00CC47EE" w:rsidP="00CC47EE">
      <w:pPr>
        <w:spacing w:line="299" w:lineRule="exact"/>
        <w:ind w:left="4464"/>
        <w:jc w:val="left"/>
        <w:textAlignment w:val="baseline"/>
        <w:rPr>
          <w:rFonts w:ascii="Times New Roman" w:eastAsia="Times New Roman" w:hAnsi="Times New Roman"/>
          <w:b/>
          <w:color w:val="000000"/>
          <w:spacing w:val="-4"/>
          <w:sz w:val="24"/>
          <w:lang w:val="en-US" w:eastAsia="en-US"/>
        </w:rPr>
      </w:pPr>
      <w:r w:rsidRPr="00CC47EE">
        <w:rPr>
          <w:rFonts w:ascii="Times New Roman" w:eastAsia="Times New Roman" w:hAnsi="Times New Roman"/>
          <w:b/>
          <w:color w:val="000000"/>
          <w:spacing w:val="-4"/>
          <w:sz w:val="24"/>
          <w:lang w:val="en-US" w:eastAsia="en-US"/>
        </w:rPr>
        <w:t>risks</w:t>
      </w:r>
    </w:p>
    <w:p w:rsidR="00CC47EE" w:rsidRPr="00CC47EE" w:rsidRDefault="00CC47EE" w:rsidP="00CC47EE">
      <w:pPr>
        <w:spacing w:before="246"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trading venue may deny an access request on grounds of significant undue risks in any of the following cases:</w:t>
      </w:r>
    </w:p>
    <w:p w:rsidR="00CC47EE" w:rsidRPr="00CC47EE" w:rsidRDefault="00CC47EE" w:rsidP="00CC47EE">
      <w:pPr>
        <w:numPr>
          <w:ilvl w:val="0"/>
          <w:numId w:val="22"/>
        </w:numPr>
        <w:tabs>
          <w:tab w:val="left" w:pos="792"/>
        </w:tabs>
        <w:spacing w:before="248"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threat to the economic viability of the trading venue or its ability to meet minimum capital requirements under Article 47(1)(f) of Directive 2014/65/EU of the European Parliament and of the Council</w:t>
      </w:r>
      <w:r w:rsidRPr="00CC47EE">
        <w:rPr>
          <w:rFonts w:ascii="Times New Roman" w:eastAsia="Times New Roman" w:hAnsi="Times New Roman"/>
          <w:color w:val="000000"/>
          <w:sz w:val="24"/>
          <w:vertAlign w:val="superscript"/>
          <w:lang w:val="en-US" w:eastAsia="en-US"/>
        </w:rPr>
        <w:t>4</w:t>
      </w:r>
      <w:r w:rsidRPr="00CC47EE">
        <w:rPr>
          <w:rFonts w:ascii="Times New Roman" w:eastAsia="Times New Roman" w:hAnsi="Times New Roman"/>
          <w:color w:val="000000"/>
          <w:sz w:val="24"/>
          <w:lang w:val="en-US" w:eastAsia="en-US"/>
        </w:rPr>
        <w:t>,</w:t>
      </w:r>
    </w:p>
    <w:p w:rsidR="00CC47EE" w:rsidRPr="00CC47EE" w:rsidRDefault="00CC47EE" w:rsidP="00CC47EE">
      <w:pPr>
        <w:numPr>
          <w:ilvl w:val="0"/>
          <w:numId w:val="22"/>
        </w:numPr>
        <w:tabs>
          <w:tab w:val="left" w:pos="792"/>
        </w:tabs>
        <w:spacing w:before="250"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incompatibility of trading venue rules and CCP rules that the trading venue cannot remedy in cooperation with the CCP.</w:t>
      </w:r>
    </w:p>
    <w:p w:rsidR="00CC47EE" w:rsidRPr="00CC47EE" w:rsidRDefault="00CC47EE" w:rsidP="00CC47EE">
      <w:pPr>
        <w:spacing w:before="705"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8</w:t>
      </w:r>
    </w:p>
    <w:p w:rsidR="00CC47EE" w:rsidRPr="00CC47EE" w:rsidRDefault="00CC47EE" w:rsidP="00CC47EE">
      <w:pPr>
        <w:spacing w:before="126"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 xml:space="preserve">Conditions under which access will threaten the smooth and orderly functioning of </w:t>
      </w:r>
      <w:r w:rsidRPr="00CC47EE">
        <w:rPr>
          <w:rFonts w:ascii="Times New Roman" w:eastAsia="Times New Roman" w:hAnsi="Times New Roman"/>
          <w:b/>
          <w:color w:val="000000"/>
          <w:sz w:val="24"/>
          <w:lang w:val="en-US" w:eastAsia="en-US"/>
        </w:rPr>
        <w:br/>
        <w:t>markets or adversely affect systemic risk</w:t>
      </w:r>
    </w:p>
    <w:p w:rsidR="00CC47EE" w:rsidRPr="00CC47EE" w:rsidRDefault="00CC47EE" w:rsidP="00CC47EE">
      <w:pPr>
        <w:spacing w:before="239" w:line="304" w:lineRule="exact"/>
        <w:ind w:left="144" w:right="144"/>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In addition to liquidity fragmentation, as defined in Article 2(1)(45) of Regulation (EU) No 600/2014, for the purposes of Articles 35(4)(b) and 36(4)(b) of that Regulation, granting access will threaten the smooth and orderly functioning of the markets, or adversely affect systemic risk, where the competent authority can provide full reasons for the denial, including evidence that the risk management procedures of one or both of the parties to the access request are insufficient to prevent the granting of access from creating significant undue risks to third parties, and there is no remedial action that would sufficiently mitigate those inadequacies.</w:t>
      </w:r>
    </w:p>
    <w:p w:rsidR="00CC47EE" w:rsidRPr="00CC47EE" w:rsidRDefault="00CC47EE" w:rsidP="00CC47EE">
      <w:pPr>
        <w:spacing w:before="704" w:line="273" w:lineRule="exact"/>
        <w:jc w:val="center"/>
        <w:textAlignment w:val="baseline"/>
        <w:rPr>
          <w:rFonts w:ascii="Times New Roman" w:eastAsia="Times New Roman" w:hAnsi="Times New Roman"/>
          <w:color w:val="000000"/>
          <w:spacing w:val="-2"/>
          <w:sz w:val="24"/>
          <w:lang w:val="en-US" w:eastAsia="en-US"/>
        </w:rPr>
      </w:pPr>
      <w:r w:rsidRPr="00CC47EE">
        <w:rPr>
          <w:rFonts w:ascii="Times New Roman" w:eastAsia="Times New Roman" w:hAnsi="Times New Roman"/>
          <w:color w:val="000000"/>
          <w:spacing w:val="-2"/>
          <w:sz w:val="24"/>
          <w:lang w:val="en-US" w:eastAsia="en-US"/>
        </w:rPr>
        <w:t>SECTION 2</w:t>
      </w:r>
    </w:p>
    <w:p w:rsidR="00CC47EE" w:rsidRPr="00CC47EE" w:rsidRDefault="00CC47EE" w:rsidP="00CC47EE">
      <w:pPr>
        <w:spacing w:before="157" w:line="274" w:lineRule="exact"/>
        <w:jc w:val="center"/>
        <w:textAlignment w:val="baseline"/>
        <w:rPr>
          <w:rFonts w:ascii="Times New Roman" w:eastAsia="Times New Roman" w:hAnsi="Times New Roman"/>
          <w:b/>
          <w:i/>
          <w:color w:val="000000"/>
          <w:sz w:val="24"/>
          <w:lang w:val="en-US" w:eastAsia="en-US"/>
        </w:rPr>
      </w:pPr>
      <w:r w:rsidRPr="00CC47EE">
        <w:rPr>
          <w:rFonts w:ascii="Times New Roman" w:eastAsia="Times New Roman" w:hAnsi="Times New Roman"/>
          <w:b/>
          <w:i/>
          <w:color w:val="000000"/>
          <w:sz w:val="24"/>
          <w:lang w:val="en-US" w:eastAsia="en-US"/>
        </w:rPr>
        <w:t>Conditions under which access must be permitted</w:t>
      </w:r>
    </w:p>
    <w:p w:rsidR="00CC47EE" w:rsidRPr="00CC47EE" w:rsidRDefault="00CC47EE" w:rsidP="00CC47EE">
      <w:pPr>
        <w:spacing w:before="699"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9</w:t>
      </w:r>
    </w:p>
    <w:p w:rsidR="00CC47EE" w:rsidRPr="00CC47EE" w:rsidRDefault="00CC47EE" w:rsidP="00CC47EE">
      <w:pPr>
        <w:spacing w:before="125"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Conditions under which access must be permitted</w:t>
      </w:r>
    </w:p>
    <w:p w:rsidR="00CC47EE" w:rsidRPr="00CC47EE" w:rsidRDefault="00CC47EE" w:rsidP="00CC47EE">
      <w:pPr>
        <w:spacing w:before="240" w:after="598"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1. The parties shall agree on their respective rights and obligations arising from the access granted, including the applicable law governing their relationships. The terms of the access agreement shall:</w:t>
      </w:r>
    </w:p>
    <w:p w:rsidR="00CC47EE" w:rsidRPr="00CC47EE" w:rsidRDefault="00CC47EE" w:rsidP="00CC47EE">
      <w:pPr>
        <w:spacing w:before="269" w:line="231" w:lineRule="exact"/>
        <w:ind w:left="144" w:right="144"/>
        <w:textAlignment w:val="baseline"/>
        <w:rPr>
          <w:rFonts w:ascii="Times New Roman" w:eastAsia="Times New Roman" w:hAnsi="Times New Roman"/>
          <w:b/>
          <w:color w:val="000000"/>
          <w:sz w:val="16"/>
          <w:lang w:val="en-US" w:eastAsia="en-US"/>
        </w:rPr>
      </w:pPr>
      <w:r>
        <w:rPr>
          <w:rFonts w:ascii="Times New Roman" w:eastAsia="PMingLiU" w:hAnsi="Times New Roman"/>
          <w:noProof/>
        </w:rPr>
        <mc:AlternateContent>
          <mc:Choice Requires="wps">
            <w:drawing>
              <wp:anchor distT="0" distB="0" distL="114300" distR="114300" simplePos="0" relativeHeight="251669504" behindDoc="0" locked="0" layoutInCell="1" allowOverlap="1">
                <wp:simplePos x="0" y="0"/>
                <wp:positionH relativeFrom="page">
                  <wp:posOffset>899160</wp:posOffset>
                </wp:positionH>
                <wp:positionV relativeFrom="page">
                  <wp:posOffset>9089390</wp:posOffset>
                </wp:positionV>
                <wp:extent cx="1832610" cy="0"/>
                <wp:effectExtent l="13335" t="12065" r="1143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btHwIAADk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" strokeweight=".95pt">
                <w10:wrap anchorx="page" anchory="page"/>
              </v:line>
            </w:pict>
          </mc:Fallback>
        </mc:AlternateContent>
      </w:r>
      <w:r w:rsidRPr="00CC47EE">
        <w:rPr>
          <w:rFonts w:ascii="Times New Roman" w:eastAsia="Times New Roman" w:hAnsi="Times New Roman"/>
          <w:b/>
          <w:color w:val="000000"/>
          <w:sz w:val="16"/>
          <w:lang w:val="en-US" w:eastAsia="en-US"/>
        </w:rPr>
        <w:t xml:space="preserve">4 </w:t>
      </w:r>
      <w:r w:rsidRPr="00CC47EE">
        <w:rPr>
          <w:rFonts w:ascii="Times New Roman" w:eastAsia="Times New Roman" w:hAnsi="Times New Roman"/>
          <w:color w:val="000000"/>
          <w:sz w:val="20"/>
          <w:lang w:val="en-US" w:eastAsia="en-US"/>
        </w:rPr>
        <w:t>Directive 2014/65/EU of the European Parliament and of the Council of 15 May 2014 on markets in financial instruments and amending Directive 2002/92/EC and Directive 2011/61/EU (OJ L 173, 12.6.2014, p. 349).</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20" w:right="1245" w:bottom="960" w:left="1264" w:header="720" w:footer="720" w:gutter="0"/>
          <w:cols w:space="720"/>
        </w:sectPr>
      </w:pPr>
    </w:p>
    <w:p w:rsidR="00CC47EE" w:rsidRPr="00CC47EE" w:rsidRDefault="00780D75" w:rsidP="00CC47EE">
      <w:pPr>
        <w:spacing w:before="322" w:line="272" w:lineRule="exact"/>
        <w:ind w:left="288"/>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lastRenderedPageBreak/>
        <w:t xml:space="preserve"> </w:t>
      </w:r>
      <w:r w:rsidR="00CC47EE" w:rsidRPr="00CC47EE">
        <w:rPr>
          <w:rFonts w:ascii="Times New Roman" w:eastAsia="Times New Roman" w:hAnsi="Times New Roman"/>
          <w:color w:val="000000"/>
          <w:spacing w:val="1"/>
          <w:sz w:val="24"/>
          <w:lang w:val="en-US" w:eastAsia="en-US"/>
        </w:rPr>
        <w:t>(a) be clearly defined, transparent, valid and enforceable;</w:t>
      </w:r>
    </w:p>
    <w:p w:rsidR="00CC47EE" w:rsidRPr="00CC47EE" w:rsidRDefault="00CC47EE" w:rsidP="00CC47EE">
      <w:pPr>
        <w:spacing w:before="249" w:line="304" w:lineRule="exact"/>
        <w:ind w:left="792" w:right="144" w:hanging="50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(b) specify the way in which transactions on the trading venue will be allocated to the CCP that is party to the agreement, where two or more CCPs have access to the trading venue;</w:t>
      </w:r>
    </w:p>
    <w:p w:rsidR="00CC47EE" w:rsidRPr="00CC47EE" w:rsidRDefault="00CC47EE" w:rsidP="00CC47EE">
      <w:pPr>
        <w:spacing w:before="246" w:line="305" w:lineRule="exact"/>
        <w:ind w:left="792" w:right="144" w:hanging="50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(c) contain clear rules concerning the moment of entry of transfer orders, construed pursuant to Directive 98/26/EC of the European Parliament and of the Council</w:t>
      </w:r>
      <w:r w:rsidRPr="00CC47EE">
        <w:rPr>
          <w:rFonts w:ascii="Times New Roman" w:eastAsia="Times New Roman" w:hAnsi="Times New Roman"/>
          <w:color w:val="000000"/>
          <w:sz w:val="24"/>
          <w:vertAlign w:val="superscript"/>
          <w:lang w:val="en-US" w:eastAsia="en-US"/>
        </w:rPr>
        <w:t>s</w:t>
      </w:r>
      <w:r w:rsidRPr="00CC47EE">
        <w:rPr>
          <w:rFonts w:ascii="Times New Roman" w:eastAsia="Times New Roman" w:hAnsi="Times New Roman"/>
          <w:color w:val="000000"/>
          <w:sz w:val="24"/>
          <w:lang w:val="en-US" w:eastAsia="en-US"/>
        </w:rPr>
        <w:t>, into relevant systems and the moment of irrevocability;</w:t>
      </w:r>
    </w:p>
    <w:p w:rsidR="00CC47EE" w:rsidRPr="00CC47EE" w:rsidRDefault="00CC47EE" w:rsidP="00CC47EE">
      <w:pPr>
        <w:spacing w:before="256" w:line="297" w:lineRule="exact"/>
        <w:ind w:left="792" w:right="144" w:hanging="50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(d) contain rules regarding the termination of the access agreement by any of the parties, which shall:</w:t>
      </w:r>
    </w:p>
    <w:p w:rsidR="00CC47EE" w:rsidRPr="00CC47EE" w:rsidRDefault="00CC47EE" w:rsidP="00CC47EE">
      <w:pPr>
        <w:numPr>
          <w:ilvl w:val="0"/>
          <w:numId w:val="23"/>
        </w:numPr>
        <w:tabs>
          <w:tab w:val="left" w:pos="1440"/>
        </w:tabs>
        <w:spacing w:before="255" w:line="303" w:lineRule="exact"/>
        <w:ind w:left="1440"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provide for termination in an orderly manner that does not unduly expose other entities to additional risks, including clear and transparent arrangements for the management and orderly run-off of contracts and positions made under the access agreement that were open at the point of termination;</w:t>
      </w:r>
    </w:p>
    <w:p w:rsidR="00CC47EE" w:rsidRPr="00CC47EE" w:rsidRDefault="00CC47EE" w:rsidP="00CC47EE">
      <w:pPr>
        <w:numPr>
          <w:ilvl w:val="0"/>
          <w:numId w:val="23"/>
        </w:numPr>
        <w:tabs>
          <w:tab w:val="left" w:pos="1440"/>
        </w:tabs>
        <w:spacing w:before="248" w:line="306" w:lineRule="exact"/>
        <w:ind w:left="1440"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ensure that the relevant party is given a reasonable amount of time to remedy any breach that does not give rise to immediate termination;</w:t>
      </w:r>
    </w:p>
    <w:p w:rsidR="00CC47EE" w:rsidRPr="00CC47EE" w:rsidRDefault="00CC47EE" w:rsidP="00CC47EE">
      <w:pPr>
        <w:numPr>
          <w:ilvl w:val="0"/>
          <w:numId w:val="23"/>
        </w:numPr>
        <w:tabs>
          <w:tab w:val="left" w:pos="1440"/>
        </w:tabs>
        <w:spacing w:before="246" w:line="305" w:lineRule="exact"/>
        <w:ind w:left="1440"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allow the termination, if risks increase in a way that would have justified denial of access in the first instance;</w:t>
      </w:r>
    </w:p>
    <w:p w:rsidR="00CC47EE" w:rsidRPr="00CC47EE" w:rsidRDefault="00CC47EE" w:rsidP="00CC47EE">
      <w:pPr>
        <w:spacing w:before="285" w:line="272" w:lineRule="exact"/>
        <w:ind w:left="216"/>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(e) specify the financial instruments being subject to the access agreement;</w:t>
      </w:r>
    </w:p>
    <w:p w:rsidR="00CC47EE" w:rsidRPr="00CC47EE" w:rsidRDefault="00CC47EE" w:rsidP="00CC47EE">
      <w:pPr>
        <w:spacing w:before="281" w:line="272" w:lineRule="exact"/>
        <w:ind w:left="216"/>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(f) specify the cover of the one-off and ongoing costs triggered by the access request;</w:t>
      </w:r>
    </w:p>
    <w:p w:rsidR="00CC47EE" w:rsidRPr="00CC47EE" w:rsidRDefault="00CC47EE" w:rsidP="00CC47EE">
      <w:pPr>
        <w:spacing w:before="227" w:line="330" w:lineRule="exact"/>
        <w:ind w:left="216"/>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(g) contain provisions for claims and liabilities stemming from the access agreement.</w:t>
      </w:r>
    </w:p>
    <w:p w:rsidR="00CC47EE" w:rsidRPr="00CC47EE" w:rsidRDefault="00CC47EE" w:rsidP="00CC47EE">
      <w:pPr>
        <w:spacing w:before="247" w:line="303" w:lineRule="exact"/>
        <w:ind w:left="216"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2. The terms of the access agreement shall require that the parties to the agreement put in place adequate policies, procedures and systems to ensure the following:</w:t>
      </w:r>
    </w:p>
    <w:p w:rsidR="00CC47EE" w:rsidRPr="00CC47EE" w:rsidRDefault="00CC47EE" w:rsidP="00CC47EE">
      <w:pPr>
        <w:numPr>
          <w:ilvl w:val="0"/>
          <w:numId w:val="24"/>
        </w:numPr>
        <w:tabs>
          <w:tab w:val="left" w:pos="792"/>
        </w:tabs>
        <w:spacing w:before="279" w:line="272" w:lineRule="exact"/>
        <w:ind w:left="792"/>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timely, reliable and secure communication between the parties;</w:t>
      </w:r>
    </w:p>
    <w:p w:rsidR="00CC47EE" w:rsidRPr="00CC47EE" w:rsidRDefault="00CC47EE" w:rsidP="00CC47EE">
      <w:pPr>
        <w:numPr>
          <w:ilvl w:val="0"/>
          <w:numId w:val="24"/>
        </w:numPr>
        <w:tabs>
          <w:tab w:val="left" w:pos="792"/>
        </w:tabs>
        <w:spacing w:before="250" w:line="304"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prior consultation to the other party where changes to either party's operations are likely to have a material impact on the access agreement or on the risks to which the other party is exposed;</w:t>
      </w:r>
    </w:p>
    <w:p w:rsidR="00CC47EE" w:rsidRPr="00CC47EE" w:rsidRDefault="00CC47EE" w:rsidP="00CC47EE">
      <w:pPr>
        <w:numPr>
          <w:ilvl w:val="0"/>
          <w:numId w:val="24"/>
        </w:numPr>
        <w:tabs>
          <w:tab w:val="left" w:pos="792"/>
        </w:tabs>
        <w:spacing w:before="246" w:after="675" w:line="306" w:lineRule="exact"/>
        <w:ind w:left="792"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timely notification to the other party before a change is implemented, in the cases not covered by point (b);</w:t>
      </w:r>
    </w:p>
    <w:p w:rsidR="00CC47EE" w:rsidRPr="00CC47EE" w:rsidRDefault="00CC47EE" w:rsidP="00CC47EE">
      <w:pPr>
        <w:spacing w:before="268" w:line="232" w:lineRule="exact"/>
        <w:ind w:left="216"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71552" behindDoc="0" locked="0" layoutInCell="1" allowOverlap="1">
                <wp:simplePos x="0" y="0"/>
                <wp:positionH relativeFrom="page">
                  <wp:posOffset>899160</wp:posOffset>
                </wp:positionH>
                <wp:positionV relativeFrom="page">
                  <wp:posOffset>9089390</wp:posOffset>
                </wp:positionV>
                <wp:extent cx="1832610" cy="0"/>
                <wp:effectExtent l="13335" t="12065" r="11430"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PweHgIAADkEAAAOAAAAZHJzL2Uyb0RvYy54bWysU9uO2yAQfa/Uf0C8J76sN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" strokeweight=".95pt">
                <w10:wrap anchorx="page" anchory="page"/>
              </v:line>
            </w:pict>
          </mc:Fallback>
        </mc:AlternateContent>
      </w:r>
      <w:r w:rsidRPr="00CC47EE">
        <w:rPr>
          <w:rFonts w:ascii="Times New Roman" w:eastAsia="Times New Roman" w:hAnsi="Times New Roman"/>
          <w:color w:val="000000"/>
          <w:sz w:val="13"/>
          <w:vertAlign w:val="superscript"/>
          <w:lang w:val="en-US" w:eastAsia="en-US"/>
        </w:rPr>
        <w:t>5</w:t>
      </w:r>
      <w:r w:rsidRPr="00CC47EE">
        <w:rPr>
          <w:rFonts w:ascii="Times New Roman" w:eastAsia="Times New Roman" w:hAnsi="Times New Roman"/>
          <w:color w:val="000000"/>
          <w:sz w:val="20"/>
          <w:lang w:val="en-US" w:eastAsia="en-US"/>
        </w:rPr>
        <w:t xml:space="preserve"> Directive 98/26/EC of the European Parliament and of the Council of 19 May 1998 on settlement finality in payment and securities settlement systems (OJ L 166, 11.6.1998, p. 45).</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54" w:bottom="960" w:left="1255" w:header="720" w:footer="720" w:gutter="0"/>
          <w:cols w:space="720"/>
        </w:sectPr>
      </w:pPr>
    </w:p>
    <w:p w:rsidR="00CC47EE" w:rsidRPr="00CC47EE" w:rsidRDefault="00CC47EE" w:rsidP="00CC47EE">
      <w:pPr>
        <w:numPr>
          <w:ilvl w:val="0"/>
          <w:numId w:val="25"/>
        </w:numPr>
        <w:tabs>
          <w:tab w:val="left" w:pos="648"/>
        </w:tabs>
        <w:spacing w:before="322" w:line="273" w:lineRule="exact"/>
        <w:ind w:left="648"/>
        <w:jc w:val="left"/>
        <w:textAlignment w:val="baseline"/>
        <w:rPr>
          <w:rFonts w:ascii="Times New Roman" w:eastAsia="Times New Roman" w:hAnsi="Times New Roman"/>
          <w:color w:val="000000"/>
          <w:spacing w:val="2"/>
          <w:sz w:val="24"/>
          <w:lang w:val="en-US" w:eastAsia="en-US"/>
        </w:rPr>
      </w:pPr>
      <w:r w:rsidRPr="00CC47EE">
        <w:rPr>
          <w:rFonts w:ascii="Times New Roman" w:eastAsia="Times New Roman" w:hAnsi="Times New Roman"/>
          <w:color w:val="000000"/>
          <w:spacing w:val="2"/>
          <w:sz w:val="24"/>
          <w:lang w:val="en-US" w:eastAsia="en-US"/>
        </w:rPr>
        <w:lastRenderedPageBreak/>
        <w:t>resolution of disputes;</w:t>
      </w:r>
    </w:p>
    <w:p w:rsidR="00CC47EE" w:rsidRPr="00CC47EE" w:rsidRDefault="00CC47EE" w:rsidP="00CC47EE">
      <w:pPr>
        <w:numPr>
          <w:ilvl w:val="0"/>
          <w:numId w:val="25"/>
        </w:numPr>
        <w:tabs>
          <w:tab w:val="left" w:pos="648"/>
        </w:tabs>
        <w:spacing w:before="242" w:line="308"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identification, monitoring and management of the potential risks arising from the access agreement;</w:t>
      </w:r>
    </w:p>
    <w:p w:rsidR="00CC47EE" w:rsidRPr="00CC47EE" w:rsidRDefault="00CC47EE" w:rsidP="00CC47EE">
      <w:pPr>
        <w:numPr>
          <w:ilvl w:val="0"/>
          <w:numId w:val="25"/>
        </w:numPr>
        <w:tabs>
          <w:tab w:val="left" w:pos="648"/>
        </w:tabs>
        <w:spacing w:before="256" w:line="298"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reception by the trading venue of all necessary information to fulfil its obligations regarding the monitoring of open interest;</w:t>
      </w:r>
    </w:p>
    <w:p w:rsidR="00CC47EE" w:rsidRPr="00CC47EE" w:rsidRDefault="00CC47EE" w:rsidP="00CC47EE">
      <w:pPr>
        <w:numPr>
          <w:ilvl w:val="0"/>
          <w:numId w:val="25"/>
        </w:numPr>
        <w:tabs>
          <w:tab w:val="left" w:pos="648"/>
        </w:tabs>
        <w:spacing w:before="2" w:line="555" w:lineRule="exact"/>
        <w:ind w:left="648" w:right="2016"/>
        <w:jc w:val="left"/>
        <w:textAlignment w:val="baseline"/>
        <w:rPr>
          <w:rFonts w:ascii="Times New Roman" w:eastAsia="Times New Roman" w:hAnsi="Times New Roman"/>
          <w:color w:val="000000"/>
          <w:spacing w:val="-4"/>
          <w:sz w:val="24"/>
          <w:lang w:val="en-US" w:eastAsia="en-US"/>
        </w:rPr>
      </w:pPr>
      <w:r w:rsidRPr="00CC47EE">
        <w:rPr>
          <w:rFonts w:ascii="Times New Roman" w:eastAsia="Times New Roman" w:hAnsi="Times New Roman"/>
          <w:color w:val="000000"/>
          <w:spacing w:val="-4"/>
          <w:sz w:val="24"/>
          <w:lang w:val="en-US" w:eastAsia="en-US"/>
        </w:rPr>
        <w:t>acceptance by the CCP of delivery of physically settled commodities. 3. The relevant parties to the access agreement shall ensure the following:</w:t>
      </w:r>
    </w:p>
    <w:p w:rsidR="00CC47EE" w:rsidRPr="00CC47EE" w:rsidRDefault="00CC47EE" w:rsidP="00CC47EE">
      <w:pPr>
        <w:numPr>
          <w:ilvl w:val="0"/>
          <w:numId w:val="26"/>
        </w:numPr>
        <w:tabs>
          <w:tab w:val="left" w:pos="792"/>
        </w:tabs>
        <w:spacing w:before="279" w:line="273" w:lineRule="exact"/>
        <w:ind w:left="648"/>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that proper risk management standards are maintained when granting access;</w:t>
      </w:r>
    </w:p>
    <w:p w:rsidR="00CC47EE" w:rsidRPr="00CC47EE" w:rsidRDefault="00CC47EE" w:rsidP="00CC47EE">
      <w:pPr>
        <w:numPr>
          <w:ilvl w:val="0"/>
          <w:numId w:val="26"/>
        </w:numPr>
        <w:tabs>
          <w:tab w:val="left" w:pos="792"/>
        </w:tabs>
        <w:spacing w:before="244" w:line="307"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that information provided in the request for access is kept up-to-date throughout the duration of the access agreement, including information about material changes;</w:t>
      </w:r>
    </w:p>
    <w:p w:rsidR="00CC47EE" w:rsidRPr="00CC47EE" w:rsidRDefault="00CC47EE" w:rsidP="00CC47EE">
      <w:pPr>
        <w:numPr>
          <w:ilvl w:val="0"/>
          <w:numId w:val="26"/>
        </w:numPr>
        <w:tabs>
          <w:tab w:val="left" w:pos="792"/>
        </w:tabs>
        <w:spacing w:before="248"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that non-public and commercially sensitive information including information provided during the development phase of a financial instrument may only be used for the specific purpose for which it is conveyed and may only be acted upon for the specific purpose agreed by the entities.</w:t>
      </w:r>
    </w:p>
    <w:p w:rsidR="00CC47EE" w:rsidRPr="00CC47EE" w:rsidRDefault="00CC47EE" w:rsidP="00CC47EE">
      <w:pPr>
        <w:spacing w:before="703"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10</w:t>
      </w:r>
    </w:p>
    <w:p w:rsidR="00CC47EE" w:rsidRPr="00CC47EE" w:rsidRDefault="00CC47EE" w:rsidP="00CC47EE">
      <w:pPr>
        <w:spacing w:before="154"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Non-discriminatory and transparent clearing fees charged by CCPs</w:t>
      </w:r>
    </w:p>
    <w:p w:rsidR="00CC47EE" w:rsidRPr="00CC47EE" w:rsidRDefault="00CC47EE" w:rsidP="00CC47EE">
      <w:pPr>
        <w:numPr>
          <w:ilvl w:val="0"/>
          <w:numId w:val="27"/>
        </w:numPr>
        <w:tabs>
          <w:tab w:val="left" w:pos="648"/>
        </w:tabs>
        <w:spacing w:before="242"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shall only charge fees for clearing transactions executed on a trading venue to which it has granted access on the basis of objective criteria, applicable to all clearing members and, where relevant, clients. Fees shall not depend on the trading venue where the transaction takes place.</w:t>
      </w:r>
    </w:p>
    <w:p w:rsidR="00CC47EE" w:rsidRPr="00CC47EE" w:rsidRDefault="00CC47EE" w:rsidP="00CC47EE">
      <w:pPr>
        <w:numPr>
          <w:ilvl w:val="0"/>
          <w:numId w:val="27"/>
        </w:numPr>
        <w:tabs>
          <w:tab w:val="left" w:pos="648"/>
        </w:tabs>
        <w:spacing w:before="246"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shall make all clearing members and, where relevant, clients subject to the same schedule of fees and rebates.</w:t>
      </w:r>
    </w:p>
    <w:p w:rsidR="00CC47EE" w:rsidRPr="00CC47EE" w:rsidRDefault="00CC47EE" w:rsidP="00CC47EE">
      <w:pPr>
        <w:numPr>
          <w:ilvl w:val="0"/>
          <w:numId w:val="27"/>
        </w:numPr>
        <w:tabs>
          <w:tab w:val="left" w:pos="648"/>
        </w:tabs>
        <w:spacing w:before="248"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shall only charge fees to a trading venue in relation to access on the basis of objective criteria. The same fees and rebates shall apply to all trading venues accessing the CCP with regard to the same or similar financial instruments, unless a different fee schedule can be objectively justified.</w:t>
      </w:r>
    </w:p>
    <w:p w:rsidR="00CC47EE" w:rsidRPr="00CC47EE" w:rsidRDefault="00CC47EE" w:rsidP="00CC47EE">
      <w:pPr>
        <w:numPr>
          <w:ilvl w:val="0"/>
          <w:numId w:val="27"/>
        </w:numPr>
        <w:tabs>
          <w:tab w:val="left" w:pos="648"/>
        </w:tabs>
        <w:spacing w:before="248" w:line="304"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In accordance with Article 38 of Regulation (EU) No 648/2012 a CCP shall ensure that the fee schedules referred to in paragraphs 1, 2 and 3 of this Article are easily accessible, adequately identified per service provided and sufficiently granular in order to ensure that fees charged are predictable.</w:t>
      </w:r>
    </w:p>
    <w:p w:rsidR="00CC47EE" w:rsidRPr="00CC47EE" w:rsidRDefault="00CC47EE" w:rsidP="00CC47EE">
      <w:pPr>
        <w:numPr>
          <w:ilvl w:val="0"/>
          <w:numId w:val="27"/>
        </w:numPr>
        <w:tabs>
          <w:tab w:val="left" w:pos="648"/>
        </w:tabs>
        <w:spacing w:before="254" w:line="302"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For the purpose of paragraphs 1 to 4, relevant fees are fees charged to cover one-off and ongoing costs.</w:t>
      </w:r>
    </w:p>
    <w:p w:rsidR="00780D75" w:rsidRDefault="00780D75" w:rsidP="00CC47EE">
      <w:pPr>
        <w:spacing w:before="687" w:line="278" w:lineRule="exact"/>
        <w:ind w:left="4176"/>
        <w:jc w:val="left"/>
        <w:textAlignment w:val="baseline"/>
        <w:rPr>
          <w:rFonts w:ascii="Times New Roman" w:eastAsia="Times New Roman" w:hAnsi="Times New Roman"/>
          <w:i/>
          <w:color w:val="000000"/>
          <w:sz w:val="24"/>
          <w:lang w:val="en-US" w:eastAsia="en-US"/>
        </w:rPr>
      </w:pPr>
    </w:p>
    <w:p w:rsidR="00780D75" w:rsidRDefault="00780D75" w:rsidP="00CC47EE">
      <w:pPr>
        <w:spacing w:before="687" w:line="278" w:lineRule="exact"/>
        <w:ind w:left="4176"/>
        <w:jc w:val="left"/>
        <w:textAlignment w:val="baseline"/>
        <w:rPr>
          <w:rFonts w:ascii="Times New Roman" w:eastAsia="Times New Roman" w:hAnsi="Times New Roman"/>
          <w:i/>
          <w:color w:val="000000"/>
          <w:sz w:val="24"/>
          <w:lang w:val="en-US" w:eastAsia="en-US"/>
        </w:rPr>
      </w:pPr>
    </w:p>
    <w:p w:rsidR="00CC47EE" w:rsidRPr="00CC47EE" w:rsidRDefault="00CC47EE" w:rsidP="00CC47EE">
      <w:pPr>
        <w:spacing w:before="687" w:line="278" w:lineRule="exact"/>
        <w:ind w:left="4176"/>
        <w:jc w:val="left"/>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11</w:t>
      </w:r>
    </w:p>
    <w:p w:rsidR="00CC47EE" w:rsidRPr="00CC47EE" w:rsidRDefault="00CC47EE" w:rsidP="00CC47EE">
      <w:pPr>
        <w:spacing w:before="152" w:line="275"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Non-discriminatory and transparent fees charged by trading venues</w:t>
      </w:r>
    </w:p>
    <w:p w:rsidR="00CC47EE" w:rsidRPr="00CC47EE" w:rsidRDefault="00CC47EE" w:rsidP="00CC47EE">
      <w:pPr>
        <w:numPr>
          <w:ilvl w:val="0"/>
          <w:numId w:val="28"/>
        </w:numPr>
        <w:tabs>
          <w:tab w:val="left" w:pos="648"/>
        </w:tabs>
        <w:spacing w:before="245"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trading venue shall only charge fees in relation to access on the basis of objective criteria. The same schedule of fees and rebates shall apply to all CCPs accessing the trading venue with regard to the same or similar financial instruments, unless a different fee schedule can be objectively justified.</w:t>
      </w:r>
    </w:p>
    <w:p w:rsidR="00CC47EE" w:rsidRPr="00CC47EE" w:rsidRDefault="00CC47EE" w:rsidP="00CC47EE">
      <w:pPr>
        <w:numPr>
          <w:ilvl w:val="0"/>
          <w:numId w:val="28"/>
        </w:numPr>
        <w:tabs>
          <w:tab w:val="left" w:pos="648"/>
        </w:tabs>
        <w:spacing w:before="253"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trading venue shall ensure that the fee schedules referred to in paragraph 1 are easily accessible, that the fees are adequately identified per service provided and sufficiently granular in order to ensure that the arising fees are predictable.</w:t>
      </w:r>
    </w:p>
    <w:p w:rsidR="00CC47EE" w:rsidRPr="00CC47EE" w:rsidRDefault="00CC47EE" w:rsidP="00CC47EE">
      <w:pPr>
        <w:numPr>
          <w:ilvl w:val="0"/>
          <w:numId w:val="28"/>
        </w:numPr>
        <w:tabs>
          <w:tab w:val="left" w:pos="648"/>
        </w:tabs>
        <w:spacing w:before="253"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Paragraphs 1 and 2 shall apply to all fees related to access, including those that are charged to cover one-off and ongoing costs.</w:t>
      </w:r>
    </w:p>
    <w:p w:rsidR="00CC47EE" w:rsidRPr="00CC47EE" w:rsidRDefault="00CC47EE" w:rsidP="00CC47EE">
      <w:pPr>
        <w:spacing w:before="699" w:line="278" w:lineRule="exact"/>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SECTION HI</w:t>
      </w:r>
    </w:p>
    <w:p w:rsidR="00CC47EE" w:rsidRPr="00CC47EE" w:rsidRDefault="00780D75" w:rsidP="00CC47EE">
      <w:pPr>
        <w:spacing w:before="157" w:line="274" w:lineRule="exact"/>
        <w:jc w:val="center"/>
        <w:textAlignment w:val="baseline"/>
        <w:rPr>
          <w:rFonts w:ascii="Times New Roman" w:eastAsia="Times New Roman" w:hAnsi="Times New Roman"/>
          <w:b/>
          <w:i/>
          <w:color w:val="000000"/>
          <w:sz w:val="24"/>
          <w:lang w:val="en-US" w:eastAsia="en-US"/>
        </w:rPr>
      </w:pPr>
      <w:r w:rsidRPr="00CC47EE">
        <w:rPr>
          <w:rFonts w:ascii="Times New Roman" w:eastAsia="Times New Roman" w:hAnsi="Times New Roman"/>
          <w:b/>
          <w:i/>
          <w:color w:val="000000"/>
          <w:sz w:val="24"/>
          <w:lang w:val="en-US" w:eastAsia="en-US"/>
        </w:rPr>
        <w:t>Conditions</w:t>
      </w:r>
      <w:r w:rsidR="00CC47EE" w:rsidRPr="00CC47EE">
        <w:rPr>
          <w:rFonts w:ascii="Times New Roman" w:eastAsia="Times New Roman" w:hAnsi="Times New Roman"/>
          <w:b/>
          <w:i/>
          <w:color w:val="000000"/>
          <w:sz w:val="24"/>
          <w:lang w:val="en-US" w:eastAsia="en-US"/>
        </w:rPr>
        <w:t xml:space="preserve"> for non-discriminatory treatment of contracts</w:t>
      </w:r>
    </w:p>
    <w:p w:rsidR="00CC47EE" w:rsidRPr="00CC47EE" w:rsidRDefault="00CC47EE" w:rsidP="00CC47EE">
      <w:pPr>
        <w:spacing w:before="692" w:line="278" w:lineRule="exact"/>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12</w:t>
      </w:r>
    </w:p>
    <w:p w:rsidR="00CC47EE" w:rsidRPr="00CC47EE" w:rsidRDefault="00CC47EE" w:rsidP="00CC47EE">
      <w:pPr>
        <w:spacing w:before="155" w:line="275"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Collateral and margining requirements of economically equivalent contracts</w:t>
      </w:r>
    </w:p>
    <w:p w:rsidR="00CC47EE" w:rsidRPr="00CC47EE" w:rsidRDefault="00CC47EE" w:rsidP="00CC47EE">
      <w:pPr>
        <w:numPr>
          <w:ilvl w:val="0"/>
          <w:numId w:val="29"/>
        </w:numPr>
        <w:tabs>
          <w:tab w:val="left" w:pos="648"/>
        </w:tabs>
        <w:spacing w:before="250"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 CCP shall determine whether contracts traded on the trading venue to which it has granted access are economically equivalent to contracts with similar risk characteristics already cleared by the CCP. For the purpose of this Article, a CCP shall consider all contracts traded on the trading venue to which it has granted access, which are in the class of financial instruments covered by the CCP's authorisation referred to in Article 14 of Regulation (EU) No 648/2012, or by any subsequent extension of authorisation referred to in Article 15 of Regulation (EU) No 648/2012, as economically equivalent to the contracts in the respective class of financial instruments already cleared by the CCP.</w:t>
      </w:r>
    </w:p>
    <w:p w:rsidR="00CC47EE" w:rsidRPr="00CC47EE" w:rsidRDefault="00CC47EE" w:rsidP="00CC47EE">
      <w:pPr>
        <w:numPr>
          <w:ilvl w:val="0"/>
          <w:numId w:val="29"/>
        </w:numPr>
        <w:tabs>
          <w:tab w:val="left" w:pos="648"/>
        </w:tabs>
        <w:spacing w:before="251"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may consider a contract traded on the trading venue to which it has granted access, which presents a significantly different risk profile or material differences from the contracts already cleared by the CCP in the respective class of financial instruments, as non-economically equivalent where the CCP had obtained an extension of the authorisation pursuant to Article 15 of Regulation (EU) No 648/2012 with respect to that contract and in connection with that trading venue's access request.</w:t>
      </w:r>
    </w:p>
    <w:p w:rsidR="00CC47EE" w:rsidRPr="00CC47EE" w:rsidRDefault="00CC47EE" w:rsidP="00CC47EE">
      <w:pPr>
        <w:numPr>
          <w:ilvl w:val="0"/>
          <w:numId w:val="29"/>
        </w:numPr>
        <w:tabs>
          <w:tab w:val="left" w:pos="648"/>
        </w:tabs>
        <w:spacing w:before="252" w:line="303"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shall apply to economically equivalent contracts referred to in paragraph 1 the same margin and collateral methodologies, irrespective of where the contracts are traded. A CCP shall subject the clearing of an economically equivalent contract referred to in paragraph</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47" w:bottom="960" w:left="1262" w:header="720" w:footer="720" w:gutter="0"/>
          <w:cols w:space="720"/>
        </w:sectPr>
      </w:pPr>
    </w:p>
    <w:p w:rsidR="00780D75" w:rsidRDefault="00780D75" w:rsidP="00CC47EE">
      <w:pPr>
        <w:spacing w:before="275" w:line="304" w:lineRule="exact"/>
        <w:ind w:left="144" w:right="144"/>
        <w:textAlignment w:val="baseline"/>
        <w:rPr>
          <w:rFonts w:ascii="Times New Roman" w:eastAsia="Times New Roman" w:hAnsi="Times New Roman"/>
          <w:color w:val="000000"/>
          <w:sz w:val="24"/>
          <w:lang w:val="en-US" w:eastAsia="en-US"/>
        </w:rPr>
      </w:pPr>
    </w:p>
    <w:p w:rsidR="00CC47EE" w:rsidRPr="00CC47EE" w:rsidRDefault="00CC47EE" w:rsidP="00CC47EE">
      <w:pPr>
        <w:spacing w:before="275"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1 to the adoption of changes to the CCP's risk models and parameters, only if necessary in order to mitigate the risk factors in relation to that trading venue or the contracts traded thereon. Such changes shall be considered as significant changes to the CCP's models and parameters referred to in Articles 28 and 49 of Regulation (EU) No 648/2012.</w:t>
      </w:r>
    </w:p>
    <w:p w:rsidR="00CC47EE" w:rsidRPr="00CC47EE" w:rsidRDefault="00CC47EE" w:rsidP="00CC47EE">
      <w:pPr>
        <w:spacing w:before="571" w:line="278" w:lineRule="exact"/>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13</w:t>
      </w:r>
    </w:p>
    <w:p w:rsidR="00CC47EE" w:rsidRPr="00CC47EE" w:rsidRDefault="00CC47EE" w:rsidP="00CC47EE">
      <w:pPr>
        <w:spacing w:before="150"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Netting of economically equivalent contracts</w:t>
      </w:r>
    </w:p>
    <w:p w:rsidR="00CC47EE" w:rsidRPr="00CC47EE" w:rsidRDefault="00CC47EE" w:rsidP="00CC47EE">
      <w:pPr>
        <w:numPr>
          <w:ilvl w:val="0"/>
          <w:numId w:val="30"/>
        </w:numPr>
        <w:tabs>
          <w:tab w:val="left" w:pos="648"/>
        </w:tabs>
        <w:spacing w:before="242" w:line="304"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shall apply to economically equivalent contracts referred to in Article 12(1) of this Regulation the same netting procedures irrespective of where the contracts were traded, provided that any netting procedure it applies is valid and enforceable in accordance with Directive 98/26/EC and the applicable insolvency law in the relevant Member State.</w:t>
      </w:r>
    </w:p>
    <w:p w:rsidR="00CC47EE" w:rsidRPr="00CC47EE" w:rsidRDefault="00CC47EE" w:rsidP="00CC47EE">
      <w:pPr>
        <w:numPr>
          <w:ilvl w:val="0"/>
          <w:numId w:val="30"/>
        </w:numPr>
        <w:tabs>
          <w:tab w:val="left" w:pos="648"/>
        </w:tabs>
        <w:spacing w:before="251" w:line="304"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 CCP considering that the legal risk or the basis risk related to a netting procedure it applies to an economically equivalent contract is not sufficiently mitigated, shall subject the clearing of such a contract to the adoption of changes to that netting procedure excluding the netting of such contract. Such changes shall be considered as significant changes to the CCP's risk models and parameters referred to in Article 28 and 49 of Regulation (EU) No 648/2012.</w:t>
      </w:r>
    </w:p>
    <w:p w:rsidR="00CC47EE" w:rsidRPr="00CC47EE" w:rsidRDefault="00CC47EE" w:rsidP="00CC47EE">
      <w:pPr>
        <w:numPr>
          <w:ilvl w:val="0"/>
          <w:numId w:val="30"/>
        </w:numPr>
        <w:tabs>
          <w:tab w:val="left" w:pos="648"/>
        </w:tabs>
        <w:spacing w:before="245" w:line="304"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For the purpose of paragraph 2, "basis risk" shall mean the risk arising from less than perfectly correlated movements between two or more assets or contracts cleared by the CCP.</w:t>
      </w:r>
    </w:p>
    <w:p w:rsidR="00CC47EE" w:rsidRPr="00CC47EE" w:rsidRDefault="00CC47EE" w:rsidP="00CC47EE">
      <w:pPr>
        <w:spacing w:before="578"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14</w:t>
      </w:r>
    </w:p>
    <w:p w:rsidR="00CC47EE" w:rsidRPr="00CC47EE" w:rsidRDefault="00CC47EE" w:rsidP="00CC47EE">
      <w:pPr>
        <w:spacing w:before="148"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Cross-margining of correlated contracts (portfolio margining)</w:t>
      </w:r>
    </w:p>
    <w:p w:rsidR="00CC47EE" w:rsidRPr="00CC47EE" w:rsidRDefault="00CC47EE" w:rsidP="00CC47EE">
      <w:pPr>
        <w:spacing w:before="244"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Where a CCP calculates margins with respect to portfolio margining of financial instruments in accordance with Article 41 of Regulation (EU) No 648/2012 and Article 27 of Commission Delegated Regulation (EU) No 153/2013</w:t>
      </w:r>
      <w:r w:rsidRPr="00CC47EE">
        <w:rPr>
          <w:rFonts w:ascii="Times New Roman" w:eastAsia="Times New Roman" w:hAnsi="Times New Roman"/>
          <w:color w:val="000000"/>
          <w:sz w:val="24"/>
          <w:vertAlign w:val="superscript"/>
          <w:lang w:val="en-US" w:eastAsia="en-US"/>
        </w:rPr>
        <w:t>6</w:t>
      </w:r>
      <w:r w:rsidRPr="00CC47EE">
        <w:rPr>
          <w:rFonts w:ascii="Times New Roman" w:eastAsia="Times New Roman" w:hAnsi="Times New Roman"/>
          <w:color w:val="000000"/>
          <w:sz w:val="24"/>
          <w:lang w:val="en-US" w:eastAsia="en-US"/>
        </w:rPr>
        <w:t>, the CCP shall apply its portfolio margining approach to all relevant correlated contracts irrespective of where the contracts are traded. Contracts with a significant and reliable correlation, or an equivalent statistical parameter of dependence, shall benefit from the same offsets or reductions.</w:t>
      </w:r>
    </w:p>
    <w:p w:rsidR="00CC47EE" w:rsidRPr="00CC47EE" w:rsidRDefault="00CC47EE" w:rsidP="00CC47EE">
      <w:pPr>
        <w:spacing w:before="701" w:line="278" w:lineRule="exact"/>
        <w:jc w:val="center"/>
        <w:textAlignment w:val="baseline"/>
        <w:rPr>
          <w:rFonts w:ascii="Times New Roman" w:eastAsia="Times New Roman" w:hAnsi="Times New Roman"/>
          <w:i/>
          <w:color w:val="000000"/>
          <w:spacing w:val="2"/>
          <w:sz w:val="24"/>
          <w:lang w:val="en-US" w:eastAsia="en-US"/>
        </w:rPr>
      </w:pPr>
      <w:r w:rsidRPr="00CC47EE">
        <w:rPr>
          <w:rFonts w:ascii="Times New Roman" w:eastAsia="Times New Roman" w:hAnsi="Times New Roman"/>
          <w:i/>
          <w:color w:val="000000"/>
          <w:spacing w:val="2"/>
          <w:sz w:val="24"/>
          <w:lang w:val="en-US" w:eastAsia="en-US"/>
        </w:rPr>
        <w:t>SECTION IV</w:t>
      </w:r>
    </w:p>
    <w:p w:rsidR="00CC47EE" w:rsidRDefault="00CC47EE" w:rsidP="00CC47EE">
      <w:pPr>
        <w:spacing w:before="151" w:after="872" w:line="274" w:lineRule="exact"/>
        <w:jc w:val="center"/>
        <w:textAlignment w:val="baseline"/>
        <w:rPr>
          <w:rFonts w:ascii="Times New Roman" w:eastAsia="Times New Roman" w:hAnsi="Times New Roman"/>
          <w:b/>
          <w:i/>
          <w:color w:val="000000"/>
          <w:sz w:val="24"/>
          <w:lang w:val="en-US" w:eastAsia="en-US"/>
        </w:rPr>
      </w:pPr>
      <w:r w:rsidRPr="00CC47EE">
        <w:rPr>
          <w:rFonts w:ascii="Times New Roman" w:eastAsia="Times New Roman" w:hAnsi="Times New Roman"/>
          <w:b/>
          <w:i/>
          <w:color w:val="000000"/>
          <w:sz w:val="24"/>
          <w:lang w:val="en-US" w:eastAsia="en-US"/>
        </w:rPr>
        <w:t>Transitional arrangements and final provisions</w:t>
      </w:r>
    </w:p>
    <w:p w:rsidR="00780D75" w:rsidRPr="00CC47EE" w:rsidRDefault="00780D75" w:rsidP="00CC47EE">
      <w:pPr>
        <w:spacing w:before="151" w:after="872" w:line="274" w:lineRule="exact"/>
        <w:jc w:val="center"/>
        <w:textAlignment w:val="baseline"/>
        <w:rPr>
          <w:rFonts w:ascii="Times New Roman" w:eastAsia="Times New Roman" w:hAnsi="Times New Roman"/>
          <w:b/>
          <w:i/>
          <w:color w:val="000000"/>
          <w:sz w:val="24"/>
          <w:lang w:val="en-US" w:eastAsia="en-US"/>
        </w:rPr>
      </w:pPr>
    </w:p>
    <w:p w:rsidR="00CC47EE" w:rsidRPr="00CC47EE" w:rsidRDefault="00CC47EE" w:rsidP="00CC47EE">
      <w:pPr>
        <w:spacing w:before="234" w:line="105" w:lineRule="exact"/>
        <w:ind w:left="144"/>
        <w:jc w:val="left"/>
        <w:textAlignment w:val="baseline"/>
        <w:rPr>
          <w:rFonts w:ascii="Times New Roman" w:eastAsia="Times New Roman" w:hAnsi="Times New Roman"/>
          <w:color w:val="000000"/>
          <w:sz w:val="14"/>
          <w:lang w:val="en-US" w:eastAsia="en-US"/>
        </w:rPr>
      </w:pPr>
      <w:r>
        <w:rPr>
          <w:rFonts w:ascii="Times New Roman" w:eastAsia="PMingLiU" w:hAnsi="Times New Roman"/>
          <w:noProof/>
        </w:rPr>
        <mc:AlternateContent>
          <mc:Choice Requires="wps">
            <w:drawing>
              <wp:anchor distT="0" distB="0" distL="114300" distR="114300" simplePos="0" relativeHeight="251675648"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AYxlyxHgIAADkEAAAOAAAAAAAAAAAAAAAAAC4CAABkcnMvZTJvRG9jLnhtbFBL&#10;AQItABQABgAIAAAAIQATDMwQ3wAAAA0BAAAPAAAAAAAAAAAAAAAAAHgEAABkcnMvZG93bnJldi54&#10;bWxQSwUGAAAAAAQABADzAAAAhAUAAAAA&#10;" strokeweight=".95pt">
                <w10:wrap anchorx="page" anchory="page"/>
              </v:line>
            </w:pict>
          </mc:Fallback>
        </mc:AlternateContent>
      </w:r>
      <w:r w:rsidRPr="00CC47EE">
        <w:rPr>
          <w:rFonts w:ascii="Times New Roman" w:eastAsia="Times New Roman" w:hAnsi="Times New Roman"/>
          <w:color w:val="000000"/>
          <w:sz w:val="14"/>
          <w:lang w:val="en-US" w:eastAsia="en-US"/>
        </w:rPr>
        <w:t>6</w:t>
      </w:r>
    </w:p>
    <w:p w:rsidR="00CC47EE" w:rsidRPr="00CC47EE" w:rsidRDefault="00CC47EE" w:rsidP="00CC47EE">
      <w:pPr>
        <w:spacing w:line="208" w:lineRule="exact"/>
        <w:ind w:left="144" w:right="144" w:firstLine="72"/>
        <w:textAlignment w:val="baseline"/>
        <w:rPr>
          <w:rFonts w:ascii="Times New Roman" w:eastAsia="Times New Roman" w:hAnsi="Times New Roman"/>
          <w:color w:val="000000"/>
          <w:sz w:val="20"/>
          <w:lang w:val="en-US" w:eastAsia="en-US"/>
        </w:rPr>
      </w:pPr>
      <w:r w:rsidRPr="00CC47EE">
        <w:rPr>
          <w:rFonts w:ascii="Times New Roman" w:eastAsia="Times New Roman" w:hAnsi="Times New Roman"/>
          <w:color w:val="000000"/>
          <w:sz w:val="20"/>
          <w:lang w:val="en-US" w:eastAsia="en-US"/>
        </w:rPr>
        <w:t>Commission Delegated Regulation (EU) No 153/2013 of 19 December 2012 supplementing Regulation (EU) No 648/2012 of the European Parliament and of the Council with regard to regulatory technical standards on requirements for central counterparties (OJ L 52, 23.2.2013, p. 41).</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20" w:right="1242" w:bottom="960" w:left="1267" w:header="720" w:footer="720" w:gutter="0"/>
          <w:cols w:space="720"/>
        </w:sectPr>
      </w:pPr>
    </w:p>
    <w:p w:rsidR="00780D75" w:rsidRDefault="00CC47EE" w:rsidP="00780D75">
      <w:pPr>
        <w:spacing w:before="23" w:line="244" w:lineRule="exact"/>
        <w:ind w:left="360"/>
        <w:jc w:val="left"/>
        <w:textAlignment w:val="baseline"/>
        <w:rPr>
          <w:rFonts w:ascii="Times New Roman" w:eastAsia="Times New Roman" w:hAnsi="Times New Roman"/>
          <w:i/>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20704" behindDoc="0" locked="0" layoutInCell="1" allowOverlap="1" wp14:anchorId="660B6A9F" wp14:editId="5F06524A">
                <wp:simplePos x="0" y="0"/>
                <wp:positionH relativeFrom="page">
                  <wp:posOffset>795020</wp:posOffset>
                </wp:positionH>
                <wp:positionV relativeFrom="page">
                  <wp:posOffset>9831070</wp:posOffset>
                </wp:positionV>
                <wp:extent cx="569595" cy="342900"/>
                <wp:effectExtent l="4445" t="127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62.6pt;margin-top:774.1pt;width:44.85pt;height:27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0wtAIAALI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" filled="f" stroked="f">
                <v:textbox inset="0,0,0,0">
                  <w:txbxContent>
                    <w:p w:rsidR="00CC47EE" w:rsidRDefault="00CC47EE" w:rsidP="00CC47EE">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1728" behindDoc="0" locked="0" layoutInCell="1" allowOverlap="1" wp14:anchorId="108FDCBE" wp14:editId="7A142229">
                <wp:simplePos x="0" y="0"/>
                <wp:positionH relativeFrom="page">
                  <wp:posOffset>3609975</wp:posOffset>
                </wp:positionH>
                <wp:positionV relativeFrom="page">
                  <wp:posOffset>9947910</wp:posOffset>
                </wp:positionV>
                <wp:extent cx="335915" cy="192405"/>
                <wp:effectExtent l="0" t="3810" r="0" b="38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before="30" w:line="259" w:lineRule="exact"/>
                              <w:textAlignment w:val="baseline"/>
                              <w:rPr>
                                <w:rFonts w:eastAsia="Times New Roman"/>
                                <w:color w:val="000000"/>
                                <w:spacing w:val="13"/>
                                <w:sz w:val="24"/>
                              </w:rPr>
                            </w:pPr>
                            <w:r>
                              <w:rPr>
                                <w:rFonts w:eastAsia="Times New Roman"/>
                                <w:color w:val="000000"/>
                                <w:spacing w:val="13"/>
                                <w:sz w:val="24"/>
                              </w:rPr>
                              <w:t>353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284.25pt;margin-top:783.3pt;width:26.45pt;height:15.1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4R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" filled="f" stroked="f">
                <v:textbox inset="0,0,0,0">
                  <w:txbxContent>
                    <w:p w:rsidR="00CC47EE" w:rsidRDefault="00CC47EE" w:rsidP="00CC47EE">
                      <w:pPr>
                        <w:spacing w:before="30" w:line="259" w:lineRule="exact"/>
                        <w:textAlignment w:val="baseline"/>
                        <w:rPr>
                          <w:rFonts w:eastAsia="Times New Roman"/>
                          <w:color w:val="000000"/>
                          <w:spacing w:val="13"/>
                          <w:sz w:val="24"/>
                        </w:rPr>
                      </w:pPr>
                      <w:r>
                        <w:rPr>
                          <w:rFonts w:eastAsia="Times New Roman"/>
                          <w:color w:val="000000"/>
                          <w:spacing w:val="13"/>
                          <w:sz w:val="24"/>
                        </w:rPr>
                        <w:t>353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2752" behindDoc="0" locked="0" layoutInCell="1" allowOverlap="1" wp14:anchorId="716F877C" wp14:editId="5EADA558">
                <wp:simplePos x="0" y="0"/>
                <wp:positionH relativeFrom="page">
                  <wp:posOffset>6194425</wp:posOffset>
                </wp:positionH>
                <wp:positionV relativeFrom="page">
                  <wp:posOffset>9831070</wp:posOffset>
                </wp:positionV>
                <wp:extent cx="506730" cy="342900"/>
                <wp:effectExtent l="3175" t="1270" r="4445"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487.75pt;margin-top:774.1pt;width:39.9pt;height:27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aq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gwg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6Gf5qDrSif&#10;gMFSAMOAjLD4QKiF/IlRD0skxerHnkiKUfORwxSYjTMJchK2k0B4AU9TrDEaxbUeN9O+k2xXA/I4&#10;Z1zcwqRUzLLYjNQYxXG+YDHYZI5LzGyel//W6rxqV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Ij29qqzAgAA&#10;sgUAAA4AAAAAAAAAAAAAAAAALgIAAGRycy9lMm9Eb2MueG1sUEsBAi0AFAAGAAgAAAAhANNvGvHi&#10;AAAADgEAAA8AAAAAAAAAAAAAAAAADQUAAGRycy9kb3ducmV2LnhtbFBLBQYAAAAABAAEAPMAAAAc&#10;Bg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780D75" w:rsidRDefault="00780D75" w:rsidP="00780D75">
      <w:pPr>
        <w:spacing w:before="23" w:line="244" w:lineRule="exact"/>
        <w:ind w:left="360"/>
        <w:jc w:val="left"/>
        <w:textAlignment w:val="baseline"/>
        <w:rPr>
          <w:rFonts w:ascii="Times New Roman" w:eastAsia="Times New Roman" w:hAnsi="Times New Roman"/>
          <w:i/>
          <w:color w:val="000000"/>
          <w:sz w:val="24"/>
          <w:lang w:val="en-US" w:eastAsia="en-US"/>
        </w:rPr>
      </w:pPr>
    </w:p>
    <w:p w:rsidR="00780D75" w:rsidRDefault="00780D75" w:rsidP="00780D75">
      <w:pPr>
        <w:spacing w:before="23" w:line="244" w:lineRule="exact"/>
        <w:ind w:left="360"/>
        <w:jc w:val="left"/>
        <w:textAlignment w:val="baseline"/>
        <w:rPr>
          <w:rFonts w:ascii="Times New Roman" w:eastAsia="Times New Roman" w:hAnsi="Times New Roman"/>
          <w:i/>
          <w:color w:val="000000"/>
          <w:sz w:val="24"/>
          <w:lang w:val="en-US" w:eastAsia="en-US"/>
        </w:rPr>
      </w:pPr>
    </w:p>
    <w:p w:rsidR="00CC47EE" w:rsidRPr="00CC47EE" w:rsidRDefault="00CC47EE" w:rsidP="00780D75">
      <w:pPr>
        <w:spacing w:before="23" w:line="244" w:lineRule="exact"/>
        <w:ind w:left="360"/>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15</w:t>
      </w:r>
    </w:p>
    <w:p w:rsidR="00CC47EE" w:rsidRPr="00CC47EE" w:rsidRDefault="00CC47EE" w:rsidP="00CC47EE">
      <w:pPr>
        <w:spacing w:before="122"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Notification procedure from the CCP to its competent authority</w:t>
      </w:r>
    </w:p>
    <w:p w:rsidR="00CC47EE" w:rsidRPr="00CC47EE" w:rsidRDefault="00CC47EE" w:rsidP="00CC47EE">
      <w:pPr>
        <w:spacing w:before="244" w:line="303"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Where a CCP applies for permission to avail itself of transitional arrangements referred to in Article 35(5) of Regulation (EU) No 600/2014, it shall submit a notification to its competent authority in written form, using Form 1 set out in the Annex.</w:t>
      </w:r>
    </w:p>
    <w:p w:rsidR="00CC47EE" w:rsidRPr="00CC47EE" w:rsidRDefault="00CC47EE" w:rsidP="00CC47EE">
      <w:pPr>
        <w:spacing w:before="709"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16</w:t>
      </w:r>
    </w:p>
    <w:p w:rsidR="00CC47EE" w:rsidRPr="00CC47EE" w:rsidRDefault="00CC47EE" w:rsidP="00CC47EE">
      <w:pPr>
        <w:spacing w:before="122"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Notification procedure from the competent authority to ESMA and the CCP college</w:t>
      </w:r>
    </w:p>
    <w:p w:rsidR="00CC47EE" w:rsidRPr="00CC47EE" w:rsidRDefault="00CC47EE" w:rsidP="00CC47EE">
      <w:pPr>
        <w:spacing w:before="245" w:line="303"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Relevant competent authorities shall notify ESMA and the CCP college of every decision to approve a transitional arrangement in accordance with Article 35(5) of Regulation (EU) No 600/2014 in writing without undue delay and no later than one month from the decision, using Form 2 set out in the Annex to this Regulation.</w:t>
      </w:r>
    </w:p>
    <w:p w:rsidR="00CC47EE" w:rsidRPr="00CC47EE" w:rsidRDefault="00CC47EE" w:rsidP="00CC47EE">
      <w:pPr>
        <w:spacing w:before="703"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17</w:t>
      </w:r>
    </w:p>
    <w:p w:rsidR="00CC47EE" w:rsidRPr="00CC47EE" w:rsidRDefault="00CC47EE" w:rsidP="00CC47EE">
      <w:pPr>
        <w:spacing w:before="125"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 xml:space="preserve">Notification procedure from the trading venue to its competent authority regarding the </w:t>
      </w:r>
      <w:r w:rsidRPr="00CC47EE">
        <w:rPr>
          <w:rFonts w:ascii="Times New Roman" w:eastAsia="Times New Roman" w:hAnsi="Times New Roman"/>
          <w:b/>
          <w:color w:val="000000"/>
          <w:sz w:val="24"/>
          <w:lang w:val="en-US" w:eastAsia="en-US"/>
        </w:rPr>
        <w:br/>
        <w:t>initial transitional period</w:t>
      </w:r>
    </w:p>
    <w:p w:rsidR="00CC47EE" w:rsidRPr="00CC47EE" w:rsidRDefault="00CC47EE" w:rsidP="00CC47EE">
      <w:pPr>
        <w:spacing w:before="249" w:line="303"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Where a trading venue does not wish to be bound by Article 36 of Regulation (EU) No 600/2014, it shall submit a notification to ESMA and its competent authority in written form, using Forms 3.1 and 3.2 set out in the Annex to this Regulation.</w:t>
      </w:r>
    </w:p>
    <w:p w:rsidR="00CC47EE" w:rsidRPr="00CC47EE" w:rsidRDefault="00CC47EE" w:rsidP="00CC47EE">
      <w:pPr>
        <w:spacing w:before="702"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18</w:t>
      </w:r>
    </w:p>
    <w:p w:rsidR="00CC47EE" w:rsidRPr="00CC47EE" w:rsidRDefault="00CC47EE" w:rsidP="00CC47EE">
      <w:pPr>
        <w:spacing w:before="129"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 xml:space="preserve">Notification procedure from the trading venue to its competent authority regarding an </w:t>
      </w:r>
      <w:r w:rsidRPr="00CC47EE">
        <w:rPr>
          <w:rFonts w:ascii="Times New Roman" w:eastAsia="Times New Roman" w:hAnsi="Times New Roman"/>
          <w:b/>
          <w:color w:val="000000"/>
          <w:sz w:val="24"/>
          <w:lang w:val="en-US" w:eastAsia="en-US"/>
        </w:rPr>
        <w:br/>
        <w:t>extension of the transitional period</w:t>
      </w:r>
    </w:p>
    <w:p w:rsidR="00CC47EE" w:rsidRPr="00CC47EE" w:rsidRDefault="00CC47EE" w:rsidP="00CC47EE">
      <w:pPr>
        <w:spacing w:before="243" w:line="303" w:lineRule="exact"/>
        <w:ind w:left="144" w:right="144"/>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Where a trading venue wishes to continue not to be bound by Article 36 of Regulation (EU) No 600/2014 for a further thirty months, it shall submit a notification to ESMA and its competent authority in written form, using Forms 4.1 and 4.2 set out in the Annex to this Regulation.</w:t>
      </w:r>
    </w:p>
    <w:p w:rsidR="00CC47EE" w:rsidRPr="00CC47EE" w:rsidRDefault="00CC47EE" w:rsidP="00CC47EE">
      <w:pPr>
        <w:spacing w:before="704"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19</w:t>
      </w:r>
    </w:p>
    <w:p w:rsidR="00CC47EE" w:rsidRPr="00CC47EE" w:rsidRDefault="00CC47EE" w:rsidP="00CC47EE">
      <w:pPr>
        <w:spacing w:before="127" w:line="301"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Further specifications for the calculation of notional amount for transitional purposes</w:t>
      </w:r>
    </w:p>
    <w:p w:rsidR="00CC47EE" w:rsidRPr="00CC47EE" w:rsidRDefault="00CC47EE" w:rsidP="00CC47EE">
      <w:pPr>
        <w:spacing w:before="247" w:line="303"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1. In accordance with Article 36(5) of Regulation (EU) No 600/2014, a trading venue that does not wish to be bound by Article 36 of this Regulation for a period of thirty months from the date of application of Regulation (EU) No 600/2014 shall include in its calculation of its</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57" w:bottom="960" w:left="1252" w:header="720" w:footer="720" w:gutter="0"/>
          <w:cols w:space="720"/>
        </w:sectPr>
      </w:pPr>
    </w:p>
    <w:p w:rsidR="00780D75" w:rsidRDefault="00780D75" w:rsidP="00CC47EE">
      <w:pPr>
        <w:spacing w:before="293" w:line="302" w:lineRule="exact"/>
        <w:ind w:left="144" w:right="144"/>
        <w:textAlignment w:val="baseline"/>
        <w:rPr>
          <w:rFonts w:ascii="Times New Roman" w:eastAsia="Times New Roman" w:hAnsi="Times New Roman"/>
          <w:color w:val="000000"/>
          <w:sz w:val="24"/>
          <w:lang w:val="en-US" w:eastAsia="en-US"/>
        </w:rPr>
      </w:pPr>
    </w:p>
    <w:p w:rsidR="00780D75" w:rsidRDefault="00780D75" w:rsidP="00CC47EE">
      <w:pPr>
        <w:spacing w:before="293" w:line="302" w:lineRule="exact"/>
        <w:ind w:left="144" w:right="144"/>
        <w:textAlignment w:val="baseline"/>
        <w:rPr>
          <w:rFonts w:ascii="Times New Roman" w:eastAsia="Times New Roman" w:hAnsi="Times New Roman"/>
          <w:color w:val="000000"/>
          <w:sz w:val="24"/>
          <w:lang w:val="en-US" w:eastAsia="en-US"/>
        </w:rPr>
      </w:pPr>
    </w:p>
    <w:p w:rsidR="00CC47EE" w:rsidRPr="00CC47EE" w:rsidRDefault="00CC47EE" w:rsidP="00CC47EE">
      <w:pPr>
        <w:spacing w:before="293" w:line="302"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annual notional amount all transactions in exchange-traded derivatives concluded in the calendar year preceding the application under its rules.</w:t>
      </w:r>
    </w:p>
    <w:p w:rsidR="00CC47EE" w:rsidRPr="00CC47EE" w:rsidRDefault="00CC47EE" w:rsidP="00CC47EE">
      <w:pPr>
        <w:spacing w:before="248" w:line="304"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2. For the purposes of calculating its annual notional amount for 2016 in accordance with paragraph 1, a trading venue shall use actual figures for the period for which they are available. If a trading venue has less than 12 months of 2016 data available, then it shall produce an estimated figure for 2016 using the following three inputs:</w:t>
      </w:r>
    </w:p>
    <w:p w:rsidR="00CC47EE" w:rsidRPr="00CC47EE" w:rsidRDefault="00CC47EE" w:rsidP="00CC47EE">
      <w:pPr>
        <w:numPr>
          <w:ilvl w:val="0"/>
          <w:numId w:val="31"/>
        </w:numPr>
        <w:tabs>
          <w:tab w:val="left" w:pos="648"/>
        </w:tabs>
        <w:spacing w:before="244" w:line="307"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actual data for the longest possible period from the beginning of 2016, including at least the first 8 months;</w:t>
      </w:r>
    </w:p>
    <w:p w:rsidR="00CC47EE" w:rsidRPr="00CC47EE" w:rsidRDefault="00CC47EE" w:rsidP="00CC47EE">
      <w:pPr>
        <w:numPr>
          <w:ilvl w:val="0"/>
          <w:numId w:val="31"/>
        </w:numPr>
        <w:tabs>
          <w:tab w:val="left" w:pos="648"/>
        </w:tabs>
        <w:spacing w:before="283" w:line="273" w:lineRule="exact"/>
        <w:ind w:left="648"/>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actual data for the equivalent period during 2015;</w:t>
      </w:r>
    </w:p>
    <w:p w:rsidR="00CC47EE" w:rsidRPr="00CC47EE" w:rsidRDefault="00CC47EE" w:rsidP="00CC47EE">
      <w:pPr>
        <w:numPr>
          <w:ilvl w:val="0"/>
          <w:numId w:val="31"/>
        </w:numPr>
        <w:tabs>
          <w:tab w:val="left" w:pos="648"/>
        </w:tabs>
        <w:spacing w:before="275" w:line="273" w:lineRule="exact"/>
        <w:ind w:left="648"/>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actual data for the entire year 2015.</w:t>
      </w:r>
    </w:p>
    <w:p w:rsidR="00CC47EE" w:rsidRPr="00CC47EE" w:rsidRDefault="00CC47EE" w:rsidP="00CC47EE">
      <w:pPr>
        <w:spacing w:before="257" w:line="301"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The estimated figure for 2016 shall be calculated as follows: the inputs referred to in point (a) shall be multiplied by the inputs referred to in point (c) and divided by the inputs referred to in point (b).</w:t>
      </w:r>
    </w:p>
    <w:p w:rsidR="00CC47EE" w:rsidRPr="00CC47EE" w:rsidRDefault="00CC47EE" w:rsidP="00CC47EE">
      <w:pPr>
        <w:spacing w:before="259" w:line="302"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3. Where a trading venue wishes to continue not to be bound by Article 36 of Regulation (EU) No 600/2014 for a further thirty month period, it shall include in its calculation of its annual notional amount all transactions in exchange-traded derivatives concluded in each of the first two rolling years of the previous thirty month period under its rules.</w:t>
      </w:r>
    </w:p>
    <w:p w:rsidR="00CC47EE" w:rsidRPr="00CC47EE" w:rsidRDefault="00CC47EE" w:rsidP="00CC47EE">
      <w:pPr>
        <w:spacing w:before="255" w:line="303" w:lineRule="exact"/>
        <w:ind w:left="144" w:right="144"/>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4. Where there are equally acceptable alternative approaches to calculating notional amount for certain types of instruments, but there are notable differences in the values to which these calculation methods give rise, the calculation which gives the higher value shall be used. In particular for derivatives, such as futures or options, including all types of commodity derivatives which are designated in units, the notional amount shall be the full value of the derivative's underlying assets at the relevant price at the time at which the transaction is concluded.</w:t>
      </w:r>
    </w:p>
    <w:p w:rsidR="00CC47EE" w:rsidRPr="00CC47EE" w:rsidRDefault="00CC47EE" w:rsidP="00CC47EE">
      <w:pPr>
        <w:spacing w:before="706" w:line="278" w:lineRule="exact"/>
        <w:jc w:val="center"/>
        <w:textAlignment w:val="baseline"/>
        <w:rPr>
          <w:rFonts w:ascii="Times New Roman" w:eastAsia="Times New Roman" w:hAnsi="Times New Roman"/>
          <w:i/>
          <w:color w:val="000000"/>
          <w:spacing w:val="1"/>
          <w:sz w:val="24"/>
          <w:lang w:val="en-US" w:eastAsia="en-US"/>
        </w:rPr>
      </w:pPr>
      <w:r w:rsidRPr="00CC47EE">
        <w:rPr>
          <w:rFonts w:ascii="Times New Roman" w:eastAsia="Times New Roman" w:hAnsi="Times New Roman"/>
          <w:i/>
          <w:color w:val="000000"/>
          <w:spacing w:val="1"/>
          <w:sz w:val="24"/>
          <w:lang w:val="en-US" w:eastAsia="en-US"/>
        </w:rPr>
        <w:t>Article 20</w:t>
      </w:r>
    </w:p>
    <w:p w:rsidR="00CC47EE" w:rsidRPr="00CC47EE" w:rsidRDefault="00CC47EE" w:rsidP="00CC47EE">
      <w:pPr>
        <w:spacing w:before="148" w:line="274"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 xml:space="preserve">Approval and verification method </w:t>
      </w:r>
      <w:r w:rsidRPr="00CC47EE">
        <w:rPr>
          <w:rFonts w:ascii="Times New Roman" w:eastAsia="Times New Roman" w:hAnsi="Times New Roman"/>
          <w:color w:val="000000"/>
          <w:sz w:val="24"/>
          <w:lang w:val="en-US" w:eastAsia="en-US"/>
        </w:rPr>
        <w:t>by ESMA</w:t>
      </w:r>
    </w:p>
    <w:p w:rsidR="00CC47EE" w:rsidRPr="00CC47EE" w:rsidRDefault="00CC47EE" w:rsidP="00CC47EE">
      <w:pPr>
        <w:numPr>
          <w:ilvl w:val="0"/>
          <w:numId w:val="32"/>
        </w:numPr>
        <w:tabs>
          <w:tab w:val="left" w:pos="648"/>
        </w:tabs>
        <w:spacing w:before="241" w:line="305"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For the purposes of verification in accordance with Article 36(6)(d) of Regulation (EU) No 600/2014, the trading venue shall submit to ESMA on request all facts and figures on which the calculation is based.</w:t>
      </w:r>
    </w:p>
    <w:p w:rsidR="00CC47EE" w:rsidRPr="00CC47EE" w:rsidRDefault="00CC47EE" w:rsidP="00CC47EE">
      <w:pPr>
        <w:numPr>
          <w:ilvl w:val="0"/>
          <w:numId w:val="32"/>
        </w:numPr>
        <w:tabs>
          <w:tab w:val="left" w:pos="648"/>
        </w:tabs>
        <w:spacing w:before="251" w:line="302" w:lineRule="exact"/>
        <w:ind w:left="648"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ESMA shall also consider relevant post-trade data and annual statistics for verification of the submitted notional amount figures.</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45" w:bottom="960" w:left="1264" w:header="720" w:footer="720" w:gutter="0"/>
          <w:cols w:space="720"/>
        </w:sectPr>
      </w:pPr>
    </w:p>
    <w:p w:rsidR="00780D75" w:rsidRDefault="00780D75" w:rsidP="00CC47EE">
      <w:pPr>
        <w:spacing w:before="294" w:line="301" w:lineRule="exact"/>
        <w:ind w:left="144" w:right="144"/>
        <w:jc w:val="left"/>
        <w:textAlignment w:val="baseline"/>
        <w:rPr>
          <w:rFonts w:ascii="Times New Roman" w:eastAsia="Times New Roman" w:hAnsi="Times New Roman"/>
          <w:color w:val="000000"/>
          <w:sz w:val="24"/>
          <w:lang w:val="en-US" w:eastAsia="en-US"/>
        </w:rPr>
      </w:pPr>
    </w:p>
    <w:p w:rsidR="00780D75" w:rsidRDefault="00780D75" w:rsidP="00CC47EE">
      <w:pPr>
        <w:spacing w:before="294" w:line="301" w:lineRule="exact"/>
        <w:ind w:left="144" w:right="144"/>
        <w:jc w:val="left"/>
        <w:textAlignment w:val="baseline"/>
        <w:rPr>
          <w:rFonts w:ascii="Times New Roman" w:eastAsia="Times New Roman" w:hAnsi="Times New Roman"/>
          <w:color w:val="000000"/>
          <w:sz w:val="24"/>
          <w:lang w:val="en-US" w:eastAsia="en-US"/>
        </w:rPr>
      </w:pPr>
    </w:p>
    <w:p w:rsidR="00CC47EE" w:rsidRPr="00CC47EE" w:rsidRDefault="00CC47EE" w:rsidP="00CC47EE">
      <w:pPr>
        <w:spacing w:before="294" w:line="301"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3. ESMA shall decide on the approval of the opt-out within three months after the reception of all relevant information for the notification according to either Article 16 or 17, including the information specified by Article 18.</w:t>
      </w:r>
    </w:p>
    <w:p w:rsidR="00CC47EE" w:rsidRPr="00CC47EE" w:rsidRDefault="00CC47EE" w:rsidP="00CC47EE">
      <w:pPr>
        <w:spacing w:before="706" w:line="271" w:lineRule="exact"/>
        <w:jc w:val="center"/>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Article 21</w:t>
      </w:r>
    </w:p>
    <w:p w:rsidR="00CC47EE" w:rsidRPr="00CC47EE" w:rsidRDefault="00CC47EE" w:rsidP="00CC47EE">
      <w:pPr>
        <w:spacing w:before="156" w:line="275"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Entry into force and application</w:t>
      </w:r>
    </w:p>
    <w:p w:rsidR="00CC47EE" w:rsidRPr="00CC47EE" w:rsidRDefault="00CC47EE" w:rsidP="00CC47EE">
      <w:pPr>
        <w:spacing w:before="239" w:line="307"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CC47EE" w:rsidRPr="00CC47EE" w:rsidRDefault="00CC47EE" w:rsidP="00CC47EE">
      <w:pPr>
        <w:spacing w:before="244" w:line="306" w:lineRule="exact"/>
        <w:ind w:left="144" w:right="144"/>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It shall apply from 3 January 2017, except Articles 15 to 17, 19 and 20 that shall apply from 1 September 2016.</w:t>
      </w:r>
    </w:p>
    <w:p w:rsidR="00CC47EE" w:rsidRPr="00CC47EE" w:rsidRDefault="00CC47EE" w:rsidP="00CC47EE">
      <w:pPr>
        <w:spacing w:before="683" w:line="424" w:lineRule="exact"/>
        <w:ind w:left="144" w:right="432"/>
        <w:jc w:val="left"/>
        <w:textAlignment w:val="baseline"/>
        <w:rPr>
          <w:rFonts w:ascii="Times New Roman" w:eastAsia="Times New Roman" w:hAnsi="Times New Roman"/>
          <w:color w:val="000000"/>
          <w:sz w:val="24"/>
          <w:lang w:val="en-US" w:eastAsia="en-US"/>
        </w:rPr>
      </w:pPr>
      <w:r w:rsidRPr="00CC47EE">
        <w:rPr>
          <w:rFonts w:ascii="Times New Roman" w:eastAsia="Times New Roman" w:hAnsi="Times New Roman"/>
          <w:color w:val="000000"/>
          <w:sz w:val="24"/>
          <w:lang w:val="en-US" w:eastAsia="en-US"/>
        </w:rPr>
        <w:t>This Regulation shall be binding in its entirety and directly applicable in all Member States. Done at Brussels,</w:t>
      </w:r>
    </w:p>
    <w:p w:rsidR="00CC47EE" w:rsidRPr="00CC47EE" w:rsidRDefault="00CC47EE" w:rsidP="00CC47EE">
      <w:pPr>
        <w:spacing w:before="715" w:line="277" w:lineRule="exact"/>
        <w:ind w:left="4392" w:right="3024"/>
        <w:jc w:val="left"/>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For the Commission The President</w:t>
      </w:r>
    </w:p>
    <w:p w:rsidR="00CC47EE" w:rsidRPr="00CC47EE" w:rsidRDefault="00CC47EE" w:rsidP="00CC47EE">
      <w:pPr>
        <w:spacing w:before="1003" w:line="271" w:lineRule="exact"/>
        <w:ind w:left="4392"/>
        <w:jc w:val="left"/>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[For the Commission</w:t>
      </w:r>
    </w:p>
    <w:p w:rsidR="00CC47EE" w:rsidRPr="00CC47EE" w:rsidRDefault="00CC47EE" w:rsidP="00CC47EE">
      <w:pPr>
        <w:spacing w:before="2" w:line="271" w:lineRule="exact"/>
        <w:ind w:left="4392"/>
        <w:jc w:val="left"/>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On behalf of the President</w:t>
      </w:r>
    </w:p>
    <w:p w:rsidR="00CC47EE" w:rsidRPr="00CC47EE" w:rsidRDefault="00CC47EE" w:rsidP="00CC47EE">
      <w:pPr>
        <w:spacing w:before="280" w:line="271" w:lineRule="exact"/>
        <w:ind w:left="4392"/>
        <w:jc w:val="left"/>
        <w:textAlignment w:val="baseline"/>
        <w:rPr>
          <w:rFonts w:ascii="Times New Roman" w:eastAsia="Times New Roman" w:hAnsi="Times New Roman"/>
          <w:i/>
          <w:color w:val="000000"/>
          <w:sz w:val="24"/>
          <w:lang w:val="en-US" w:eastAsia="en-US"/>
        </w:rPr>
      </w:pPr>
      <w:r w:rsidRPr="00CC47EE">
        <w:rPr>
          <w:rFonts w:ascii="Times New Roman" w:eastAsia="Times New Roman" w:hAnsi="Times New Roman"/>
          <w:i/>
          <w:color w:val="000000"/>
          <w:sz w:val="24"/>
          <w:lang w:val="en-US" w:eastAsia="en-US"/>
        </w:rPr>
        <w:t>[Position]</w:t>
      </w:r>
    </w:p>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52" w:bottom="960" w:left="1257" w:header="720" w:footer="720" w:gutter="0"/>
          <w:cols w:space="720"/>
        </w:sectPr>
      </w:pPr>
    </w:p>
    <w:p w:rsidR="00CC47EE" w:rsidRPr="00CC47EE" w:rsidRDefault="00CC47EE" w:rsidP="00CC47EE">
      <w:pPr>
        <w:spacing w:before="6" w:after="449"/>
        <w:ind w:left="344" w:right="12379"/>
        <w:jc w:val="left"/>
        <w:textAlignment w:val="baseline"/>
        <w:rPr>
          <w:rFonts w:ascii="Times New Roman" w:eastAsia="PMingLiU" w:hAnsi="Times New Roman"/>
          <w:lang w:val="en-US" w:eastAsia="en-US"/>
        </w:rPr>
      </w:pPr>
      <w:r w:rsidRPr="00CC47EE">
        <w:rPr>
          <w:rFonts w:ascii="Times New Roman" w:eastAsia="PMingLiU" w:hAnsi="Times New Roman"/>
          <w:noProof/>
        </w:rPr>
        <w:lastRenderedPageBreak/>
        <w:drawing>
          <wp:inline distT="0" distB="0" distL="0" distR="0" wp14:anchorId="03AD549B" wp14:editId="2B937289">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96"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CC47EE" w:rsidRPr="00CC47EE" w:rsidRDefault="00CC47EE" w:rsidP="00CC47EE">
      <w:pPr>
        <w:spacing w:before="5" w:line="363" w:lineRule="exact"/>
        <w:ind w:left="72"/>
        <w:jc w:val="left"/>
        <w:textAlignment w:val="baseline"/>
        <w:rPr>
          <w:rFonts w:ascii="Times New Roman" w:eastAsia="Times New Roman" w:hAnsi="Times New Roman"/>
          <w:b/>
          <w:color w:val="000000"/>
          <w:spacing w:val="-2"/>
          <w:sz w:val="32"/>
          <w:lang w:val="en-US" w:eastAsia="en-US"/>
        </w:rPr>
      </w:pPr>
      <w:r>
        <w:rPr>
          <w:rFonts w:ascii="Times New Roman" w:eastAsia="PMingLiU" w:hAnsi="Times New Roman"/>
          <w:noProof/>
        </w:rPr>
        <mc:AlternateContent>
          <mc:Choice Requires="wps">
            <w:drawing>
              <wp:anchor distT="0" distB="0" distL="0" distR="0" simplePos="0" relativeHeight="251729920" behindDoc="0" locked="0" layoutInCell="1" allowOverlap="1">
                <wp:simplePos x="0" y="0"/>
                <wp:positionH relativeFrom="page">
                  <wp:posOffset>677545</wp:posOffset>
                </wp:positionH>
                <wp:positionV relativeFrom="page">
                  <wp:posOffset>6701155</wp:posOffset>
                </wp:positionV>
                <wp:extent cx="506730" cy="342900"/>
                <wp:effectExtent l="127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left:0;text-align:left;margin-left:53.35pt;margin-top:527.65pt;width:39.9pt;height:27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I9sg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" filled="f" stroked="f">
                <v:textbox inset="0,0,0,0">
                  <w:txbxContent>
                    <w:p w:rsidR="00CC47EE" w:rsidRDefault="00CC47EE" w:rsidP="00CC47EE">
                      <w:pPr>
                        <w:spacing w:line="53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0944" behindDoc="0" locked="0" layoutInCell="1" allowOverlap="1">
                <wp:simplePos x="0" y="0"/>
                <wp:positionH relativeFrom="page">
                  <wp:posOffset>3430270</wp:posOffset>
                </wp:positionH>
                <wp:positionV relativeFrom="page">
                  <wp:posOffset>6837680</wp:posOffset>
                </wp:positionV>
                <wp:extent cx="344805" cy="175260"/>
                <wp:effectExtent l="127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before="3" w:line="259" w:lineRule="exact"/>
                              <w:textAlignment w:val="baseline"/>
                              <w:rPr>
                                <w:rFonts w:eastAsia="Times New Roman"/>
                                <w:color w:val="000000"/>
                                <w:spacing w:val="17"/>
                                <w:sz w:val="24"/>
                              </w:rPr>
                            </w:pPr>
                            <w:r>
                              <w:rPr>
                                <w:rFonts w:eastAsia="Times New Roman"/>
                                <w:color w:val="000000"/>
                                <w:spacing w:val="17"/>
                                <w:sz w:val="24"/>
                              </w:rPr>
                              <w:t>356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left:0;text-align:left;margin-left:270.1pt;margin-top:538.4pt;width:27.15pt;height:13.8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GnswIAALI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" filled="f" stroked="f">
                <v:textbox inset="0,0,0,0">
                  <w:txbxContent>
                    <w:p w:rsidR="00CC47EE" w:rsidRDefault="00CC47EE" w:rsidP="00CC47EE">
                      <w:pPr>
                        <w:spacing w:before="3" w:line="259" w:lineRule="exact"/>
                        <w:textAlignment w:val="baseline"/>
                        <w:rPr>
                          <w:rFonts w:eastAsia="Times New Roman"/>
                          <w:color w:val="000000"/>
                          <w:spacing w:val="17"/>
                          <w:sz w:val="24"/>
                        </w:rPr>
                      </w:pPr>
                      <w:r>
                        <w:rPr>
                          <w:rFonts w:eastAsia="Times New Roman"/>
                          <w:color w:val="000000"/>
                          <w:spacing w:val="17"/>
                          <w:sz w:val="24"/>
                        </w:rPr>
                        <w:t>356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1968" behindDoc="0" locked="0" layoutInCell="1" allowOverlap="1">
                <wp:simplePos x="0" y="0"/>
                <wp:positionH relativeFrom="page">
                  <wp:posOffset>6014720</wp:posOffset>
                </wp:positionH>
                <wp:positionV relativeFrom="page">
                  <wp:posOffset>6701155</wp:posOffset>
                </wp:positionV>
                <wp:extent cx="506730" cy="342900"/>
                <wp:effectExtent l="4445" t="0" r="3175" b="444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5" type="#_x0000_t202" style="position:absolute;left:0;text-align:left;margin-left:473.6pt;margin-top:527.65pt;width:39.9pt;height:27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Vsg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" filled="f" stroked="f">
                <v:textbox inset="0,0,0,0">
                  <w:txbxContent>
                    <w:p w:rsidR="00CC47EE" w:rsidRDefault="00CC47EE" w:rsidP="00CC47EE">
                      <w:pPr>
                        <w:spacing w:line="53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9744"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NU99wR8CAAA4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sidRPr="00CC47EE">
        <w:rPr>
          <w:rFonts w:ascii="Times New Roman" w:eastAsia="Times New Roman" w:hAnsi="Times New Roman"/>
          <w:b/>
          <w:color w:val="000000"/>
          <w:spacing w:val="-2"/>
          <w:sz w:val="32"/>
          <w:lang w:val="en-US" w:eastAsia="en-US"/>
        </w:rPr>
        <w:t>Annex</w:t>
      </w:r>
    </w:p>
    <w:p w:rsidR="00CC47EE" w:rsidRPr="00CC47EE" w:rsidRDefault="00CC47EE" w:rsidP="00CC47EE">
      <w:pPr>
        <w:spacing w:before="152" w:line="273" w:lineRule="exact"/>
        <w:ind w:left="6984"/>
        <w:jc w:val="left"/>
        <w:textAlignment w:val="baseline"/>
        <w:rPr>
          <w:rFonts w:ascii="Times New Roman" w:eastAsia="Times New Roman" w:hAnsi="Times New Roman"/>
          <w:color w:val="000000"/>
          <w:spacing w:val="-5"/>
          <w:sz w:val="24"/>
          <w:lang w:val="en-US" w:eastAsia="en-US"/>
        </w:rPr>
      </w:pPr>
      <w:r w:rsidRPr="00CC47EE">
        <w:rPr>
          <w:rFonts w:ascii="Times New Roman" w:eastAsia="Times New Roman" w:hAnsi="Times New Roman"/>
          <w:color w:val="000000"/>
          <w:spacing w:val="-5"/>
          <w:sz w:val="24"/>
          <w:lang w:val="en-US" w:eastAsia="en-US"/>
        </w:rPr>
        <w:t>Form 1</w:t>
      </w:r>
    </w:p>
    <w:p w:rsidR="00CC47EE" w:rsidRPr="00CC47EE" w:rsidRDefault="00CC47EE" w:rsidP="00CC47EE">
      <w:pPr>
        <w:spacing w:before="158" w:after="117" w:line="273" w:lineRule="exact"/>
        <w:ind w:left="5472"/>
        <w:jc w:val="left"/>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Notification referred to in Article 15</w:t>
      </w:r>
    </w:p>
    <w:tbl>
      <w:tblPr>
        <w:tblW w:w="0" w:type="auto"/>
        <w:tblInd w:w="2245" w:type="dxa"/>
        <w:tblLayout w:type="fixed"/>
        <w:tblCellMar>
          <w:left w:w="0" w:type="dxa"/>
          <w:right w:w="0" w:type="dxa"/>
        </w:tblCellMar>
        <w:tblLook w:val="04A0" w:firstRow="1" w:lastRow="0" w:firstColumn="1" w:lastColumn="0" w:noHBand="0" w:noVBand="1"/>
      </w:tblPr>
      <w:tblGrid>
        <w:gridCol w:w="1190"/>
        <w:gridCol w:w="1920"/>
        <w:gridCol w:w="1920"/>
        <w:gridCol w:w="1920"/>
        <w:gridCol w:w="3260"/>
      </w:tblGrid>
      <w:tr w:rsidR="00CC47EE" w:rsidRPr="00CC47EE" w:rsidTr="00451671">
        <w:trPr>
          <w:trHeight w:hRule="exact" w:val="1013"/>
        </w:trPr>
        <w:tc>
          <w:tcPr>
            <w:tcW w:w="119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571"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 of the </w:t>
            </w:r>
            <w:r w:rsidRPr="00CC47EE">
              <w:rPr>
                <w:rFonts w:ascii="Times New Roman" w:eastAsia="Times New Roman" w:hAnsi="Times New Roman"/>
                <w:b/>
                <w:color w:val="000000"/>
                <w:sz w:val="18"/>
                <w:lang w:val="en-US" w:eastAsia="en-US"/>
              </w:rPr>
              <w:br/>
              <w:t>CCP</w:t>
            </w:r>
          </w:p>
        </w:tc>
        <w:tc>
          <w:tcPr>
            <w:tcW w:w="192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571"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Relevant contact </w:t>
            </w:r>
            <w:r w:rsidRPr="00CC47EE">
              <w:rPr>
                <w:rFonts w:ascii="Times New Roman" w:eastAsia="Times New Roman" w:hAnsi="Times New Roman"/>
                <w:b/>
                <w:color w:val="000000"/>
                <w:sz w:val="18"/>
                <w:lang w:val="en-US" w:eastAsia="en-US"/>
              </w:rPr>
              <w:br/>
              <w:t>details</w:t>
            </w:r>
          </w:p>
        </w:tc>
        <w:tc>
          <w:tcPr>
            <w:tcW w:w="192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92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366"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Name(s) of trading </w:t>
            </w:r>
            <w:r w:rsidRPr="00CC47EE">
              <w:rPr>
                <w:rFonts w:ascii="Times New Roman" w:eastAsia="Times New Roman" w:hAnsi="Times New Roman"/>
                <w:b/>
                <w:color w:val="000000"/>
                <w:sz w:val="18"/>
                <w:lang w:val="en-US" w:eastAsia="en-US"/>
              </w:rPr>
              <w:br/>
              <w:t xml:space="preserve">venue(s) connected by </w:t>
            </w:r>
            <w:r w:rsidRPr="00CC47EE">
              <w:rPr>
                <w:rFonts w:ascii="Times New Roman" w:eastAsia="Times New Roman" w:hAnsi="Times New Roman"/>
                <w:b/>
                <w:color w:val="000000"/>
                <w:sz w:val="18"/>
                <w:lang w:val="en-US" w:eastAsia="en-US"/>
              </w:rPr>
              <w:br/>
              <w:t>close links</w:t>
            </w:r>
          </w:p>
        </w:tc>
        <w:tc>
          <w:tcPr>
            <w:tcW w:w="326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571"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Jurisdiction(s) of trading venue(s) </w:t>
            </w:r>
            <w:r w:rsidRPr="00CC47EE">
              <w:rPr>
                <w:rFonts w:ascii="Times New Roman" w:eastAsia="Times New Roman" w:hAnsi="Times New Roman"/>
                <w:b/>
                <w:color w:val="000000"/>
                <w:sz w:val="18"/>
                <w:lang w:val="en-US" w:eastAsia="en-US"/>
              </w:rPr>
              <w:br/>
              <w:t>connected by close links</w:t>
            </w:r>
          </w:p>
        </w:tc>
      </w:tr>
      <w:tr w:rsidR="00CC47EE" w:rsidRPr="00CC47EE" w:rsidTr="00451671">
        <w:trPr>
          <w:trHeight w:hRule="exact" w:val="1085"/>
        </w:trPr>
        <w:tc>
          <w:tcPr>
            <w:tcW w:w="119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92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92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92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33"/>
              </w:numPr>
              <w:tabs>
                <w:tab w:val="left" w:pos="288"/>
              </w:tabs>
              <w:spacing w:line="206" w:lineRule="exact"/>
              <w:ind w:left="72"/>
              <w:jc w:val="left"/>
              <w:textAlignment w:val="baseline"/>
              <w:rPr>
                <w:rFonts w:ascii="Times New Roman" w:eastAsia="Times New Roman" w:hAnsi="Times New Roman"/>
                <w:b/>
                <w:color w:val="000000"/>
                <w:sz w:val="18"/>
                <w:lang w:val="en-US" w:eastAsia="en-US"/>
              </w:rPr>
            </w:pPr>
          </w:p>
          <w:p w:rsidR="00CC47EE" w:rsidRPr="00CC47EE" w:rsidRDefault="00CC47EE" w:rsidP="00CC47EE">
            <w:pPr>
              <w:numPr>
                <w:ilvl w:val="0"/>
                <w:numId w:val="33"/>
              </w:numPr>
              <w:tabs>
                <w:tab w:val="left" w:pos="288"/>
              </w:tabs>
              <w:spacing w:before="6" w:line="232"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3"/>
              </w:numPr>
              <w:tabs>
                <w:tab w:val="left" w:pos="288"/>
              </w:tabs>
              <w:spacing w:before="2" w:after="155" w:line="232" w:lineRule="exact"/>
              <w:ind w:left="72" w:right="1656"/>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w:t>
            </w:r>
          </w:p>
        </w:tc>
        <w:tc>
          <w:tcPr>
            <w:tcW w:w="326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34"/>
              </w:numPr>
              <w:tabs>
                <w:tab w:val="left" w:pos="288"/>
              </w:tabs>
              <w:spacing w:line="206" w:lineRule="exact"/>
              <w:ind w:left="72"/>
              <w:jc w:val="left"/>
              <w:textAlignment w:val="baseline"/>
              <w:rPr>
                <w:rFonts w:ascii="Times New Roman" w:eastAsia="Times New Roman" w:hAnsi="Times New Roman"/>
                <w:b/>
                <w:color w:val="000000"/>
                <w:sz w:val="18"/>
                <w:lang w:val="en-US" w:eastAsia="en-US"/>
              </w:rPr>
            </w:pPr>
          </w:p>
          <w:p w:rsidR="00CC47EE" w:rsidRPr="00CC47EE" w:rsidRDefault="00CC47EE" w:rsidP="00CC47EE">
            <w:pPr>
              <w:numPr>
                <w:ilvl w:val="0"/>
                <w:numId w:val="34"/>
              </w:numPr>
              <w:tabs>
                <w:tab w:val="left" w:pos="288"/>
              </w:tabs>
              <w:spacing w:before="6" w:line="232"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4"/>
              </w:numPr>
              <w:tabs>
                <w:tab w:val="left" w:pos="288"/>
              </w:tabs>
              <w:spacing w:before="2" w:after="155" w:line="232" w:lineRule="exact"/>
              <w:ind w:left="72" w:right="2988"/>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w:t>
            </w:r>
          </w:p>
        </w:tc>
      </w:tr>
    </w:tbl>
    <w:p w:rsidR="00CC47EE" w:rsidRPr="00CC47EE" w:rsidRDefault="00CC47EE" w:rsidP="00CC47EE">
      <w:pPr>
        <w:spacing w:after="659" w:line="20" w:lineRule="exact"/>
        <w:jc w:val="left"/>
        <w:rPr>
          <w:rFonts w:ascii="Times New Roman" w:eastAsia="PMingLiU" w:hAnsi="Times New Roman"/>
          <w:lang w:val="en-US" w:eastAsia="en-US"/>
        </w:rPr>
      </w:pPr>
    </w:p>
    <w:p w:rsidR="00CC47EE" w:rsidRPr="00CC47EE" w:rsidRDefault="00CC47EE" w:rsidP="00CC47EE">
      <w:pPr>
        <w:spacing w:before="4" w:line="273" w:lineRule="exact"/>
        <w:ind w:left="6984"/>
        <w:jc w:val="left"/>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Form 2</w:t>
      </w:r>
    </w:p>
    <w:p w:rsidR="00CC47EE" w:rsidRPr="00CC47EE" w:rsidRDefault="00CC47EE" w:rsidP="00CC47EE">
      <w:pPr>
        <w:spacing w:before="156" w:after="117" w:line="273" w:lineRule="exact"/>
        <w:ind w:left="5472"/>
        <w:jc w:val="left"/>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Notification referred to in Article 16</w:t>
      </w:r>
    </w:p>
    <w:tbl>
      <w:tblPr>
        <w:tblW w:w="0" w:type="auto"/>
        <w:tblInd w:w="1103" w:type="dxa"/>
        <w:tblLayout w:type="fixed"/>
        <w:tblCellMar>
          <w:left w:w="0" w:type="dxa"/>
          <w:right w:w="0" w:type="dxa"/>
        </w:tblCellMar>
        <w:tblLook w:val="04A0" w:firstRow="1" w:lastRow="0" w:firstColumn="1" w:lastColumn="0" w:noHBand="0" w:noVBand="1"/>
      </w:tblPr>
      <w:tblGrid>
        <w:gridCol w:w="1133"/>
        <w:gridCol w:w="1809"/>
        <w:gridCol w:w="1474"/>
        <w:gridCol w:w="1267"/>
        <w:gridCol w:w="2741"/>
        <w:gridCol w:w="1742"/>
        <w:gridCol w:w="2328"/>
      </w:tblGrid>
      <w:tr w:rsidR="00CC47EE" w:rsidRPr="00CC47EE" w:rsidTr="00451671">
        <w:trPr>
          <w:trHeight w:hRule="exact" w:val="1416"/>
        </w:trPr>
        <w:tc>
          <w:tcPr>
            <w:tcW w:w="1133"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975"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 of </w:t>
            </w:r>
            <w:r w:rsidRPr="00CC47EE">
              <w:rPr>
                <w:rFonts w:ascii="Times New Roman" w:eastAsia="Times New Roman" w:hAnsi="Times New Roman"/>
                <w:b/>
                <w:color w:val="000000"/>
                <w:sz w:val="18"/>
                <w:lang w:val="en-US" w:eastAsia="en-US"/>
              </w:rPr>
              <w:br/>
              <w:t>the CCP</w:t>
            </w:r>
          </w:p>
        </w:tc>
        <w:tc>
          <w:tcPr>
            <w:tcW w:w="1809"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975"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Relevant contact </w:t>
            </w:r>
            <w:r w:rsidRPr="00CC47EE">
              <w:rPr>
                <w:rFonts w:ascii="Times New Roman" w:eastAsia="Times New Roman" w:hAnsi="Times New Roman"/>
                <w:b/>
                <w:color w:val="000000"/>
                <w:sz w:val="18"/>
                <w:lang w:val="en-US" w:eastAsia="en-US"/>
              </w:rPr>
              <w:br/>
              <w:t>details</w:t>
            </w:r>
          </w:p>
        </w:tc>
        <w:tc>
          <w:tcPr>
            <w:tcW w:w="1474"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267"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770"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Date of </w:t>
            </w:r>
            <w:r w:rsidRPr="00CC47EE">
              <w:rPr>
                <w:rFonts w:ascii="Times New Roman" w:eastAsia="Times New Roman" w:hAnsi="Times New Roman"/>
                <w:b/>
                <w:color w:val="000000"/>
                <w:sz w:val="18"/>
                <w:lang w:val="en-US" w:eastAsia="en-US"/>
              </w:rPr>
              <w:br/>
              <w:t xml:space="preserve">approval </w:t>
            </w:r>
            <w:r w:rsidRPr="00CC47EE">
              <w:rPr>
                <w:rFonts w:ascii="Times New Roman" w:eastAsia="Times New Roman" w:hAnsi="Times New Roman"/>
                <w:b/>
                <w:color w:val="000000"/>
                <w:sz w:val="18"/>
                <w:lang w:val="en-US" w:eastAsia="en-US"/>
              </w:rPr>
              <w:br/>
              <w:t>decision</w:t>
            </w:r>
          </w:p>
        </w:tc>
        <w:tc>
          <w:tcPr>
            <w:tcW w:w="2741"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975"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Dates of beginning and end of </w:t>
            </w:r>
            <w:r w:rsidRPr="00CC47EE">
              <w:rPr>
                <w:rFonts w:ascii="Times New Roman" w:eastAsia="Times New Roman" w:hAnsi="Times New Roman"/>
                <w:b/>
                <w:color w:val="000000"/>
                <w:sz w:val="18"/>
                <w:lang w:val="en-US" w:eastAsia="en-US"/>
              </w:rPr>
              <w:br/>
              <w:t>transitional period</w:t>
            </w:r>
          </w:p>
        </w:tc>
        <w:tc>
          <w:tcPr>
            <w:tcW w:w="1742"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769"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Name(s) of trading </w:t>
            </w:r>
            <w:r w:rsidRPr="00CC47EE">
              <w:rPr>
                <w:rFonts w:ascii="Times New Roman" w:eastAsia="Times New Roman" w:hAnsi="Times New Roman"/>
                <w:b/>
                <w:color w:val="000000"/>
                <w:sz w:val="18"/>
                <w:lang w:val="en-US" w:eastAsia="en-US"/>
              </w:rPr>
              <w:br/>
              <w:t xml:space="preserve">venue(s) connected </w:t>
            </w:r>
            <w:r w:rsidRPr="00CC47EE">
              <w:rPr>
                <w:rFonts w:ascii="Times New Roman" w:eastAsia="Times New Roman" w:hAnsi="Times New Roman"/>
                <w:b/>
                <w:color w:val="000000"/>
                <w:sz w:val="18"/>
                <w:lang w:val="en-US" w:eastAsia="en-US"/>
              </w:rPr>
              <w:br/>
              <w:t>by close links</w:t>
            </w:r>
          </w:p>
        </w:tc>
        <w:tc>
          <w:tcPr>
            <w:tcW w:w="2328"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Jurisdiction(s) of trading </w:t>
            </w:r>
            <w:r w:rsidRPr="00CC47EE">
              <w:rPr>
                <w:rFonts w:ascii="Times New Roman" w:eastAsia="Times New Roman" w:hAnsi="Times New Roman"/>
                <w:b/>
                <w:color w:val="000000"/>
                <w:sz w:val="18"/>
                <w:lang w:val="en-US" w:eastAsia="en-US"/>
              </w:rPr>
              <w:br/>
              <w:t>venue(s) connected by close</w:t>
            </w:r>
          </w:p>
          <w:p w:rsidR="00CC47EE" w:rsidRPr="00CC47EE" w:rsidRDefault="00CC47EE" w:rsidP="00CC47EE">
            <w:pPr>
              <w:spacing w:after="771" w:line="204"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links</w:t>
            </w:r>
          </w:p>
        </w:tc>
      </w:tr>
      <w:tr w:rsidR="00CC47EE" w:rsidRPr="00CC47EE" w:rsidTr="00451671">
        <w:trPr>
          <w:trHeight w:hRule="exact" w:val="979"/>
        </w:trPr>
        <w:tc>
          <w:tcPr>
            <w:tcW w:w="1133"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809"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474"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267"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2741"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518" w:line="225" w:lineRule="exact"/>
              <w:ind w:left="108" w:right="1836"/>
              <w:jc w:val="left"/>
              <w:textAlignment w:val="baseline"/>
              <w:rPr>
                <w:rFonts w:ascii="Times New Roman" w:eastAsia="Times New Roman" w:hAnsi="Times New Roman"/>
                <w:color w:val="000000"/>
                <w:spacing w:val="-2"/>
                <w:sz w:val="18"/>
                <w:lang w:val="en-US" w:eastAsia="en-US"/>
              </w:rPr>
            </w:pPr>
            <w:r w:rsidRPr="00CC47EE">
              <w:rPr>
                <w:rFonts w:ascii="Times New Roman" w:eastAsia="Times New Roman" w:hAnsi="Times New Roman"/>
                <w:color w:val="000000"/>
                <w:spacing w:val="-2"/>
                <w:sz w:val="18"/>
                <w:lang w:val="en-US" w:eastAsia="en-US"/>
              </w:rPr>
              <w:t>Beginning: End:</w:t>
            </w:r>
          </w:p>
        </w:tc>
        <w:tc>
          <w:tcPr>
            <w:tcW w:w="1742"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35"/>
              </w:numPr>
              <w:tabs>
                <w:tab w:val="left" w:pos="288"/>
              </w:tabs>
              <w:spacing w:line="219"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5"/>
              </w:numPr>
              <w:tabs>
                <w:tab w:val="left" w:pos="288"/>
              </w:tabs>
              <w:spacing w:line="230"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5"/>
              </w:numPr>
              <w:tabs>
                <w:tab w:val="left" w:pos="288"/>
              </w:tabs>
              <w:spacing w:before="6" w:after="50" w:line="232" w:lineRule="exact"/>
              <w:ind w:left="72" w:right="1476"/>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w:t>
            </w:r>
          </w:p>
        </w:tc>
        <w:tc>
          <w:tcPr>
            <w:tcW w:w="2328"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36"/>
              </w:numPr>
              <w:tabs>
                <w:tab w:val="left" w:pos="288"/>
              </w:tabs>
              <w:spacing w:line="219"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6"/>
              </w:numPr>
              <w:tabs>
                <w:tab w:val="left" w:pos="288"/>
              </w:tabs>
              <w:spacing w:line="230"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6"/>
              </w:numPr>
              <w:tabs>
                <w:tab w:val="left" w:pos="288"/>
              </w:tabs>
              <w:spacing w:before="6" w:after="50" w:line="232" w:lineRule="exact"/>
              <w:ind w:left="72" w:right="2088"/>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w:t>
            </w:r>
          </w:p>
        </w:tc>
      </w:tr>
    </w:tbl>
    <w:p w:rsidR="00CC47EE" w:rsidRPr="00CC47EE" w:rsidRDefault="00CC47EE" w:rsidP="00CC47EE">
      <w:pPr>
        <w:jc w:val="left"/>
        <w:rPr>
          <w:rFonts w:ascii="Times New Roman" w:eastAsia="PMingLiU" w:hAnsi="Times New Roman"/>
          <w:lang w:val="en-US" w:eastAsia="en-US"/>
        </w:rPr>
        <w:sectPr w:rsidR="00CC47EE" w:rsidRPr="00CC47EE">
          <w:pgSz w:w="16838" w:h="11909" w:orient="landscape"/>
          <w:pgMar w:top="700" w:right="2160" w:bottom="960" w:left="1067" w:header="720" w:footer="720" w:gutter="0"/>
          <w:cols w:space="720"/>
        </w:sectPr>
      </w:pPr>
    </w:p>
    <w:p w:rsidR="00CC47EE" w:rsidRPr="00CC47EE" w:rsidRDefault="00CC47EE" w:rsidP="00CC47EE">
      <w:pPr>
        <w:spacing w:line="114" w:lineRule="exact"/>
        <w:ind w:left="504"/>
        <w:jc w:val="left"/>
        <w:textAlignment w:val="baseline"/>
        <w:rPr>
          <w:rFonts w:ascii="Verdana" w:eastAsia="Verdana" w:hAnsi="Verdana"/>
          <w:color w:val="6177A8"/>
          <w:sz w:val="18"/>
          <w:lang w:val="en-US" w:eastAsia="en-US"/>
        </w:rPr>
      </w:pPr>
      <w:r w:rsidRPr="00CC47EE">
        <w:rPr>
          <w:rFonts w:ascii="Verdana" w:eastAsia="Verdana" w:hAnsi="Verdana"/>
          <w:color w:val="6177A8"/>
          <w:sz w:val="18"/>
          <w:lang w:val="en-US" w:eastAsia="en-US"/>
        </w:rPr>
        <w:lastRenderedPageBreak/>
        <w:t>*</w:t>
      </w:r>
    </w:p>
    <w:p w:rsidR="00CC47EE" w:rsidRPr="00CC47EE" w:rsidRDefault="00CC47EE" w:rsidP="00CC47EE">
      <w:pPr>
        <w:spacing w:before="281" w:line="258" w:lineRule="exact"/>
        <w:jc w:val="center"/>
        <w:textAlignment w:val="baseline"/>
        <w:rPr>
          <w:rFonts w:ascii="Verdana" w:eastAsia="Verdana" w:hAnsi="Verdana"/>
          <w:color w:val="000000"/>
          <w:spacing w:val="-12"/>
          <w:sz w:val="21"/>
          <w:lang w:val="en-US" w:eastAsia="en-US"/>
        </w:rPr>
      </w:pPr>
      <w:r w:rsidRPr="00CC47EE">
        <w:rPr>
          <w:rFonts w:ascii="Verdana" w:eastAsia="Verdana" w:hAnsi="Verdana"/>
          <w:color w:val="000000"/>
          <w:spacing w:val="-12"/>
          <w:sz w:val="21"/>
          <w:lang w:val="en-US" w:eastAsia="en-US"/>
        </w:rPr>
        <w:t>Form 3.1</w:t>
      </w:r>
    </w:p>
    <w:p w:rsidR="00CC47EE" w:rsidRPr="00CC47EE" w:rsidRDefault="00CC47EE" w:rsidP="00CC47EE">
      <w:pPr>
        <w:spacing w:before="177" w:after="110" w:line="273"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General notification referred to in Article 17</w:t>
      </w:r>
    </w:p>
    <w:tbl>
      <w:tblPr>
        <w:tblW w:w="0" w:type="auto"/>
        <w:tblInd w:w="279" w:type="dxa"/>
        <w:tblLayout w:type="fixed"/>
        <w:tblCellMar>
          <w:left w:w="0" w:type="dxa"/>
          <w:right w:w="0" w:type="dxa"/>
        </w:tblCellMar>
        <w:tblLook w:val="04A0" w:firstRow="1" w:lastRow="0" w:firstColumn="1" w:lastColumn="0" w:noHBand="0" w:noVBand="1"/>
      </w:tblPr>
      <w:tblGrid>
        <w:gridCol w:w="1402"/>
        <w:gridCol w:w="1944"/>
        <w:gridCol w:w="3105"/>
        <w:gridCol w:w="2457"/>
      </w:tblGrid>
      <w:tr w:rsidR="00CC47EE" w:rsidRPr="00CC47EE" w:rsidTr="00451671">
        <w:trPr>
          <w:trHeight w:hRule="exact" w:val="1363"/>
        </w:trPr>
        <w:tc>
          <w:tcPr>
            <w:tcW w:w="1402"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926"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 of the </w:t>
            </w:r>
            <w:r w:rsidRPr="00CC47EE">
              <w:rPr>
                <w:rFonts w:ascii="Times New Roman" w:eastAsia="Times New Roman" w:hAnsi="Times New Roman"/>
                <w:b/>
                <w:color w:val="000000"/>
                <w:sz w:val="18"/>
                <w:lang w:val="en-US" w:eastAsia="en-US"/>
              </w:rPr>
              <w:br/>
              <w:t>trading venue</w:t>
            </w:r>
          </w:p>
        </w:tc>
        <w:tc>
          <w:tcPr>
            <w:tcW w:w="1944"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926"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Relevant contact </w:t>
            </w:r>
            <w:r w:rsidRPr="00CC47EE">
              <w:rPr>
                <w:rFonts w:ascii="Times New Roman" w:eastAsia="Times New Roman" w:hAnsi="Times New Roman"/>
                <w:b/>
                <w:color w:val="000000"/>
                <w:sz w:val="18"/>
                <w:lang w:val="en-US" w:eastAsia="en-US"/>
              </w:rPr>
              <w:br/>
              <w:t>details</w:t>
            </w:r>
          </w:p>
        </w:tc>
        <w:tc>
          <w:tcPr>
            <w:tcW w:w="3105"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719"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Name(s) and jurisdiction(s) of </w:t>
            </w:r>
            <w:r w:rsidRPr="00CC47EE">
              <w:rPr>
                <w:rFonts w:ascii="Times New Roman" w:eastAsia="Times New Roman" w:hAnsi="Times New Roman"/>
                <w:b/>
                <w:color w:val="000000"/>
                <w:sz w:val="18"/>
                <w:lang w:val="en-US" w:eastAsia="en-US"/>
              </w:rPr>
              <w:br/>
              <w:t xml:space="preserve">trading venues in the same group </w:t>
            </w:r>
            <w:r w:rsidRPr="00CC47EE">
              <w:rPr>
                <w:rFonts w:ascii="Times New Roman" w:eastAsia="Times New Roman" w:hAnsi="Times New Roman"/>
                <w:b/>
                <w:color w:val="000000"/>
                <w:sz w:val="18"/>
                <w:lang w:val="en-US" w:eastAsia="en-US"/>
              </w:rPr>
              <w:br/>
              <w:t>based in the Union</w:t>
            </w:r>
          </w:p>
        </w:tc>
        <w:tc>
          <w:tcPr>
            <w:tcW w:w="2457"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Name(s) and jurisdiction(s) </w:t>
            </w:r>
            <w:r w:rsidRPr="00CC47EE">
              <w:rPr>
                <w:rFonts w:ascii="Times New Roman" w:eastAsia="Times New Roman" w:hAnsi="Times New Roman"/>
                <w:b/>
                <w:color w:val="000000"/>
                <w:sz w:val="18"/>
                <w:lang w:val="en-US" w:eastAsia="en-US"/>
              </w:rPr>
              <w:br/>
              <w:t>of CCP(s) connected by close</w:t>
            </w:r>
          </w:p>
          <w:p w:rsidR="00CC47EE" w:rsidRPr="00CC47EE" w:rsidRDefault="00CC47EE" w:rsidP="00CC47EE">
            <w:pPr>
              <w:spacing w:after="722" w:line="204"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links</w:t>
            </w:r>
          </w:p>
        </w:tc>
      </w:tr>
      <w:tr w:rsidR="00CC47EE" w:rsidRPr="00CC47EE" w:rsidTr="00451671">
        <w:trPr>
          <w:trHeight w:hRule="exact" w:val="1161"/>
        </w:trPr>
        <w:tc>
          <w:tcPr>
            <w:tcW w:w="1402"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1944"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3105"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37"/>
              </w:numPr>
              <w:spacing w:line="206" w:lineRule="exact"/>
              <w:ind w:right="2772"/>
              <w:jc w:val="right"/>
              <w:textAlignment w:val="baseline"/>
              <w:rPr>
                <w:rFonts w:ascii="Times New Roman" w:eastAsia="Times New Roman" w:hAnsi="Times New Roman"/>
                <w:b/>
                <w:color w:val="000000"/>
                <w:sz w:val="18"/>
                <w:lang w:val="en-US" w:eastAsia="en-US"/>
              </w:rPr>
            </w:pPr>
          </w:p>
          <w:p w:rsidR="00CC47EE" w:rsidRPr="00CC47EE" w:rsidRDefault="00CC47EE" w:rsidP="00CC47EE">
            <w:pPr>
              <w:numPr>
                <w:ilvl w:val="0"/>
                <w:numId w:val="37"/>
              </w:numPr>
              <w:spacing w:before="26" w:line="207" w:lineRule="exact"/>
              <w:ind w:right="2772"/>
              <w:jc w:val="righ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7"/>
              </w:numPr>
              <w:spacing w:before="33" w:line="207" w:lineRule="exact"/>
              <w:ind w:right="2772"/>
              <w:jc w:val="righ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38"/>
              </w:numPr>
              <w:spacing w:before="55" w:after="179" w:line="228" w:lineRule="exact"/>
              <w:ind w:right="2772"/>
              <w:jc w:val="righ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w:t>
            </w:r>
          </w:p>
        </w:tc>
        <w:tc>
          <w:tcPr>
            <w:tcW w:w="2457"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39"/>
              </w:numPr>
              <w:tabs>
                <w:tab w:val="left" w:pos="288"/>
              </w:tabs>
              <w:spacing w:line="206" w:lineRule="exact"/>
              <w:ind w:left="72"/>
              <w:jc w:val="left"/>
              <w:textAlignment w:val="baseline"/>
              <w:rPr>
                <w:rFonts w:ascii="Times New Roman" w:eastAsia="Times New Roman" w:hAnsi="Times New Roman"/>
                <w:b/>
                <w:color w:val="000000"/>
                <w:sz w:val="18"/>
                <w:lang w:val="en-US" w:eastAsia="en-US"/>
              </w:rPr>
            </w:pPr>
          </w:p>
          <w:p w:rsidR="00CC47EE" w:rsidRPr="00CC47EE" w:rsidRDefault="00CC47EE" w:rsidP="00CC47EE">
            <w:pPr>
              <w:numPr>
                <w:ilvl w:val="0"/>
                <w:numId w:val="39"/>
              </w:numPr>
              <w:tabs>
                <w:tab w:val="left" w:pos="288"/>
              </w:tabs>
              <w:spacing w:after="231" w:line="234" w:lineRule="exact"/>
              <w:ind w:left="72" w:right="2196"/>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3 ...</w:t>
            </w:r>
          </w:p>
        </w:tc>
      </w:tr>
    </w:tbl>
    <w:p w:rsidR="00CC47EE" w:rsidRPr="00CC47EE" w:rsidRDefault="00CC47EE" w:rsidP="00CC47EE">
      <w:pPr>
        <w:spacing w:after="1257" w:line="20" w:lineRule="exact"/>
        <w:jc w:val="left"/>
        <w:rPr>
          <w:rFonts w:ascii="Times New Roman" w:eastAsia="PMingLiU" w:hAnsi="Times New Roman"/>
          <w:lang w:val="en-US" w:eastAsia="en-US"/>
        </w:rPr>
      </w:pPr>
    </w:p>
    <w:p w:rsidR="00CC47EE" w:rsidRPr="00CC47EE" w:rsidRDefault="00CC47EE" w:rsidP="00CC47EE">
      <w:pPr>
        <w:spacing w:line="255" w:lineRule="exact"/>
        <w:jc w:val="center"/>
        <w:textAlignment w:val="baseline"/>
        <w:rPr>
          <w:rFonts w:ascii="Verdana" w:eastAsia="Verdana" w:hAnsi="Verdana"/>
          <w:color w:val="000000"/>
          <w:spacing w:val="-10"/>
          <w:sz w:val="21"/>
          <w:lang w:val="en-US" w:eastAsia="en-US"/>
        </w:rPr>
      </w:pPr>
      <w:r w:rsidRPr="00CC47EE">
        <w:rPr>
          <w:rFonts w:ascii="Verdana" w:eastAsia="Verdana" w:hAnsi="Verdana"/>
          <w:color w:val="000000"/>
          <w:spacing w:val="-10"/>
          <w:sz w:val="21"/>
          <w:lang w:val="en-US" w:eastAsia="en-US"/>
        </w:rPr>
        <w:t>Form 3.2</w:t>
      </w:r>
    </w:p>
    <w:p w:rsidR="00CC47EE" w:rsidRPr="00CC47EE" w:rsidRDefault="00CC47EE" w:rsidP="00CC47EE">
      <w:pPr>
        <w:spacing w:before="180" w:after="117" w:line="273"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Notification of notional amount referred to in Article 17</w:t>
      </w:r>
    </w:p>
    <w:tbl>
      <w:tblPr>
        <w:tblW w:w="0" w:type="auto"/>
        <w:tblInd w:w="264" w:type="dxa"/>
        <w:tblLayout w:type="fixed"/>
        <w:tblCellMar>
          <w:left w:w="0" w:type="dxa"/>
          <w:right w:w="0" w:type="dxa"/>
        </w:tblCellMar>
        <w:tblLook w:val="04A0" w:firstRow="1" w:lastRow="0" w:firstColumn="1" w:lastColumn="0" w:noHBand="0" w:noVBand="1"/>
      </w:tblPr>
      <w:tblGrid>
        <w:gridCol w:w="3998"/>
        <w:gridCol w:w="4940"/>
      </w:tblGrid>
      <w:tr w:rsidR="00CC47EE" w:rsidRPr="00CC47EE" w:rsidTr="00451671">
        <w:trPr>
          <w:trHeight w:hRule="exact" w:val="389"/>
        </w:trPr>
        <w:tc>
          <w:tcPr>
            <w:tcW w:w="3998"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spacing w:after="164" w:line="206" w:lineRule="exact"/>
              <w:ind w:left="115"/>
              <w:jc w:val="left"/>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Trading Venue:</w:t>
            </w:r>
          </w:p>
        </w:tc>
        <w:tc>
          <w:tcPr>
            <w:tcW w:w="4940"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spacing w:after="164" w:line="206" w:lineRule="exact"/>
              <w:ind w:right="2352"/>
              <w:jc w:val="right"/>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Traded notional amount in 2016</w:t>
            </w:r>
          </w:p>
        </w:tc>
      </w:tr>
      <w:tr w:rsidR="00CC47EE" w:rsidRPr="00CC47EE" w:rsidTr="00451671">
        <w:trPr>
          <w:trHeight w:hRule="exact" w:val="369"/>
        </w:trPr>
        <w:tc>
          <w:tcPr>
            <w:tcW w:w="3998"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spacing w:after="140" w:line="207" w:lineRule="exact"/>
              <w:ind w:left="115"/>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Asset class X:</w:t>
            </w:r>
          </w:p>
        </w:tc>
        <w:tc>
          <w:tcPr>
            <w:tcW w:w="4940"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r>
      <w:tr w:rsidR="00CC47EE" w:rsidRPr="00CC47EE" w:rsidTr="00451671">
        <w:trPr>
          <w:trHeight w:hRule="exact" w:val="384"/>
        </w:trPr>
        <w:tc>
          <w:tcPr>
            <w:tcW w:w="3998"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spacing w:after="159" w:line="207" w:lineRule="exact"/>
              <w:ind w:left="115"/>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Asset class Y:</w:t>
            </w:r>
          </w:p>
        </w:tc>
        <w:tc>
          <w:tcPr>
            <w:tcW w:w="4940"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r>
      <w:tr w:rsidR="00CC47EE" w:rsidRPr="00CC47EE" w:rsidTr="00451671">
        <w:trPr>
          <w:trHeight w:hRule="exact" w:val="764"/>
        </w:trPr>
        <w:tc>
          <w:tcPr>
            <w:tcW w:w="3998"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spacing w:after="164" w:line="297" w:lineRule="exact"/>
              <w:ind w:left="108" w:right="2916"/>
              <w:jc w:val="left"/>
              <w:textAlignment w:val="baseline"/>
              <w:rPr>
                <w:rFonts w:ascii="Times New Roman" w:eastAsia="Times New Roman" w:hAnsi="Times New Roman"/>
                <w:color w:val="000000"/>
                <w:spacing w:val="-13"/>
                <w:sz w:val="18"/>
                <w:lang w:val="en-US" w:eastAsia="en-US"/>
              </w:rPr>
            </w:pPr>
            <w:r w:rsidRPr="00CC47EE">
              <w:rPr>
                <w:rFonts w:ascii="Times New Roman" w:eastAsia="Times New Roman" w:hAnsi="Times New Roman"/>
                <w:color w:val="000000"/>
                <w:spacing w:val="-13"/>
                <w:sz w:val="18"/>
                <w:lang w:val="en-US" w:eastAsia="en-US"/>
              </w:rPr>
              <w:t>Asset class Z: •••</w:t>
            </w:r>
          </w:p>
        </w:tc>
        <w:tc>
          <w:tcPr>
            <w:tcW w:w="4940" w:type="dxa"/>
            <w:tcBorders>
              <w:top w:val="single" w:sz="4" w:space="0" w:color="000000"/>
              <w:left w:val="single" w:sz="4" w:space="0" w:color="000000"/>
              <w:bottom w:val="single" w:sz="4" w:space="0" w:color="000000"/>
              <w:right w:val="single" w:sz="4"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r>
    </w:tbl>
    <w:p w:rsidR="00CC47EE" w:rsidRPr="00CC47EE" w:rsidRDefault="00CC47EE" w:rsidP="00CC47EE">
      <w:pPr>
        <w:jc w:val="left"/>
        <w:rPr>
          <w:rFonts w:ascii="Times New Roman" w:eastAsia="PMingLiU" w:hAnsi="Times New Roman"/>
          <w:lang w:val="en-US" w:eastAsia="en-US"/>
        </w:rPr>
        <w:sectPr w:rsidR="00CC47EE" w:rsidRPr="00CC47EE">
          <w:pgSz w:w="11909" w:h="16838"/>
          <w:pgMar w:top="540" w:right="1290" w:bottom="997" w:left="1219" w:header="720" w:footer="720" w:gutter="0"/>
          <w:cols w:space="720"/>
        </w:sectPr>
      </w:pPr>
    </w:p>
    <w:p w:rsidR="00CC47EE" w:rsidRPr="00CC47EE" w:rsidRDefault="00CC47EE" w:rsidP="00780D75">
      <w:pPr>
        <w:spacing w:before="14" w:line="255" w:lineRule="exact"/>
        <w:ind w:left="360"/>
        <w:jc w:val="left"/>
        <w:textAlignment w:val="baseline"/>
        <w:rPr>
          <w:rFonts w:ascii="Bookman Old Style" w:eastAsia="Bookman Old Style" w:hAnsi="Bookman Old Style"/>
          <w:color w:val="6177A8"/>
          <w:sz w:val="14"/>
          <w:lang w:val="en-US" w:eastAsia="en-US"/>
        </w:rPr>
      </w:pPr>
      <w:r>
        <w:rPr>
          <w:rFonts w:ascii="Times New Roman" w:eastAsia="PMingLiU" w:hAnsi="Times New Roman"/>
          <w:noProof/>
        </w:rPr>
        <w:lastRenderedPageBreak/>
        <mc:AlternateContent>
          <mc:Choice Requires="wps">
            <w:drawing>
              <wp:anchor distT="0" distB="0" distL="0" distR="0" simplePos="0" relativeHeight="25173606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left:0;text-align:left;margin-left:67.55pt;margin-top:774.1pt;width:39.9pt;height:27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HFsA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Wtru9J1Owem+AzczwDaw7CrV3Z0sv2sk5LohYkdvlJJ9Q0kF2YX2pv/s6oij&#10;Lci2/yQrCEP2RjqgoVatbR00AwE6sPR4YsamUsLmLJgvLuGkhKPLOEoC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7088" behindDoc="0" locked="0" layoutInCell="1" allowOverlap="1">
                <wp:simplePos x="0" y="0"/>
                <wp:positionH relativeFrom="page">
                  <wp:posOffset>3609975</wp:posOffset>
                </wp:positionH>
                <wp:positionV relativeFrom="page">
                  <wp:posOffset>9968230</wp:posOffset>
                </wp:positionV>
                <wp:extent cx="342265" cy="175260"/>
                <wp:effectExtent l="0" t="0" r="635" b="6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before="3" w:line="268" w:lineRule="exact"/>
                              <w:textAlignment w:val="baseline"/>
                              <w:rPr>
                                <w:rFonts w:eastAsia="Times New Roman"/>
                                <w:color w:val="000000"/>
                                <w:spacing w:val="16"/>
                                <w:sz w:val="24"/>
                              </w:rPr>
                            </w:pPr>
                            <w:r>
                              <w:rPr>
                                <w:rFonts w:eastAsia="Times New Roman"/>
                                <w:color w:val="000000"/>
                                <w:spacing w:val="16"/>
                                <w:sz w:val="24"/>
                              </w:rPr>
                              <w:t>358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left:0;text-align:left;margin-left:284.25pt;margin-top:784.9pt;width:26.95pt;height:13.8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KBswIAALA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" filled="f" stroked="f">
                <v:textbox inset="0,0,0,0">
                  <w:txbxContent>
                    <w:p w:rsidR="00CC47EE" w:rsidRDefault="00CC47EE" w:rsidP="00CC47EE">
                      <w:pPr>
                        <w:spacing w:before="3" w:line="268" w:lineRule="exact"/>
                        <w:textAlignment w:val="baseline"/>
                        <w:rPr>
                          <w:rFonts w:eastAsia="Times New Roman"/>
                          <w:color w:val="000000"/>
                          <w:spacing w:val="16"/>
                          <w:sz w:val="24"/>
                        </w:rPr>
                      </w:pPr>
                      <w:r>
                        <w:rPr>
                          <w:rFonts w:eastAsia="Times New Roman"/>
                          <w:color w:val="000000"/>
                          <w:spacing w:val="16"/>
                          <w:sz w:val="24"/>
                        </w:rPr>
                        <w:t>358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811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EE" w:rsidRDefault="00CC47EE" w:rsidP="00CC47EE">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left:0;text-align:left;margin-left:487.75pt;margin-top:774.1pt;width:39.9pt;height:27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f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wv7sn7ICAACw&#10;BQAADgAAAAAAAAAAAAAAAAAuAgAAZHJzL2Uyb0RvYy54bWxQSwECLQAUAAYACAAAACEA028a8eIA&#10;AAAOAQAADwAAAAAAAAAAAAAAAAAMBQAAZHJzL2Rvd25yZXYueG1sUEsFBgAAAAAEAAQA8wAAABsG&#10;AAAAAA==&#10;" filled="f" stroked="f">
                <v:textbox inset="0,0,0,0">
                  <w:txbxContent>
                    <w:p w:rsidR="00CC47EE" w:rsidRDefault="00CC47EE" w:rsidP="00CC47EE">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CC47EE" w:rsidRPr="00CC47EE" w:rsidRDefault="00CC47EE" w:rsidP="00CC47EE">
      <w:pPr>
        <w:spacing w:before="284" w:line="273" w:lineRule="exact"/>
        <w:jc w:val="center"/>
        <w:textAlignment w:val="baseline"/>
        <w:rPr>
          <w:rFonts w:ascii="Times New Roman" w:eastAsia="Times New Roman" w:hAnsi="Times New Roman"/>
          <w:color w:val="000000"/>
          <w:spacing w:val="-3"/>
          <w:sz w:val="24"/>
          <w:lang w:val="en-US" w:eastAsia="en-US"/>
        </w:rPr>
      </w:pPr>
      <w:r w:rsidRPr="00CC47EE">
        <w:rPr>
          <w:rFonts w:ascii="Times New Roman" w:eastAsia="Times New Roman" w:hAnsi="Times New Roman"/>
          <w:color w:val="000000"/>
          <w:spacing w:val="-3"/>
          <w:sz w:val="24"/>
          <w:lang w:val="en-US" w:eastAsia="en-US"/>
        </w:rPr>
        <w:t>Form 4.1</w:t>
      </w:r>
    </w:p>
    <w:p w:rsidR="00CC47EE" w:rsidRPr="00CC47EE" w:rsidRDefault="00CC47EE" w:rsidP="00CC47EE">
      <w:pPr>
        <w:spacing w:before="159" w:after="110" w:line="273"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General notification referred to in Article 18</w:t>
      </w:r>
    </w:p>
    <w:tbl>
      <w:tblPr>
        <w:tblW w:w="0" w:type="auto"/>
        <w:tblInd w:w="68" w:type="dxa"/>
        <w:tblLayout w:type="fixed"/>
        <w:tblCellMar>
          <w:left w:w="0" w:type="dxa"/>
          <w:right w:w="0" w:type="dxa"/>
        </w:tblCellMar>
        <w:tblLook w:val="04A0" w:firstRow="1" w:lastRow="0" w:firstColumn="1" w:lastColumn="0" w:noHBand="0" w:noVBand="1"/>
      </w:tblPr>
      <w:tblGrid>
        <w:gridCol w:w="1613"/>
        <w:gridCol w:w="2112"/>
        <w:gridCol w:w="2889"/>
        <w:gridCol w:w="2650"/>
      </w:tblGrid>
      <w:tr w:rsidR="00CC47EE" w:rsidRPr="00CC47EE" w:rsidTr="00451671">
        <w:trPr>
          <w:trHeight w:hRule="exact" w:val="1205"/>
        </w:trPr>
        <w:tc>
          <w:tcPr>
            <w:tcW w:w="1613"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765"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 of the </w:t>
            </w:r>
            <w:r w:rsidRPr="00CC47EE">
              <w:rPr>
                <w:rFonts w:ascii="Times New Roman" w:eastAsia="Times New Roman" w:hAnsi="Times New Roman"/>
                <w:b/>
                <w:color w:val="000000"/>
                <w:sz w:val="18"/>
                <w:lang w:val="en-US" w:eastAsia="en-US"/>
              </w:rPr>
              <w:br/>
              <w:t>trading venue</w:t>
            </w:r>
          </w:p>
        </w:tc>
        <w:tc>
          <w:tcPr>
            <w:tcW w:w="2112"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971"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Relevant contact details</w:t>
            </w:r>
          </w:p>
        </w:tc>
        <w:tc>
          <w:tcPr>
            <w:tcW w:w="2889"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560" w:line="205"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Name(s) and jurisdiction(s) of </w:t>
            </w:r>
            <w:r w:rsidRPr="00CC47EE">
              <w:rPr>
                <w:rFonts w:ascii="Times New Roman" w:eastAsia="Times New Roman" w:hAnsi="Times New Roman"/>
                <w:b/>
                <w:color w:val="000000"/>
                <w:sz w:val="18"/>
                <w:lang w:val="en-US" w:eastAsia="en-US"/>
              </w:rPr>
              <w:br/>
              <w:t xml:space="preserve">trading venues in the same group </w:t>
            </w:r>
            <w:r w:rsidRPr="00CC47EE">
              <w:rPr>
                <w:rFonts w:ascii="Times New Roman" w:eastAsia="Times New Roman" w:hAnsi="Times New Roman"/>
                <w:b/>
                <w:color w:val="000000"/>
                <w:sz w:val="18"/>
                <w:lang w:val="en-US" w:eastAsia="en-US"/>
              </w:rPr>
              <w:br/>
              <w:t>based in the Union</w:t>
            </w:r>
          </w:p>
        </w:tc>
        <w:tc>
          <w:tcPr>
            <w:tcW w:w="265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line="205"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Name(s) and jurisdiction(s) of </w:t>
            </w:r>
            <w:r w:rsidRPr="00CC47EE">
              <w:rPr>
                <w:rFonts w:ascii="Times New Roman" w:eastAsia="Times New Roman" w:hAnsi="Times New Roman"/>
                <w:b/>
                <w:color w:val="000000"/>
                <w:sz w:val="18"/>
                <w:lang w:val="en-US" w:eastAsia="en-US"/>
              </w:rPr>
              <w:br/>
              <w:t>CCP(s) connected by close</w:t>
            </w:r>
          </w:p>
          <w:p w:rsidR="00CC47EE" w:rsidRPr="00CC47EE" w:rsidRDefault="00CC47EE" w:rsidP="00CC47EE">
            <w:pPr>
              <w:spacing w:after="561" w:line="205" w:lineRule="exact"/>
              <w:ind w:right="1058"/>
              <w:jc w:val="right"/>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links</w:t>
            </w:r>
          </w:p>
        </w:tc>
      </w:tr>
      <w:tr w:rsidR="00CC47EE" w:rsidRPr="00CC47EE" w:rsidTr="00451671">
        <w:trPr>
          <w:trHeight w:hRule="exact" w:val="1252"/>
        </w:trPr>
        <w:tc>
          <w:tcPr>
            <w:tcW w:w="1613"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2112"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2889"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40"/>
              </w:numPr>
              <w:tabs>
                <w:tab w:val="left" w:pos="288"/>
              </w:tabs>
              <w:spacing w:line="206" w:lineRule="exact"/>
              <w:ind w:left="72"/>
              <w:jc w:val="left"/>
              <w:textAlignment w:val="baseline"/>
              <w:rPr>
                <w:rFonts w:ascii="Times New Roman" w:eastAsia="Times New Roman" w:hAnsi="Times New Roman"/>
                <w:b/>
                <w:color w:val="000000"/>
                <w:sz w:val="18"/>
                <w:lang w:val="en-US" w:eastAsia="en-US"/>
              </w:rPr>
            </w:pPr>
          </w:p>
          <w:p w:rsidR="00CC47EE" w:rsidRPr="00CC47EE" w:rsidRDefault="00CC47EE" w:rsidP="00CC47EE">
            <w:pPr>
              <w:numPr>
                <w:ilvl w:val="0"/>
                <w:numId w:val="40"/>
              </w:numPr>
              <w:tabs>
                <w:tab w:val="left" w:pos="288"/>
              </w:tabs>
              <w:spacing w:before="29" w:line="207"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40"/>
              </w:numPr>
              <w:tabs>
                <w:tab w:val="left" w:pos="288"/>
              </w:tabs>
              <w:spacing w:before="5" w:after="323" w:line="230" w:lineRule="exact"/>
              <w:ind w:left="72" w:right="2628"/>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w:t>
            </w:r>
          </w:p>
        </w:tc>
        <w:tc>
          <w:tcPr>
            <w:tcW w:w="265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numPr>
                <w:ilvl w:val="0"/>
                <w:numId w:val="41"/>
              </w:numPr>
              <w:tabs>
                <w:tab w:val="left" w:pos="288"/>
              </w:tabs>
              <w:spacing w:line="206" w:lineRule="exact"/>
              <w:ind w:left="72"/>
              <w:jc w:val="left"/>
              <w:textAlignment w:val="baseline"/>
              <w:rPr>
                <w:rFonts w:ascii="Times New Roman" w:eastAsia="Times New Roman" w:hAnsi="Times New Roman"/>
                <w:b/>
                <w:color w:val="000000"/>
                <w:sz w:val="18"/>
                <w:lang w:val="en-US" w:eastAsia="en-US"/>
              </w:rPr>
            </w:pPr>
          </w:p>
          <w:p w:rsidR="00CC47EE" w:rsidRPr="00CC47EE" w:rsidRDefault="00CC47EE" w:rsidP="00CC47EE">
            <w:pPr>
              <w:numPr>
                <w:ilvl w:val="0"/>
                <w:numId w:val="41"/>
              </w:numPr>
              <w:tabs>
                <w:tab w:val="left" w:pos="288"/>
              </w:tabs>
              <w:spacing w:before="29" w:line="207" w:lineRule="exact"/>
              <w:ind w:left="72"/>
              <w:jc w:val="left"/>
              <w:textAlignment w:val="baseline"/>
              <w:rPr>
                <w:rFonts w:ascii="Times New Roman" w:eastAsia="Times New Roman" w:hAnsi="Times New Roman"/>
                <w:color w:val="000000"/>
                <w:sz w:val="18"/>
                <w:lang w:val="en-US" w:eastAsia="en-US"/>
              </w:rPr>
            </w:pPr>
          </w:p>
          <w:p w:rsidR="00CC47EE" w:rsidRPr="00CC47EE" w:rsidRDefault="00CC47EE" w:rsidP="00CC47EE">
            <w:pPr>
              <w:numPr>
                <w:ilvl w:val="0"/>
                <w:numId w:val="41"/>
              </w:numPr>
              <w:tabs>
                <w:tab w:val="left" w:pos="288"/>
              </w:tabs>
              <w:spacing w:before="5" w:after="323" w:line="230" w:lineRule="exact"/>
              <w:ind w:left="72" w:right="2376"/>
              <w:jc w:val="lef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 xml:space="preserve"> ...</w:t>
            </w:r>
          </w:p>
        </w:tc>
      </w:tr>
    </w:tbl>
    <w:p w:rsidR="00CC47EE" w:rsidRPr="00CC47EE" w:rsidRDefault="00CC47EE" w:rsidP="00CC47EE">
      <w:pPr>
        <w:spacing w:after="1216" w:line="20" w:lineRule="exact"/>
        <w:jc w:val="left"/>
        <w:rPr>
          <w:rFonts w:ascii="Times New Roman" w:eastAsia="PMingLiU" w:hAnsi="Times New Roman"/>
          <w:lang w:val="en-US" w:eastAsia="en-US"/>
        </w:rPr>
      </w:pPr>
    </w:p>
    <w:p w:rsidR="00CC47EE" w:rsidRPr="00CC47EE" w:rsidRDefault="00CC47EE" w:rsidP="00CC47EE">
      <w:pPr>
        <w:spacing w:before="3" w:line="273" w:lineRule="exact"/>
        <w:jc w:val="center"/>
        <w:textAlignment w:val="baseline"/>
        <w:rPr>
          <w:rFonts w:ascii="Times New Roman" w:eastAsia="Times New Roman" w:hAnsi="Times New Roman"/>
          <w:color w:val="000000"/>
          <w:spacing w:val="-1"/>
          <w:sz w:val="24"/>
          <w:lang w:val="en-US" w:eastAsia="en-US"/>
        </w:rPr>
      </w:pPr>
      <w:r w:rsidRPr="00CC47EE">
        <w:rPr>
          <w:rFonts w:ascii="Times New Roman" w:eastAsia="Times New Roman" w:hAnsi="Times New Roman"/>
          <w:color w:val="000000"/>
          <w:spacing w:val="-1"/>
          <w:sz w:val="24"/>
          <w:lang w:val="en-US" w:eastAsia="en-US"/>
        </w:rPr>
        <w:t>Form 4.2</w:t>
      </w:r>
    </w:p>
    <w:p w:rsidR="00CC47EE" w:rsidRPr="00CC47EE" w:rsidRDefault="00CC47EE" w:rsidP="00CC47EE">
      <w:pPr>
        <w:spacing w:before="157" w:after="117" w:line="273" w:lineRule="exact"/>
        <w:jc w:val="center"/>
        <w:textAlignment w:val="baseline"/>
        <w:rPr>
          <w:rFonts w:ascii="Times New Roman" w:eastAsia="Times New Roman" w:hAnsi="Times New Roman"/>
          <w:b/>
          <w:color w:val="000000"/>
          <w:sz w:val="24"/>
          <w:lang w:val="en-US" w:eastAsia="en-US"/>
        </w:rPr>
      </w:pPr>
      <w:r w:rsidRPr="00CC47EE">
        <w:rPr>
          <w:rFonts w:ascii="Times New Roman" w:eastAsia="Times New Roman" w:hAnsi="Times New Roman"/>
          <w:b/>
          <w:color w:val="000000"/>
          <w:sz w:val="24"/>
          <w:lang w:val="en-US" w:eastAsia="en-US"/>
        </w:rPr>
        <w:t>Notification of notional amount referred to in Article 18</w:t>
      </w:r>
    </w:p>
    <w:tbl>
      <w:tblPr>
        <w:tblW w:w="0" w:type="auto"/>
        <w:tblInd w:w="1561" w:type="dxa"/>
        <w:tblLayout w:type="fixed"/>
        <w:tblCellMar>
          <w:left w:w="0" w:type="dxa"/>
          <w:right w:w="0" w:type="dxa"/>
        </w:tblCellMar>
        <w:tblLook w:val="04A0" w:firstRow="1" w:lastRow="0" w:firstColumn="1" w:lastColumn="0" w:noHBand="0" w:noVBand="1"/>
      </w:tblPr>
      <w:tblGrid>
        <w:gridCol w:w="1555"/>
        <w:gridCol w:w="2290"/>
        <w:gridCol w:w="2428"/>
      </w:tblGrid>
      <w:tr w:rsidR="00CC47EE" w:rsidRPr="00CC47EE" w:rsidTr="00451671">
        <w:trPr>
          <w:trHeight w:hRule="exact" w:val="1051"/>
        </w:trPr>
        <w:tc>
          <w:tcPr>
            <w:tcW w:w="1555"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596" w:line="207"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Name of the </w:t>
            </w:r>
            <w:r w:rsidRPr="00CC47EE">
              <w:rPr>
                <w:rFonts w:ascii="Times New Roman" w:eastAsia="Times New Roman" w:hAnsi="Times New Roman"/>
                <w:b/>
                <w:color w:val="000000"/>
                <w:sz w:val="18"/>
                <w:lang w:val="en-US" w:eastAsia="en-US"/>
              </w:rPr>
              <w:br/>
              <w:t>trading venue:</w:t>
            </w:r>
          </w:p>
        </w:tc>
        <w:tc>
          <w:tcPr>
            <w:tcW w:w="229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line="205"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 xml:space="preserve">Notional amount for </w:t>
            </w:r>
            <w:r w:rsidRPr="00CC47EE">
              <w:rPr>
                <w:rFonts w:ascii="Times New Roman" w:eastAsia="Times New Roman" w:hAnsi="Times New Roman"/>
                <w:b/>
                <w:color w:val="000000"/>
                <w:sz w:val="18"/>
                <w:lang w:val="en-US" w:eastAsia="en-US"/>
              </w:rPr>
              <w:br/>
              <w:t>rolling year</w:t>
            </w:r>
          </w:p>
          <w:p w:rsidR="00CC47EE" w:rsidRPr="00CC47EE" w:rsidRDefault="00CC47EE" w:rsidP="00CC47EE">
            <w:pPr>
              <w:spacing w:before="182" w:after="212"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w:t>
            </w:r>
          </w:p>
        </w:tc>
        <w:tc>
          <w:tcPr>
            <w:tcW w:w="2428"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Notional amount for rolling</w:t>
            </w:r>
          </w:p>
          <w:p w:rsidR="00CC47EE" w:rsidRPr="00CC47EE" w:rsidRDefault="00CC47EE" w:rsidP="00CC47EE">
            <w:pPr>
              <w:spacing w:before="2"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year</w:t>
            </w:r>
          </w:p>
          <w:p w:rsidR="00CC47EE" w:rsidRPr="00CC47EE" w:rsidRDefault="00CC47EE" w:rsidP="00CC47EE">
            <w:pPr>
              <w:spacing w:before="122" w:after="270" w:line="206" w:lineRule="exact"/>
              <w:jc w:val="center"/>
              <w:textAlignment w:val="baseline"/>
              <w:rPr>
                <w:rFonts w:ascii="Times New Roman" w:eastAsia="Times New Roman" w:hAnsi="Times New Roman"/>
                <w:b/>
                <w:color w:val="000000"/>
                <w:sz w:val="18"/>
                <w:lang w:val="en-US" w:eastAsia="en-US"/>
              </w:rPr>
            </w:pPr>
            <w:r w:rsidRPr="00CC47EE">
              <w:rPr>
                <w:rFonts w:ascii="Times New Roman" w:eastAsia="Times New Roman" w:hAnsi="Times New Roman"/>
                <w:b/>
                <w:color w:val="000000"/>
                <w:sz w:val="18"/>
                <w:lang w:val="en-US" w:eastAsia="en-US"/>
              </w:rPr>
              <w:t>...</w:t>
            </w:r>
          </w:p>
        </w:tc>
      </w:tr>
      <w:tr w:rsidR="00CC47EE" w:rsidRPr="00CC47EE" w:rsidTr="00451671">
        <w:trPr>
          <w:trHeight w:hRule="exact" w:val="384"/>
        </w:trPr>
        <w:tc>
          <w:tcPr>
            <w:tcW w:w="1555"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154" w:line="207" w:lineRule="exact"/>
              <w:ind w:right="406"/>
              <w:jc w:val="righ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Asset class X:</w:t>
            </w:r>
          </w:p>
        </w:tc>
        <w:tc>
          <w:tcPr>
            <w:tcW w:w="229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2428"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r>
      <w:tr w:rsidR="00CC47EE" w:rsidRPr="00CC47EE" w:rsidTr="00451671">
        <w:trPr>
          <w:trHeight w:hRule="exact" w:val="408"/>
        </w:trPr>
        <w:tc>
          <w:tcPr>
            <w:tcW w:w="1555"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168" w:line="207" w:lineRule="exact"/>
              <w:ind w:right="406"/>
              <w:jc w:val="righ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Asset class Y:</w:t>
            </w:r>
          </w:p>
        </w:tc>
        <w:tc>
          <w:tcPr>
            <w:tcW w:w="229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2428"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r>
      <w:tr w:rsidR="00CC47EE" w:rsidRPr="00CC47EE" w:rsidTr="00451671">
        <w:trPr>
          <w:trHeight w:hRule="exact" w:val="667"/>
        </w:trPr>
        <w:tc>
          <w:tcPr>
            <w:tcW w:w="1555"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spacing w:after="442" w:line="207" w:lineRule="exact"/>
              <w:ind w:right="406"/>
              <w:jc w:val="right"/>
              <w:textAlignment w:val="baseline"/>
              <w:rPr>
                <w:rFonts w:ascii="Times New Roman" w:eastAsia="Times New Roman" w:hAnsi="Times New Roman"/>
                <w:color w:val="000000"/>
                <w:sz w:val="18"/>
                <w:lang w:val="en-US" w:eastAsia="en-US"/>
              </w:rPr>
            </w:pPr>
            <w:r w:rsidRPr="00CC47EE">
              <w:rPr>
                <w:rFonts w:ascii="Times New Roman" w:eastAsia="Times New Roman" w:hAnsi="Times New Roman"/>
                <w:color w:val="000000"/>
                <w:sz w:val="18"/>
                <w:lang w:val="en-US" w:eastAsia="en-US"/>
              </w:rPr>
              <w:t>Asset class Z:</w:t>
            </w:r>
          </w:p>
        </w:tc>
        <w:tc>
          <w:tcPr>
            <w:tcW w:w="2290"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c>
          <w:tcPr>
            <w:tcW w:w="2428" w:type="dxa"/>
            <w:tcBorders>
              <w:top w:val="single" w:sz="5" w:space="0" w:color="000000"/>
              <w:left w:val="single" w:sz="5" w:space="0" w:color="000000"/>
              <w:bottom w:val="single" w:sz="5" w:space="0" w:color="000000"/>
              <w:right w:val="single" w:sz="5" w:space="0" w:color="000000"/>
            </w:tcBorders>
          </w:tcPr>
          <w:p w:rsidR="00CC47EE" w:rsidRPr="00CC47EE" w:rsidRDefault="00CC47EE" w:rsidP="00CC47EE">
            <w:pPr>
              <w:jc w:val="left"/>
              <w:textAlignment w:val="baseline"/>
              <w:rPr>
                <w:rFonts w:ascii="Times New Roman" w:eastAsia="Times New Roman" w:hAnsi="Times New Roman"/>
                <w:color w:val="000000"/>
                <w:sz w:val="24"/>
                <w:lang w:val="en-US" w:eastAsia="en-US"/>
              </w:rPr>
            </w:pPr>
          </w:p>
        </w:tc>
      </w:tr>
    </w:tbl>
    <w:p w:rsidR="00903624" w:rsidRPr="00732881" w:rsidRDefault="00903624" w:rsidP="00614675">
      <w:pPr>
        <w:pStyle w:val="ssPara1"/>
      </w:pPr>
    </w:p>
    <w:sectPr w:rsidR="00903624" w:rsidRPr="00732881" w:rsidSect="002145F3">
      <w:headerReference w:type="even" r:id="rId12"/>
      <w:headerReference w:type="default" r:id="rId13"/>
      <w:footerReference w:type="even" r:id="rId14"/>
      <w:footerReference w:type="default" r:id="rId15"/>
      <w:headerReference w:type="first" r:id="rId16"/>
      <w:footerReference w:type="first" r:id="rId17"/>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543" w:rsidRDefault="00494543" w:rsidP="002145F3">
      <w:r>
        <w:separator/>
      </w:r>
    </w:p>
  </w:endnote>
  <w:endnote w:type="continuationSeparator" w:id="0">
    <w:p w:rsidR="00494543" w:rsidRDefault="00494543"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9B" w:rsidRDefault="00117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6718F"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L_LIVE_EMEA1:29431596v1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6718F">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L_LIVE_EMEA1:29431596v1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543" w:rsidRDefault="00494543" w:rsidP="002145F3">
      <w:r>
        <w:separator/>
      </w:r>
    </w:p>
  </w:footnote>
  <w:footnote w:type="continuationSeparator" w:id="0">
    <w:p w:rsidR="00494543" w:rsidRDefault="00494543"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9B" w:rsidRDefault="00117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9B" w:rsidRDefault="00117C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9B" w:rsidRDefault="00117C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EB7"/>
    <w:multiLevelType w:val="multilevel"/>
    <w:tmpl w:val="26EEFDD2"/>
    <w:lvl w:ilvl="0">
      <w:start w:val="1"/>
      <w:numFmt w:val="bullet"/>
      <w:lvlText w:val="·"/>
      <w:lvlJc w:val="left"/>
      <w:pPr>
        <w:tabs>
          <w:tab w:val="left"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17977"/>
    <w:multiLevelType w:val="multilevel"/>
    <w:tmpl w:val="1F72CCEE"/>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60CF3"/>
    <w:multiLevelType w:val="multilevel"/>
    <w:tmpl w:val="0CF8E8A2"/>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E7DA9"/>
    <w:multiLevelType w:val="multilevel"/>
    <w:tmpl w:val="FDEA7C4E"/>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C2A26"/>
    <w:multiLevelType w:val="multilevel"/>
    <w:tmpl w:val="3DBE0A6E"/>
    <w:lvl w:ilvl="0">
      <w:start w:val="4"/>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595C48"/>
    <w:multiLevelType w:val="multilevel"/>
    <w:tmpl w:val="D9E6FA9C"/>
    <w:lvl w:ilvl="0">
      <w:start w:val="1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BE6AE0"/>
    <w:multiLevelType w:val="multilevel"/>
    <w:tmpl w:val="AFAA880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C7F5C39"/>
    <w:multiLevelType w:val="multilevel"/>
    <w:tmpl w:val="8A5203F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F0EE1"/>
    <w:multiLevelType w:val="multilevel"/>
    <w:tmpl w:val="23CC9C1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D60599"/>
    <w:multiLevelType w:val="multilevel"/>
    <w:tmpl w:val="C39A9BBA"/>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25DA8"/>
    <w:multiLevelType w:val="multilevel"/>
    <w:tmpl w:val="6838A15E"/>
    <w:lvl w:ilvl="0">
      <w:start w:val="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5F63F5"/>
    <w:multiLevelType w:val="multilevel"/>
    <w:tmpl w:val="CF94113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C77F9E"/>
    <w:multiLevelType w:val="multilevel"/>
    <w:tmpl w:val="58344194"/>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D5649B"/>
    <w:multiLevelType w:val="multilevel"/>
    <w:tmpl w:val="E7229E7C"/>
    <w:numStyleLink w:val="ExhibitNumbering"/>
  </w:abstractNum>
  <w:abstractNum w:abstractNumId="17">
    <w:nsid w:val="34281940"/>
    <w:multiLevelType w:val="multilevel"/>
    <w:tmpl w:val="71CADD9C"/>
    <w:numStyleLink w:val="AppendixNumbering"/>
  </w:abstractNum>
  <w:abstractNum w:abstractNumId="18">
    <w:nsid w:val="355E0BB2"/>
    <w:multiLevelType w:val="multilevel"/>
    <w:tmpl w:val="54D02D98"/>
    <w:numStyleLink w:val="PartNumbering"/>
  </w:abstractNum>
  <w:abstractNum w:abstractNumId="19">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E2F49BF"/>
    <w:multiLevelType w:val="multilevel"/>
    <w:tmpl w:val="DE66AAC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100A73"/>
    <w:multiLevelType w:val="multilevel"/>
    <w:tmpl w:val="1200E6B8"/>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081810"/>
    <w:multiLevelType w:val="multilevel"/>
    <w:tmpl w:val="A9CEBF9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C4359"/>
    <w:multiLevelType w:val="multilevel"/>
    <w:tmpl w:val="FEE05A3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D22FBB"/>
    <w:multiLevelType w:val="multilevel"/>
    <w:tmpl w:val="C4C2C85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00737D"/>
    <w:multiLevelType w:val="multilevel"/>
    <w:tmpl w:val="C8D6362C"/>
    <w:numStyleLink w:val="ListHeadings"/>
  </w:abstractNum>
  <w:abstractNum w:abstractNumId="27">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6FF655C"/>
    <w:multiLevelType w:val="multilevel"/>
    <w:tmpl w:val="944233FE"/>
    <w:lvl w:ilvl="0">
      <w:start w:val="1"/>
      <w:numFmt w:val="decimal"/>
      <w:lvlText w:val="%1."/>
      <w:lvlJc w:val="left"/>
      <w:pPr>
        <w:tabs>
          <w:tab w:val="left" w:pos="144"/>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E626A"/>
    <w:multiLevelType w:val="multilevel"/>
    <w:tmpl w:val="7EE6CA7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F41081"/>
    <w:multiLevelType w:val="multilevel"/>
    <w:tmpl w:val="905223A8"/>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A8513B"/>
    <w:multiLevelType w:val="multilevel"/>
    <w:tmpl w:val="3AE0F1B4"/>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141C2B"/>
    <w:multiLevelType w:val="multilevel"/>
    <w:tmpl w:val="BC2EB8F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8E29CB"/>
    <w:multiLevelType w:val="multilevel"/>
    <w:tmpl w:val="06E2487A"/>
    <w:numStyleLink w:val="ScheduleNumbering"/>
  </w:abstractNum>
  <w:abstractNum w:abstractNumId="34">
    <w:nsid w:val="6E895BF9"/>
    <w:multiLevelType w:val="multilevel"/>
    <w:tmpl w:val="47CA798C"/>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B61C7A"/>
    <w:multiLevelType w:val="multilevel"/>
    <w:tmpl w:val="64765C3E"/>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81548F"/>
    <w:multiLevelType w:val="multilevel"/>
    <w:tmpl w:val="59FECFE6"/>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BE0445"/>
    <w:multiLevelType w:val="multilevel"/>
    <w:tmpl w:val="12D4901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881719"/>
    <w:multiLevelType w:val="multilevel"/>
    <w:tmpl w:val="83863DEE"/>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0">
    <w:nsid w:val="76F267B6"/>
    <w:multiLevelType w:val="multilevel"/>
    <w:tmpl w:val="DFECE834"/>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7618A8"/>
    <w:multiLevelType w:val="multilevel"/>
    <w:tmpl w:val="1130A0CA"/>
    <w:numStyleLink w:val="SectionNumbering"/>
  </w:abstractNum>
  <w:num w:numId="1">
    <w:abstractNumId w:val="27"/>
  </w:num>
  <w:num w:numId="2">
    <w:abstractNumId w:val="5"/>
  </w:num>
  <w:num w:numId="3">
    <w:abstractNumId w:val="13"/>
  </w:num>
  <w:num w:numId="4">
    <w:abstractNumId w:val="8"/>
  </w:num>
  <w:num w:numId="5">
    <w:abstractNumId w:val="19"/>
  </w:num>
  <w:num w:numId="6">
    <w:abstractNumId w:val="26"/>
  </w:num>
  <w:num w:numId="7">
    <w:abstractNumId w:val="33"/>
  </w:num>
  <w:num w:numId="8">
    <w:abstractNumId w:val="17"/>
  </w:num>
  <w:num w:numId="9">
    <w:abstractNumId w:val="16"/>
  </w:num>
  <w:num w:numId="10">
    <w:abstractNumId w:val="18"/>
  </w:num>
  <w:num w:numId="11">
    <w:abstractNumId w:val="20"/>
  </w:num>
  <w:num w:numId="12">
    <w:abstractNumId w:val="41"/>
  </w:num>
  <w:num w:numId="13">
    <w:abstractNumId w:val="40"/>
  </w:num>
  <w:num w:numId="14">
    <w:abstractNumId w:val="30"/>
  </w:num>
  <w:num w:numId="15">
    <w:abstractNumId w:val="12"/>
  </w:num>
  <w:num w:numId="16">
    <w:abstractNumId w:val="6"/>
  </w:num>
  <w:num w:numId="17">
    <w:abstractNumId w:val="35"/>
  </w:num>
  <w:num w:numId="18">
    <w:abstractNumId w:val="10"/>
  </w:num>
  <w:num w:numId="19">
    <w:abstractNumId w:val="37"/>
  </w:num>
  <w:num w:numId="20">
    <w:abstractNumId w:val="14"/>
  </w:num>
  <w:num w:numId="21">
    <w:abstractNumId w:val="25"/>
  </w:num>
  <w:num w:numId="22">
    <w:abstractNumId w:val="23"/>
  </w:num>
  <w:num w:numId="23">
    <w:abstractNumId w:val="31"/>
  </w:num>
  <w:num w:numId="24">
    <w:abstractNumId w:val="2"/>
  </w:num>
  <w:num w:numId="25">
    <w:abstractNumId w:val="4"/>
  </w:num>
  <w:num w:numId="26">
    <w:abstractNumId w:val="21"/>
  </w:num>
  <w:num w:numId="27">
    <w:abstractNumId w:val="1"/>
  </w:num>
  <w:num w:numId="28">
    <w:abstractNumId w:val="24"/>
  </w:num>
  <w:num w:numId="29">
    <w:abstractNumId w:val="9"/>
  </w:num>
  <w:num w:numId="30">
    <w:abstractNumId w:val="29"/>
  </w:num>
  <w:num w:numId="31">
    <w:abstractNumId w:val="36"/>
  </w:num>
  <w:num w:numId="32">
    <w:abstractNumId w:val="7"/>
  </w:num>
  <w:num w:numId="33">
    <w:abstractNumId w:val="22"/>
  </w:num>
  <w:num w:numId="34">
    <w:abstractNumId w:val="34"/>
  </w:num>
  <w:num w:numId="35">
    <w:abstractNumId w:val="11"/>
  </w:num>
  <w:num w:numId="36">
    <w:abstractNumId w:val="32"/>
  </w:num>
  <w:num w:numId="37">
    <w:abstractNumId w:val="28"/>
  </w:num>
  <w:num w:numId="38">
    <w:abstractNumId w:val="0"/>
  </w:num>
  <w:num w:numId="39">
    <w:abstractNumId w:val="38"/>
  </w:num>
  <w:num w:numId="40">
    <w:abstractNumId w:val="15"/>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94543"/>
    <w:rsid w:val="0003545D"/>
    <w:rsid w:val="00044E5C"/>
    <w:rsid w:val="00101241"/>
    <w:rsid w:val="001060FD"/>
    <w:rsid w:val="001138DB"/>
    <w:rsid w:val="00116C4D"/>
    <w:rsid w:val="00117C9B"/>
    <w:rsid w:val="00134261"/>
    <w:rsid w:val="001570C6"/>
    <w:rsid w:val="0016718F"/>
    <w:rsid w:val="00176254"/>
    <w:rsid w:val="00191C60"/>
    <w:rsid w:val="00193306"/>
    <w:rsid w:val="00194B5A"/>
    <w:rsid w:val="00206333"/>
    <w:rsid w:val="002068C6"/>
    <w:rsid w:val="002145F3"/>
    <w:rsid w:val="002172F2"/>
    <w:rsid w:val="0024268B"/>
    <w:rsid w:val="00260099"/>
    <w:rsid w:val="002A6353"/>
    <w:rsid w:val="002B301D"/>
    <w:rsid w:val="00362631"/>
    <w:rsid w:val="00373FD4"/>
    <w:rsid w:val="003B02A2"/>
    <w:rsid w:val="004078CF"/>
    <w:rsid w:val="00414ED0"/>
    <w:rsid w:val="004357E6"/>
    <w:rsid w:val="00455A1A"/>
    <w:rsid w:val="00457E41"/>
    <w:rsid w:val="00465953"/>
    <w:rsid w:val="004928A1"/>
    <w:rsid w:val="00493ADC"/>
    <w:rsid w:val="00494543"/>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80D75"/>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C47EE"/>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B0E6-75C1-488B-8D5F-428A53E8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40</TotalTime>
  <Pages>18</Pages>
  <Words>4721</Words>
  <Characters>26915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2015-11-16T13:08:00Z</dcterms:created>
  <dcterms:modified xsi:type="dcterms:W3CDTF">2015-11-19T15:31:00Z</dcterms:modified>
</cp:coreProperties>
</file>