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36" w:rsidRDefault="00335736" w:rsidP="00335736">
      <w:pPr>
        <w:spacing w:before="123"/>
        <w:ind w:right="4305"/>
        <w:rPr>
          <w:rFonts w:ascii="Times New Roman"/>
          <w:b/>
          <w:sz w:val="28"/>
        </w:rPr>
      </w:pPr>
      <w:bookmarkStart w:id="0" w:name="_GoBack"/>
      <w:bookmarkEnd w:id="0"/>
      <w:r>
        <w:rPr>
          <w:rFonts w:ascii="Times New Roman"/>
          <w:b/>
          <w:sz w:val="28"/>
        </w:rPr>
        <w:t xml:space="preserve">MiFID2 Delegated Regulation April 2016 </w:t>
      </w:r>
    </w:p>
    <w:p w:rsidR="00CF2466" w:rsidRDefault="00381F90">
      <w:pPr>
        <w:spacing w:before="123"/>
        <w:ind w:left="4498" w:right="4305" w:firstLine="38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z w:val="28"/>
        </w:rPr>
        <w:t>S</w:t>
      </w:r>
      <w:r>
        <w:rPr>
          <w:rFonts w:ascii="Times New Roman"/>
          <w:b/>
        </w:rPr>
        <w:t>ECTION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z w:val="28"/>
        </w:rPr>
        <w:t>5</w:t>
      </w:r>
      <w:r>
        <w:rPr>
          <w:rFonts w:ascii="Times New Roman"/>
          <w:b/>
          <w:w w:val="99"/>
          <w:sz w:val="28"/>
        </w:rPr>
        <w:t xml:space="preserve"> </w:t>
      </w:r>
      <w:r>
        <w:rPr>
          <w:rFonts w:ascii="Times New Roman"/>
          <w:b/>
          <w:sz w:val="28"/>
        </w:rPr>
        <w:t>B</w:t>
      </w:r>
      <w:r>
        <w:rPr>
          <w:rFonts w:ascii="Times New Roman"/>
          <w:b/>
        </w:rPr>
        <w:t>EST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EXECUTION</w:t>
      </w:r>
    </w:p>
    <w:p w:rsidR="00CF2466" w:rsidRDefault="00CF2466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CF2466" w:rsidRDefault="00381F90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64</w:t>
      </w:r>
    </w:p>
    <w:p w:rsidR="00CF2466" w:rsidRDefault="00381F90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Best execution</w:t>
      </w:r>
      <w:r>
        <w:rPr>
          <w:spacing w:val="-3"/>
        </w:rPr>
        <w:t xml:space="preserve"> </w:t>
      </w:r>
      <w:r>
        <w:t>criteria</w:t>
      </w:r>
    </w:p>
    <w:p w:rsidR="00CF2466" w:rsidRDefault="00381F90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(Articles 27(1) and 24(1) of Directive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CF2466" w:rsidRDefault="00381F90" w:rsidP="00381F90">
      <w:pPr>
        <w:pStyle w:val="ListParagraph"/>
        <w:numPr>
          <w:ilvl w:val="0"/>
          <w:numId w:val="14"/>
        </w:numPr>
        <w:tabs>
          <w:tab w:val="left" w:pos="1807"/>
        </w:tabs>
        <w:spacing w:before="119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When executing client orders, investment firms shall take into account 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 xml:space="preserve">following criteria for determining the relative  importance  of  the  factors  referred  to 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 Article 27(1) of Directive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2014/65/EU:</w:t>
      </w:r>
    </w:p>
    <w:p w:rsidR="00CF2466" w:rsidRPr="00E26A1E" w:rsidRDefault="00381F90" w:rsidP="00381F90">
      <w:pPr>
        <w:pStyle w:val="ListParagraph"/>
        <w:numPr>
          <w:ilvl w:val="1"/>
          <w:numId w:val="14"/>
        </w:numPr>
        <w:tabs>
          <w:tab w:val="left" w:pos="2375"/>
        </w:tabs>
        <w:spacing w:before="120"/>
        <w:ind w:right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characteristics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categorisation</w:t>
      </w:r>
      <w:proofErr w:type="spellEnd"/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as retail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professional;</w:t>
      </w:r>
    </w:p>
    <w:p w:rsidR="00CF2466" w:rsidRDefault="00381F90" w:rsidP="00381F90">
      <w:pPr>
        <w:pStyle w:val="ListParagraph"/>
        <w:numPr>
          <w:ilvl w:val="1"/>
          <w:numId w:val="14"/>
        </w:numPr>
        <w:tabs>
          <w:tab w:val="left" w:pos="2375"/>
        </w:tabs>
        <w:spacing w:before="52"/>
        <w:ind w:right="9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characteristics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order,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involves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 securities financing transaction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(SFT);</w:t>
      </w:r>
    </w:p>
    <w:p w:rsidR="00CF2466" w:rsidRDefault="00381F90" w:rsidP="00381F90">
      <w:pPr>
        <w:pStyle w:val="ListParagraph"/>
        <w:numPr>
          <w:ilvl w:val="1"/>
          <w:numId w:val="14"/>
        </w:numPr>
        <w:tabs>
          <w:tab w:val="left" w:pos="2375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characteristics of financial instruments that are the subject of 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order;</w:t>
      </w:r>
    </w:p>
    <w:p w:rsidR="00CF2466" w:rsidRDefault="00381F90" w:rsidP="00381F90">
      <w:pPr>
        <w:pStyle w:val="ListParagraph"/>
        <w:numPr>
          <w:ilvl w:val="1"/>
          <w:numId w:val="14"/>
        </w:numPr>
        <w:tabs>
          <w:tab w:val="left" w:pos="2375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characteristics of the execution venues to which that order can 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directed.</w:t>
      </w:r>
    </w:p>
    <w:p w:rsidR="00CF2466" w:rsidRDefault="00381F90">
      <w:pPr>
        <w:pStyle w:val="BodyText"/>
        <w:ind w:right="958" w:firstLine="0"/>
        <w:jc w:val="both"/>
      </w:pPr>
      <w:r>
        <w:t>For the purposes of this Article a</w:t>
      </w:r>
      <w:r>
        <w:rPr>
          <w:rFonts w:cs="Times New Roman"/>
        </w:rPr>
        <w:t>nd Articles 65 and 66, ‘execution venue’ includes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a </w:t>
      </w:r>
      <w:r>
        <w:t>regulated</w:t>
      </w:r>
      <w:r>
        <w:rPr>
          <w:spacing w:val="19"/>
        </w:rPr>
        <w:t xml:space="preserve"> </w:t>
      </w:r>
      <w:r>
        <w:t>market,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MTF,</w:t>
      </w:r>
      <w:r>
        <w:rPr>
          <w:spacing w:val="18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OTF,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systematic</w:t>
      </w:r>
      <w:r>
        <w:rPr>
          <w:spacing w:val="19"/>
        </w:rPr>
        <w:t xml:space="preserve"> </w:t>
      </w:r>
      <w:proofErr w:type="spellStart"/>
      <w:r>
        <w:t>internaliser</w:t>
      </w:r>
      <w:proofErr w:type="spellEnd"/>
      <w:r>
        <w:t>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market</w:t>
      </w:r>
      <w:r>
        <w:rPr>
          <w:spacing w:val="19"/>
        </w:rPr>
        <w:t xml:space="preserve"> </w:t>
      </w:r>
      <w:r>
        <w:t>maker</w:t>
      </w:r>
      <w:r>
        <w:rPr>
          <w:spacing w:val="19"/>
        </w:rPr>
        <w:t xml:space="preserve"> </w:t>
      </w:r>
      <w:r>
        <w:t>or other liquidity provider or an entity that performs a similar function in a third</w:t>
      </w:r>
      <w:r>
        <w:rPr>
          <w:spacing w:val="-3"/>
        </w:rPr>
        <w:t xml:space="preserve"> </w:t>
      </w:r>
      <w:r>
        <w:t>country to the functions performed by any of the</w:t>
      </w:r>
      <w:r>
        <w:rPr>
          <w:spacing w:val="-4"/>
        </w:rPr>
        <w:t xml:space="preserve"> </w:t>
      </w:r>
      <w:r>
        <w:t>foregoing.</w:t>
      </w:r>
    </w:p>
    <w:p w:rsidR="00CF2466" w:rsidRDefault="00381F90" w:rsidP="00381F90">
      <w:pPr>
        <w:pStyle w:val="ListParagraph"/>
        <w:numPr>
          <w:ilvl w:val="0"/>
          <w:numId w:val="14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satisfies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obligation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27(1)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Directive 2014/65/EU to take all sufficient steps to obtain the best possible result for a client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to the extent that it executes an order or a specific aspect of an order following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specific instructions from the client relating to the order or the specific aspect of 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order.</w:t>
      </w:r>
    </w:p>
    <w:p w:rsidR="00CF2466" w:rsidRDefault="00381F90" w:rsidP="00381F90">
      <w:pPr>
        <w:pStyle w:val="ListParagraph"/>
        <w:numPr>
          <w:ilvl w:val="0"/>
          <w:numId w:val="14"/>
        </w:numPr>
        <w:tabs>
          <w:tab w:val="left" w:pos="1807"/>
        </w:tabs>
        <w:spacing w:before="120"/>
        <w:ind w:right="963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not structure or charge their commissions in such a way as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to discriminate unfairly between execution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venues.</w:t>
      </w:r>
    </w:p>
    <w:p w:rsidR="00CF2466" w:rsidRDefault="00381F90" w:rsidP="00381F90">
      <w:pPr>
        <w:pStyle w:val="ListParagraph"/>
        <w:numPr>
          <w:ilvl w:val="0"/>
          <w:numId w:val="14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When executing orders or taking decision to deal in OTC products including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bespoke products,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check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fairness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price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proposed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 client,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gathering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market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estimation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price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product and, where possible, by comparing with similar or comparable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products.</w:t>
      </w:r>
    </w:p>
    <w:p w:rsidR="00CF2466" w:rsidRDefault="00CF2466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CF2466" w:rsidRDefault="00381F90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65</w:t>
      </w:r>
    </w:p>
    <w:p w:rsidR="00CF2466" w:rsidRDefault="00381F90">
      <w:pPr>
        <w:pStyle w:val="Heading3"/>
        <w:ind w:left="965" w:right="965"/>
        <w:jc w:val="center"/>
        <w:rPr>
          <w:b w:val="0"/>
          <w:bCs w:val="0"/>
        </w:rPr>
      </w:pPr>
      <w:r>
        <w:t>Duty of investment firms carrying out portfolio management and reception</w:t>
      </w:r>
      <w:r>
        <w:rPr>
          <w:spacing w:val="-12"/>
        </w:rPr>
        <w:t xml:space="preserve"> </w:t>
      </w:r>
      <w:r>
        <w:t>and transmission of orders to act in the best interests of the</w:t>
      </w:r>
      <w:r>
        <w:rPr>
          <w:spacing w:val="-11"/>
        </w:rPr>
        <w:t xml:space="preserve"> </w:t>
      </w:r>
      <w:r>
        <w:t>client</w:t>
      </w:r>
    </w:p>
    <w:p w:rsidR="00CF2466" w:rsidRDefault="00381F90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24(1) and 24(4) of Directive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CF2466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19"/>
        <w:ind w:right="954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firms, when providing portfolio management, shall comply with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 obligation under Article 24(1) of Directive 2014/65/EU to act in accordance 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 best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interests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placing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orders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entities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execution 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decisions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deal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instruments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on behalf of its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client.</w:t>
      </w:r>
    </w:p>
    <w:p w:rsidR="00CF2466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Investment firms, when providing the service of reception and transmission 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of orders, shall comply with the obligation under Article 24(1) of Directive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 xml:space="preserve">2014/65/EU </w:t>
      </w:r>
      <w:r>
        <w:rPr>
          <w:rFonts w:ascii="Times New Roman"/>
          <w:sz w:val="24"/>
        </w:rPr>
        <w:lastRenderedPageBreak/>
        <w:t>to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interests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transmitting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client orders to other entities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execution.</w:t>
      </w:r>
    </w:p>
    <w:p w:rsidR="00CF2466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20"/>
        <w:ind w:right="961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2,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with paragraphs 4 to 7 of this Article and Article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64(4).</w:t>
      </w:r>
    </w:p>
    <w:p w:rsidR="00CF2466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sufficient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steps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possible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for their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taking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account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factors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referred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27(1)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Directive 2014/65/EU. The relative importance of these factors shall be determined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by reference to the criteria set out in Article 59(1) and, for retail clients, to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the requirement under Article 27(1) of Directive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2014/65/EU.</w:t>
      </w:r>
    </w:p>
    <w:p w:rsidR="00CF2466" w:rsidRDefault="00381F90">
      <w:pPr>
        <w:pStyle w:val="BodyText"/>
        <w:ind w:right="959" w:firstLine="0"/>
        <w:jc w:val="both"/>
      </w:pPr>
      <w:r>
        <w:t>An investment firm satisfies its obligations under paragraph 1 or 2, and is not required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steps</w:t>
      </w:r>
      <w:r>
        <w:rPr>
          <w:spacing w:val="26"/>
        </w:rPr>
        <w:t xml:space="preserve"> </w:t>
      </w:r>
      <w:r>
        <w:t>mentioned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paragraph,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extent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follows specific</w:t>
      </w:r>
      <w:r>
        <w:rPr>
          <w:spacing w:val="30"/>
        </w:rPr>
        <w:t xml:space="preserve"> </w:t>
      </w:r>
      <w:r>
        <w:t>instructions</w:t>
      </w:r>
      <w:r>
        <w:rPr>
          <w:spacing w:val="29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t>client</w:t>
      </w:r>
      <w:r>
        <w:rPr>
          <w:spacing w:val="30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placing</w:t>
      </w:r>
      <w:r>
        <w:rPr>
          <w:spacing w:val="2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order</w:t>
      </w:r>
      <w:r>
        <w:rPr>
          <w:spacing w:val="30"/>
        </w:rPr>
        <w:t xml:space="preserve"> </w:t>
      </w:r>
      <w:r>
        <w:t>with,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transmitting</w:t>
      </w:r>
      <w:r>
        <w:rPr>
          <w:spacing w:val="29"/>
        </w:rPr>
        <w:t xml:space="preserve"> </w:t>
      </w:r>
      <w:r>
        <w:t>an order to, another entity for</w:t>
      </w:r>
      <w:r>
        <w:rPr>
          <w:spacing w:val="-9"/>
        </w:rPr>
        <w:t xml:space="preserve"> </w:t>
      </w:r>
      <w:r>
        <w:t>execution.</w:t>
      </w:r>
    </w:p>
    <w:p w:rsidR="00CF2466" w:rsidRPr="00E26A1E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establish and implement a policy that enables them 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comply with the obligation in paragraph 4. The policy shall identify, in respect of each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class</w:t>
      </w:r>
    </w:p>
    <w:p w:rsidR="00CF2466" w:rsidRDefault="00381F90">
      <w:pPr>
        <w:pStyle w:val="BodyText"/>
        <w:spacing w:before="52"/>
        <w:ind w:right="955" w:firstLine="0"/>
        <w:jc w:val="both"/>
      </w:pPr>
      <w:r>
        <w:t>of instruments, the entities with which the orders are placed or to which</w:t>
      </w:r>
      <w:r>
        <w:rPr>
          <w:spacing w:val="6"/>
        </w:rPr>
        <w:t xml:space="preserve"> </w:t>
      </w:r>
      <w:r>
        <w:t>the investment</w:t>
      </w:r>
      <w:r>
        <w:rPr>
          <w:spacing w:val="49"/>
        </w:rPr>
        <w:t xml:space="preserve"> </w:t>
      </w:r>
      <w:r>
        <w:t>firm</w:t>
      </w:r>
      <w:r>
        <w:rPr>
          <w:spacing w:val="48"/>
        </w:rPr>
        <w:t xml:space="preserve"> </w:t>
      </w:r>
      <w:r>
        <w:t>transmits</w:t>
      </w:r>
      <w:r>
        <w:rPr>
          <w:spacing w:val="50"/>
        </w:rPr>
        <w:t xml:space="preserve"> </w:t>
      </w:r>
      <w:r>
        <w:t>orders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execution.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entities</w:t>
      </w:r>
      <w:r>
        <w:rPr>
          <w:spacing w:val="49"/>
        </w:rPr>
        <w:t xml:space="preserve"> </w:t>
      </w:r>
      <w:r>
        <w:t>identified</w:t>
      </w:r>
      <w:r>
        <w:rPr>
          <w:spacing w:val="49"/>
        </w:rPr>
        <w:t xml:space="preserve"> </w:t>
      </w:r>
      <w:r>
        <w:t>shall</w:t>
      </w:r>
      <w:r>
        <w:rPr>
          <w:spacing w:val="50"/>
        </w:rPr>
        <w:t xml:space="preserve"> </w:t>
      </w:r>
      <w:r>
        <w:t>have execution arrangements that enable the investment firm to comply  with</w:t>
      </w:r>
      <w:r>
        <w:rPr>
          <w:spacing w:val="-3"/>
        </w:rPr>
        <w:t xml:space="preserve"> </w:t>
      </w:r>
      <w:r>
        <w:t>its obligations</w:t>
      </w:r>
      <w:r>
        <w:rPr>
          <w:spacing w:val="37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Article</w:t>
      </w:r>
      <w:r>
        <w:rPr>
          <w:spacing w:val="38"/>
        </w:rPr>
        <w:t xml:space="preserve"> </w:t>
      </w:r>
      <w:r>
        <w:t>when</w:t>
      </w:r>
      <w:r>
        <w:rPr>
          <w:spacing w:val="38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places</w:t>
      </w:r>
      <w:r>
        <w:rPr>
          <w:spacing w:val="36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transmits</w:t>
      </w:r>
      <w:r>
        <w:rPr>
          <w:spacing w:val="38"/>
        </w:rPr>
        <w:t xml:space="preserve"> </w:t>
      </w:r>
      <w:r>
        <w:t>orders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entity</w:t>
      </w:r>
      <w:r>
        <w:rPr>
          <w:spacing w:val="37"/>
        </w:rPr>
        <w:t xml:space="preserve"> </w:t>
      </w:r>
      <w:r>
        <w:t>for execution.</w:t>
      </w:r>
    </w:p>
    <w:p w:rsidR="00CF2466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established in accordance with paragraph 5 and paragraphs 2 to 9 of Article 66. Investment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firms shall provide clients with appropriate information about the firm and its services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and the entities chosen for execution. In particular, when the investment firm select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 xml:space="preserve">other firms to provide order execution services, it shall </w:t>
      </w:r>
      <w:proofErr w:type="spellStart"/>
      <w:r>
        <w:rPr>
          <w:rFonts w:ascii="Times New Roman"/>
          <w:sz w:val="24"/>
        </w:rPr>
        <w:t>summarise</w:t>
      </w:r>
      <w:proofErr w:type="spellEnd"/>
      <w:r>
        <w:rPr>
          <w:rFonts w:ascii="Times New Roman"/>
          <w:sz w:val="24"/>
        </w:rPr>
        <w:t xml:space="preserve"> and make public, on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an annual basis, for each class of financial instruments, the top five investment firms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 terms of trading volumes where it transmitted or placed client orders for execution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 the preceding year and information on the quality of execution obtained.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The information shall be consistent with the information published in accordance 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 technical standards developed under Article 27(10)(b) of Directive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2014/65/EU.</w:t>
      </w:r>
    </w:p>
    <w:p w:rsidR="00CF2466" w:rsidRDefault="00381F90">
      <w:pPr>
        <w:pStyle w:val="BodyText"/>
        <w:ind w:right="960" w:firstLine="0"/>
        <w:jc w:val="both"/>
      </w:pPr>
      <w:r>
        <w:t>Upon</w:t>
      </w:r>
      <w:r>
        <w:rPr>
          <w:spacing w:val="22"/>
        </w:rPr>
        <w:t xml:space="preserve"> </w:t>
      </w:r>
      <w:r>
        <w:t>reasonable</w:t>
      </w:r>
      <w:r>
        <w:rPr>
          <w:spacing w:val="21"/>
        </w:rPr>
        <w:t xml:space="preserve"> </w:t>
      </w:r>
      <w:r>
        <w:t>request</w:t>
      </w:r>
      <w:r>
        <w:rPr>
          <w:spacing w:val="23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client,</w:t>
      </w:r>
      <w:r>
        <w:rPr>
          <w:spacing w:val="22"/>
        </w:rPr>
        <w:t xml:space="preserve"> </w:t>
      </w:r>
      <w:r>
        <w:t>investment</w:t>
      </w:r>
      <w:r>
        <w:rPr>
          <w:spacing w:val="23"/>
        </w:rPr>
        <w:t xml:space="preserve"> </w:t>
      </w:r>
      <w:r>
        <w:t>firms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provide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clients</w:t>
      </w:r>
      <w:r>
        <w:rPr>
          <w:spacing w:val="23"/>
        </w:rPr>
        <w:t xml:space="preserve"> </w:t>
      </w:r>
      <w:r>
        <w:t>or potential</w:t>
      </w:r>
      <w:r>
        <w:rPr>
          <w:spacing w:val="21"/>
        </w:rPr>
        <w:t xml:space="preserve"> </w:t>
      </w:r>
      <w:r>
        <w:t>clients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entities</w:t>
      </w:r>
      <w:r>
        <w:rPr>
          <w:spacing w:val="20"/>
        </w:rPr>
        <w:t xml:space="preserve"> </w:t>
      </w:r>
      <w:r>
        <w:t>where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orders</w:t>
      </w:r>
      <w:r>
        <w:rPr>
          <w:spacing w:val="21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transmitted</w:t>
      </w:r>
      <w:r>
        <w:rPr>
          <w:spacing w:val="21"/>
        </w:rPr>
        <w:t xml:space="preserve"> </w:t>
      </w:r>
      <w:r>
        <w:t>or placed for execution.</w:t>
      </w:r>
    </w:p>
    <w:p w:rsidR="00CF2466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monitor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regular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effectiveness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policy established in accordance with paragraph 5 and, in particular, shall monitor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 execution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quality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entities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identified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and,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appropriate, correct any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deficiencies.</w:t>
      </w:r>
    </w:p>
    <w:p w:rsidR="00CF2466" w:rsidRDefault="00381F90">
      <w:pPr>
        <w:pStyle w:val="BodyText"/>
        <w:ind w:right="959" w:firstLine="0"/>
        <w:jc w:val="both"/>
      </w:pPr>
      <w:r>
        <w:t>Investment firms shall review the policy and arrangements at least annually. Such</w:t>
      </w:r>
      <w:r>
        <w:rPr>
          <w:spacing w:val="8"/>
        </w:rPr>
        <w:t xml:space="preserve"> </w:t>
      </w:r>
      <w:r>
        <w:t>a review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carried</w:t>
      </w:r>
      <w:r>
        <w:rPr>
          <w:spacing w:val="23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whenever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material</w:t>
      </w:r>
      <w:r>
        <w:rPr>
          <w:spacing w:val="24"/>
        </w:rPr>
        <w:t xml:space="preserve"> </w:t>
      </w:r>
      <w:r>
        <w:t>change</w:t>
      </w:r>
      <w:r>
        <w:rPr>
          <w:spacing w:val="24"/>
        </w:rPr>
        <w:t xml:space="preserve"> </w:t>
      </w:r>
      <w:r>
        <w:t>occurs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affects</w:t>
      </w:r>
      <w:r>
        <w:rPr>
          <w:spacing w:val="24"/>
        </w:rPr>
        <w:t xml:space="preserve"> </w:t>
      </w:r>
      <w:r>
        <w:t>the firm's ability to continue to obtain the best possible result for their</w:t>
      </w:r>
      <w:r>
        <w:rPr>
          <w:spacing w:val="-10"/>
        </w:rPr>
        <w:t xml:space="preserve"> </w:t>
      </w:r>
      <w:r>
        <w:t>clients.</w:t>
      </w:r>
    </w:p>
    <w:p w:rsidR="00CF2466" w:rsidRDefault="00381F90">
      <w:pPr>
        <w:pStyle w:val="BodyText"/>
        <w:ind w:right="956" w:firstLine="0"/>
        <w:jc w:val="both"/>
      </w:pPr>
      <w:r>
        <w:t>Investment firms shall assess whether a material change has occurred and</w:t>
      </w:r>
      <w:r>
        <w:rPr>
          <w:spacing w:val="35"/>
        </w:rPr>
        <w:t xml:space="preserve"> </w:t>
      </w:r>
      <w:r>
        <w:t>shall consider</w:t>
      </w:r>
      <w:r>
        <w:rPr>
          <w:spacing w:val="38"/>
        </w:rPr>
        <w:t xml:space="preserve"> </w:t>
      </w:r>
      <w:r>
        <w:t>making</w:t>
      </w:r>
      <w:r>
        <w:rPr>
          <w:spacing w:val="38"/>
        </w:rPr>
        <w:t xml:space="preserve"> </w:t>
      </w:r>
      <w:r>
        <w:t>changes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execution</w:t>
      </w:r>
      <w:r>
        <w:rPr>
          <w:spacing w:val="38"/>
        </w:rPr>
        <w:t xml:space="preserve"> </w:t>
      </w:r>
      <w:r>
        <w:t>venues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entities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they</w:t>
      </w:r>
      <w:r>
        <w:rPr>
          <w:spacing w:val="38"/>
        </w:rPr>
        <w:t xml:space="preserve"> </w:t>
      </w:r>
      <w:r>
        <w:t>place significant reliance in meeting the overarching best execution</w:t>
      </w:r>
      <w:r>
        <w:rPr>
          <w:spacing w:val="-11"/>
        </w:rPr>
        <w:t xml:space="preserve"> </w:t>
      </w:r>
      <w:r>
        <w:t>requirement.</w:t>
      </w:r>
    </w:p>
    <w:p w:rsidR="00CF2466" w:rsidRDefault="00381F90">
      <w:pPr>
        <w:pStyle w:val="BodyText"/>
        <w:ind w:right="958" w:firstLine="0"/>
        <w:jc w:val="both"/>
      </w:pPr>
      <w:r>
        <w:t>A</w:t>
      </w:r>
      <w:r>
        <w:rPr>
          <w:spacing w:val="22"/>
        </w:rPr>
        <w:t xml:space="preserve"> </w:t>
      </w:r>
      <w:r>
        <w:t>material</w:t>
      </w:r>
      <w:r>
        <w:rPr>
          <w:spacing w:val="20"/>
        </w:rPr>
        <w:t xml:space="preserve"> </w:t>
      </w:r>
      <w:r>
        <w:t>change</w:t>
      </w:r>
      <w:r>
        <w:rPr>
          <w:spacing w:val="22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significant</w:t>
      </w:r>
      <w:r>
        <w:rPr>
          <w:spacing w:val="22"/>
        </w:rPr>
        <w:t xml:space="preserve"> </w:t>
      </w:r>
      <w:r>
        <w:t>event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could</w:t>
      </w:r>
      <w:r>
        <w:rPr>
          <w:spacing w:val="21"/>
        </w:rPr>
        <w:t xml:space="preserve"> </w:t>
      </w:r>
      <w:r>
        <w:t>impact</w:t>
      </w:r>
      <w:r>
        <w:rPr>
          <w:spacing w:val="22"/>
        </w:rPr>
        <w:t xml:space="preserve"> </w:t>
      </w:r>
      <w:r>
        <w:t>parameters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best execution</w:t>
      </w:r>
      <w:r>
        <w:rPr>
          <w:spacing w:val="41"/>
        </w:rPr>
        <w:t xml:space="preserve"> </w:t>
      </w:r>
      <w:r>
        <w:t>such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cost,</w:t>
      </w:r>
      <w:r>
        <w:rPr>
          <w:spacing w:val="39"/>
        </w:rPr>
        <w:t xml:space="preserve"> </w:t>
      </w:r>
      <w:r>
        <w:t>price,</w:t>
      </w:r>
      <w:r>
        <w:rPr>
          <w:spacing w:val="41"/>
        </w:rPr>
        <w:t xml:space="preserve"> </w:t>
      </w:r>
      <w:r>
        <w:t>speed,</w:t>
      </w:r>
      <w:r>
        <w:rPr>
          <w:spacing w:val="40"/>
        </w:rPr>
        <w:t xml:space="preserve"> </w:t>
      </w:r>
      <w:r>
        <w:t>likelihood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execution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settlement,</w:t>
      </w:r>
      <w:r>
        <w:rPr>
          <w:spacing w:val="40"/>
        </w:rPr>
        <w:t xml:space="preserve"> </w:t>
      </w:r>
      <w:r>
        <w:t>size, nature or any other consideration relevant to the execution of the</w:t>
      </w:r>
      <w:r>
        <w:rPr>
          <w:spacing w:val="-11"/>
        </w:rPr>
        <w:t xml:space="preserve"> </w:t>
      </w:r>
      <w:r>
        <w:t>order.</w:t>
      </w:r>
    </w:p>
    <w:p w:rsidR="00CF2466" w:rsidRDefault="00381F90" w:rsidP="00381F90">
      <w:pPr>
        <w:pStyle w:val="ListParagraph"/>
        <w:numPr>
          <w:ilvl w:val="0"/>
          <w:numId w:val="13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provides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z w:val="24"/>
        </w:rPr>
        <w:lastRenderedPageBreak/>
        <w:t>portfolio management or reception and transmission of orders also executes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 orders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decisions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deal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client's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portfolio.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those cases Article 27 of Directive 2014/65/EU shall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apply.</w:t>
      </w:r>
    </w:p>
    <w:p w:rsidR="00CF2466" w:rsidRDefault="00CF2466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CF2466" w:rsidRDefault="00381F90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66</w:t>
      </w:r>
    </w:p>
    <w:p w:rsidR="00CF2466" w:rsidRDefault="00381F90">
      <w:pPr>
        <w:pStyle w:val="Heading3"/>
        <w:spacing w:line="275" w:lineRule="exact"/>
        <w:ind w:right="2436"/>
        <w:jc w:val="center"/>
        <w:rPr>
          <w:b w:val="0"/>
          <w:bCs w:val="0"/>
        </w:rPr>
      </w:pPr>
      <w:r>
        <w:t>Execution policy</w:t>
      </w:r>
    </w:p>
    <w:p w:rsidR="00CF2466" w:rsidRDefault="00381F90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27 (5) and (7) of Directive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19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review,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least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policy established pursuant to Article 27(4) of Directive 2014/65/EU, as well as their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order execution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arrangements.</w:t>
      </w:r>
    </w:p>
    <w:p w:rsidR="00CF2466" w:rsidRDefault="00381F90">
      <w:pPr>
        <w:pStyle w:val="BodyText"/>
        <w:ind w:right="961" w:firstLine="0"/>
        <w:jc w:val="both"/>
      </w:pPr>
      <w:r>
        <w:t>Such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review</w:t>
      </w:r>
      <w:r>
        <w:rPr>
          <w:spacing w:val="33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also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carried</w:t>
      </w:r>
      <w:r>
        <w:rPr>
          <w:spacing w:val="32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whenever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change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defined</w:t>
      </w:r>
      <w:r>
        <w:rPr>
          <w:spacing w:val="33"/>
        </w:rPr>
        <w:t xml:space="preserve"> </w:t>
      </w:r>
      <w:r>
        <w:t>in Article</w:t>
      </w:r>
      <w:r>
        <w:rPr>
          <w:spacing w:val="53"/>
        </w:rPr>
        <w:t xml:space="preserve"> </w:t>
      </w:r>
      <w:r>
        <w:t>65(7)</w:t>
      </w:r>
      <w:r>
        <w:rPr>
          <w:spacing w:val="52"/>
        </w:rPr>
        <w:t xml:space="preserve"> </w:t>
      </w:r>
      <w:r>
        <w:t>occurs</w:t>
      </w:r>
      <w:r>
        <w:rPr>
          <w:spacing w:val="52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affects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firm's</w:t>
      </w:r>
      <w:r>
        <w:rPr>
          <w:spacing w:val="53"/>
        </w:rPr>
        <w:t xml:space="preserve"> </w:t>
      </w:r>
      <w:r>
        <w:t>ability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continue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obtain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best possible</w:t>
      </w:r>
      <w:r>
        <w:rPr>
          <w:spacing w:val="27"/>
        </w:rPr>
        <w:t xml:space="preserve"> </w:t>
      </w:r>
      <w:r>
        <w:t>result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execution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client</w:t>
      </w:r>
      <w:r>
        <w:rPr>
          <w:spacing w:val="27"/>
        </w:rPr>
        <w:t xml:space="preserve"> </w:t>
      </w:r>
      <w:r>
        <w:t>orders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consistent</w:t>
      </w:r>
      <w:r>
        <w:rPr>
          <w:spacing w:val="28"/>
        </w:rPr>
        <w:t xml:space="preserve"> </w:t>
      </w:r>
      <w:r>
        <w:t>basis</w:t>
      </w:r>
      <w:r>
        <w:rPr>
          <w:spacing w:val="28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t>the venues</w:t>
      </w:r>
      <w:r>
        <w:rPr>
          <w:spacing w:val="25"/>
        </w:rPr>
        <w:t xml:space="preserve"> </w:t>
      </w:r>
      <w:r>
        <w:t>included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execution</w:t>
      </w:r>
      <w:r>
        <w:rPr>
          <w:spacing w:val="26"/>
        </w:rPr>
        <w:t xml:space="preserve"> </w:t>
      </w:r>
      <w:r>
        <w:t>policy.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investment</w:t>
      </w:r>
      <w:r>
        <w:rPr>
          <w:spacing w:val="26"/>
        </w:rPr>
        <w:t xml:space="preserve"> </w:t>
      </w:r>
      <w:r>
        <w:t>firm</w:t>
      </w:r>
      <w:r>
        <w:rPr>
          <w:spacing w:val="24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assess</w:t>
      </w:r>
      <w:r>
        <w:rPr>
          <w:spacing w:val="26"/>
        </w:rPr>
        <w:t xml:space="preserve"> </w:t>
      </w:r>
      <w:r>
        <w:t>whether</w:t>
      </w:r>
      <w:r>
        <w:rPr>
          <w:spacing w:val="24"/>
        </w:rPr>
        <w:t xml:space="preserve"> </w:t>
      </w:r>
      <w:r>
        <w:t>a</w:t>
      </w:r>
    </w:p>
    <w:p w:rsidR="00CF2466" w:rsidRDefault="00381F90">
      <w:pPr>
        <w:pStyle w:val="BodyText"/>
        <w:spacing w:before="52"/>
        <w:ind w:right="959" w:firstLine="0"/>
        <w:jc w:val="both"/>
      </w:pPr>
      <w:r>
        <w:t>material change has occurred and shall consider making changes to the</w:t>
      </w:r>
      <w:r>
        <w:rPr>
          <w:spacing w:val="13"/>
        </w:rPr>
        <w:t xml:space="preserve"> </w:t>
      </w:r>
      <w:r>
        <w:t>relative importance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best</w:t>
      </w:r>
      <w:r>
        <w:rPr>
          <w:spacing w:val="24"/>
        </w:rPr>
        <w:t xml:space="preserve"> </w:t>
      </w:r>
      <w:r>
        <w:t>execution</w:t>
      </w:r>
      <w:r>
        <w:rPr>
          <w:spacing w:val="25"/>
        </w:rPr>
        <w:t xml:space="preserve"> </w:t>
      </w:r>
      <w:r>
        <w:t>factors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meeting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overarching</w:t>
      </w:r>
      <w:r>
        <w:rPr>
          <w:spacing w:val="25"/>
        </w:rPr>
        <w:t xml:space="preserve"> </w:t>
      </w:r>
      <w:r>
        <w:t>best</w:t>
      </w:r>
      <w:r>
        <w:rPr>
          <w:spacing w:val="25"/>
        </w:rPr>
        <w:t xml:space="preserve"> </w:t>
      </w:r>
      <w:r>
        <w:t>execution requirement.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60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information on the execution policy shall be </w:t>
      </w:r>
      <w:proofErr w:type="spellStart"/>
      <w:r>
        <w:rPr>
          <w:rFonts w:ascii="Times New Roman"/>
          <w:sz w:val="24"/>
        </w:rPr>
        <w:t>customised</w:t>
      </w:r>
      <w:proofErr w:type="spellEnd"/>
      <w:r>
        <w:rPr>
          <w:rFonts w:ascii="Times New Roman"/>
          <w:sz w:val="24"/>
        </w:rPr>
        <w:t xml:space="preserve"> depending on 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class of financial instrument and type of the service provided and shall include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information set out in paragraphs 3 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9.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details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execution policy in good time prior to the provision of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service:</w:t>
      </w:r>
    </w:p>
    <w:p w:rsidR="00CF2466" w:rsidRDefault="00381F90" w:rsidP="00381F90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 account of the relative importance the investment firm  assigns, in accordance with the criteria specified in Article 59(1), to the factors referred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 in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27(1)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Directive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2014/65/EU,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firm determines the relative importance of those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factors.</w:t>
      </w:r>
    </w:p>
    <w:p w:rsidR="00CF2466" w:rsidRDefault="00381F90" w:rsidP="00381F90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right="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venues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places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significant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reliance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in meeting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obligation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reasonable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steps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consistent basis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possible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orders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specifying which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venues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instruments,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for retail client orders, professional client orders 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SFTs;</w:t>
      </w:r>
    </w:p>
    <w:p w:rsidR="00CF2466" w:rsidRDefault="00381F90" w:rsidP="00381F90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list of factors used to select an execution venue, including qualitative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factors such as clearing schemes, circuit breakers, scheduled actions, or any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other relevant consideration, and the relative importance of each factor;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The information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factors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select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venue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execution shall be consistent with the controls used by the firm to demonstrate to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clients that best execution has been achieved in a consistent basis when reviewing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the adequacy of its policy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arrangements;</w:t>
      </w:r>
    </w:p>
    <w:p w:rsidR="00CF2466" w:rsidRDefault="00381F90" w:rsidP="00381F90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 the execution factors of price costs, speed, likelihood of execution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any other relevant factors are considered as part of all sufficient steps to obtain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 best possible result for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client;</w:t>
      </w:r>
    </w:p>
    <w:p w:rsidR="00CF2466" w:rsidRDefault="00381F90" w:rsidP="00381F90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applicable,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executes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orders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outside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trading venue, the consequences, for example counterparty risk arising from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execution outside a trading venue, and upon client request, additional information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about the consequences of this means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execution;</w:t>
      </w:r>
    </w:p>
    <w:p w:rsidR="00CF2466" w:rsidRDefault="00381F90" w:rsidP="00381F90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clear and prominent warning that any specific instructions from a client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may prevent the firm from taking the steps that it has designed and implemented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 its execution policy to obtain the best possible result for the execution 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 xml:space="preserve">those </w:t>
      </w:r>
      <w:r>
        <w:rPr>
          <w:rFonts w:ascii="Times New Roman"/>
          <w:sz w:val="24"/>
        </w:rPr>
        <w:lastRenderedPageBreak/>
        <w:t>orders in respect of the elements covered by those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instructions;</w:t>
      </w:r>
    </w:p>
    <w:p w:rsidR="00CF2466" w:rsidRDefault="00381F90" w:rsidP="00381F90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summary of the selection process for execution venues, execution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 xml:space="preserve">strategies employed, the procedures and process used to </w:t>
      </w:r>
      <w:proofErr w:type="spellStart"/>
      <w:r>
        <w:rPr>
          <w:rFonts w:ascii="Times New Roman"/>
          <w:sz w:val="24"/>
        </w:rPr>
        <w:t>analyse</w:t>
      </w:r>
      <w:proofErr w:type="spellEnd"/>
      <w:r>
        <w:rPr>
          <w:rFonts w:ascii="Times New Roman"/>
          <w:sz w:val="24"/>
        </w:rPr>
        <w:t xml:space="preserve"> the quality 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execution obtained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monitor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verify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possible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results were obtained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clients.</w:t>
      </w:r>
    </w:p>
    <w:p w:rsidR="00CF2466" w:rsidRDefault="00381F90">
      <w:pPr>
        <w:pStyle w:val="BodyText"/>
        <w:ind w:right="959" w:firstLine="0"/>
        <w:jc w:val="both"/>
      </w:pPr>
      <w:r>
        <w:t>That</w:t>
      </w:r>
      <w:r>
        <w:rPr>
          <w:spacing w:val="22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provided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durable</w:t>
      </w:r>
      <w:r>
        <w:rPr>
          <w:spacing w:val="20"/>
        </w:rPr>
        <w:t xml:space="preserve"> </w:t>
      </w:r>
      <w:r>
        <w:t>medium,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means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website (where that does not constitute a durable medium) provided that the</w:t>
      </w:r>
      <w:r>
        <w:rPr>
          <w:spacing w:val="46"/>
        </w:rPr>
        <w:t xml:space="preserve"> </w:t>
      </w:r>
      <w:r>
        <w:t>conditions specified in Article 3(2) are</w:t>
      </w:r>
      <w:r>
        <w:rPr>
          <w:spacing w:val="-5"/>
        </w:rPr>
        <w:t xml:space="preserve"> </w:t>
      </w:r>
      <w:r>
        <w:t>satisfied.</w:t>
      </w:r>
    </w:p>
    <w:p w:rsidR="00CF2466" w:rsidRPr="00E26A1E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different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fees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depending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venue,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 firm shall explain these differences in sufficient detail in order to allow the client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to understand the advantages and the disadvantages of the choice of a single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execution venue.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52"/>
        <w:ind w:right="954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invite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choose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venue,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fair,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clear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and not misleading information shall be provided to prevent the client from choosing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one execution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venue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rather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another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sole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price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by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firm.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third-party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payments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Article 24(9)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Directive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2014/65/EU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inform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inducements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that 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venues.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specify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 fees charged by the investment firm to all counterparties involved in 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transaction, and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fees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vary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depending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client,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indicate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 maximum fees or range of the fees that may 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payable.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3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charges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participant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transaction,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 compliance with Article 24(9) of Directive 2014/65/EC and its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implementing measures,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inform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value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monetary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non- monetary benefits received by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firm.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 a client makes reasonable and proportionate requests for information about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its policies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arrangements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reviewed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that investment firm shall answer clearly and within a reasonable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time.</w:t>
      </w:r>
    </w:p>
    <w:p w:rsidR="00CF2466" w:rsidRDefault="00381F90" w:rsidP="00381F90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executes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orders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retail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clients,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those clients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summary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policy,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focused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incur. 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summary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link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recent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quality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data published in accordance with Article 27(3) of Directive 2014/65/EC for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each execution venue listed by the investment firm in its execution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policy.</w:t>
      </w:r>
    </w:p>
    <w:sectPr w:rsidR="00CF2466" w:rsidSect="00B57260">
      <w:headerReference w:type="default" r:id="rId8"/>
      <w:footerReference w:type="default" r:id="rId9"/>
      <w:headerReference w:type="first" r:id="rId10"/>
      <w:pgSz w:w="11910" w:h="16840" w:code="9"/>
      <w:pgMar w:top="1060" w:right="459" w:bottom="1179" w:left="459" w:header="0" w:footer="998" w:gutter="0"/>
      <w:pgNumType w:start="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FE" w:rsidRDefault="00381F90">
      <w:r>
        <w:separator/>
      </w:r>
    </w:p>
  </w:endnote>
  <w:endnote w:type="continuationSeparator" w:id="0">
    <w:p w:rsidR="004B72FE" w:rsidRDefault="003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66" w:rsidRDefault="00D14A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4pt;margin-top:780.95pt;width:35.4pt;height:26pt;z-index:-71320;mso-position-horizontal-relative:page;mso-position-vertical-relative:page" filled="f" stroked="f">
          <v:textbox inset="0,0,0,0">
            <w:txbxContent>
              <w:p w:rsidR="00CF2466" w:rsidRDefault="00381F90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2.6pt;margin-top:780.95pt;width:35.4pt;height:26pt;z-index:-71296;mso-position-horizontal-relative:page;mso-position-vertical-relative:page" filled="f" stroked="f">
          <v:textbox inset="0,0,0,0">
            <w:txbxContent>
              <w:p w:rsidR="00CF2466" w:rsidRDefault="00381F90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6pt;margin-top:790.75pt;width:16pt;height:14pt;z-index:-71272;mso-position-horizontal-relative:page;mso-position-vertical-relative:page" filled="f" stroked="f">
          <v:textbox inset="0,0,0,0">
            <w:txbxContent>
              <w:p w:rsidR="00CF2466" w:rsidRDefault="00381F9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14A0F">
                  <w:rPr>
                    <w:noProof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FE" w:rsidRDefault="00381F90">
      <w:r>
        <w:separator/>
      </w:r>
    </w:p>
  </w:footnote>
  <w:footnote w:type="continuationSeparator" w:id="0">
    <w:p w:rsidR="004B72FE" w:rsidRDefault="00381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66" w:rsidRDefault="00CF246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60" w:rsidRDefault="00B57260">
    <w:pPr>
      <w:pStyle w:val="Header"/>
    </w:pPr>
  </w:p>
  <w:p w:rsidR="00B57260" w:rsidRDefault="00B57260">
    <w:pPr>
      <w:pStyle w:val="Header"/>
    </w:pPr>
  </w:p>
  <w:p w:rsidR="00B57260" w:rsidRDefault="00B57260" w:rsidP="00B57260">
    <w:pPr>
      <w:pStyle w:val="Header"/>
      <w:ind w:left="993"/>
    </w:pPr>
    <w:r>
      <w:rPr>
        <w:noProof/>
        <w:lang w:val="en-GB" w:eastAsia="en-GB"/>
      </w:rPr>
      <w:drawing>
        <wp:inline distT="0" distB="0" distL="0" distR="0" wp14:anchorId="6CBD2198" wp14:editId="2EBEC5D9">
          <wp:extent cx="1670400" cy="81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8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7260" w:rsidRDefault="00B57260" w:rsidP="00B57260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F20"/>
    <w:multiLevelType w:val="hybridMultilevel"/>
    <w:tmpl w:val="C7D6082A"/>
    <w:lvl w:ilvl="0" w:tplc="A78AEAB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01C2DBC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0D327B52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554CD57A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62109A70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47B0C2F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30941352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98580E90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12D0F50E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">
    <w:nsid w:val="05C62379"/>
    <w:multiLevelType w:val="hybridMultilevel"/>
    <w:tmpl w:val="419A14A4"/>
    <w:lvl w:ilvl="0" w:tplc="3BA0B5E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06AF18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9238D19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606D38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39748F2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1FB49EC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AE2ECC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FAE840F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246EA0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">
    <w:nsid w:val="0CB22CB2"/>
    <w:multiLevelType w:val="hybridMultilevel"/>
    <w:tmpl w:val="C22226BC"/>
    <w:lvl w:ilvl="0" w:tplc="7C32278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066C71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92C148A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65ACD56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9C44703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2026B45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A5A42AD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19067E3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553A286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">
    <w:nsid w:val="0E904AA3"/>
    <w:multiLevelType w:val="hybridMultilevel"/>
    <w:tmpl w:val="2A2E9D70"/>
    <w:lvl w:ilvl="0" w:tplc="50786B7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94E30C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778721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90C08E7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0DA840B8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F62955E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5C0BD9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B0A708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018CA4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4">
    <w:nsid w:val="135029F8"/>
    <w:multiLevelType w:val="hybridMultilevel"/>
    <w:tmpl w:val="76A629BE"/>
    <w:lvl w:ilvl="0" w:tplc="D624B9A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A70546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C7EDB3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A80B47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F98AEB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EBC406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DFAECD5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D3A378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AFAF52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5">
    <w:nsid w:val="1BF53FD6"/>
    <w:multiLevelType w:val="hybridMultilevel"/>
    <w:tmpl w:val="7F381CD6"/>
    <w:lvl w:ilvl="0" w:tplc="8B7EE7A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6EDDAA">
      <w:start w:val="1"/>
      <w:numFmt w:val="lowerLetter"/>
      <w:lvlText w:val="(%2)"/>
      <w:lvlJc w:val="left"/>
      <w:pPr>
        <w:ind w:left="1806" w:hanging="59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41584240">
      <w:start w:val="1"/>
      <w:numFmt w:val="bullet"/>
      <w:lvlText w:val="•"/>
      <w:lvlJc w:val="left"/>
      <w:pPr>
        <w:ind w:left="3336" w:hanging="591"/>
      </w:pPr>
      <w:rPr>
        <w:rFonts w:hint="default"/>
      </w:rPr>
    </w:lvl>
    <w:lvl w:ilvl="3" w:tplc="0358AE1A">
      <w:start w:val="1"/>
      <w:numFmt w:val="bullet"/>
      <w:lvlText w:val="•"/>
      <w:lvlJc w:val="left"/>
      <w:pPr>
        <w:ind w:left="4292" w:hanging="591"/>
      </w:pPr>
      <w:rPr>
        <w:rFonts w:hint="default"/>
      </w:rPr>
    </w:lvl>
    <w:lvl w:ilvl="4" w:tplc="888861A6">
      <w:start w:val="1"/>
      <w:numFmt w:val="bullet"/>
      <w:lvlText w:val="•"/>
      <w:lvlJc w:val="left"/>
      <w:pPr>
        <w:ind w:left="5249" w:hanging="591"/>
      </w:pPr>
      <w:rPr>
        <w:rFonts w:hint="default"/>
      </w:rPr>
    </w:lvl>
    <w:lvl w:ilvl="5" w:tplc="91EC8436">
      <w:start w:val="1"/>
      <w:numFmt w:val="bullet"/>
      <w:lvlText w:val="•"/>
      <w:lvlJc w:val="left"/>
      <w:pPr>
        <w:ind w:left="6205" w:hanging="591"/>
      </w:pPr>
      <w:rPr>
        <w:rFonts w:hint="default"/>
      </w:rPr>
    </w:lvl>
    <w:lvl w:ilvl="6" w:tplc="AF9EEC04">
      <w:start w:val="1"/>
      <w:numFmt w:val="bullet"/>
      <w:lvlText w:val="•"/>
      <w:lvlJc w:val="left"/>
      <w:pPr>
        <w:ind w:left="7162" w:hanging="591"/>
      </w:pPr>
      <w:rPr>
        <w:rFonts w:hint="default"/>
      </w:rPr>
    </w:lvl>
    <w:lvl w:ilvl="7" w:tplc="1CC8AB40">
      <w:start w:val="1"/>
      <w:numFmt w:val="bullet"/>
      <w:lvlText w:val="•"/>
      <w:lvlJc w:val="left"/>
      <w:pPr>
        <w:ind w:left="8118" w:hanging="591"/>
      </w:pPr>
      <w:rPr>
        <w:rFonts w:hint="default"/>
      </w:rPr>
    </w:lvl>
    <w:lvl w:ilvl="8" w:tplc="61601364">
      <w:start w:val="1"/>
      <w:numFmt w:val="bullet"/>
      <w:lvlText w:val="•"/>
      <w:lvlJc w:val="left"/>
      <w:pPr>
        <w:ind w:left="9074" w:hanging="591"/>
      </w:pPr>
      <w:rPr>
        <w:rFonts w:hint="default"/>
      </w:rPr>
    </w:lvl>
  </w:abstractNum>
  <w:abstractNum w:abstractNumId="6">
    <w:nsid w:val="23C02E9C"/>
    <w:multiLevelType w:val="hybridMultilevel"/>
    <w:tmpl w:val="CA9C4BA8"/>
    <w:lvl w:ilvl="0" w:tplc="ED5209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36762E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EF4509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CA2801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CEBA3BC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5A667E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0D6511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5903BA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0926507E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7">
    <w:nsid w:val="2F604269"/>
    <w:multiLevelType w:val="hybridMultilevel"/>
    <w:tmpl w:val="FF18D13A"/>
    <w:lvl w:ilvl="0" w:tplc="4B8EDF02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1B656F8">
      <w:start w:val="1"/>
      <w:numFmt w:val="bullet"/>
      <w:lvlText w:val="•"/>
      <w:lvlJc w:val="left"/>
      <w:pPr>
        <w:ind w:left="3240" w:hanging="568"/>
      </w:pPr>
      <w:rPr>
        <w:rFonts w:hint="default"/>
      </w:rPr>
    </w:lvl>
    <w:lvl w:ilvl="2" w:tplc="DEFE7676">
      <w:start w:val="1"/>
      <w:numFmt w:val="bullet"/>
      <w:lvlText w:val="•"/>
      <w:lvlJc w:val="left"/>
      <w:pPr>
        <w:ind w:left="4101" w:hanging="568"/>
      </w:pPr>
      <w:rPr>
        <w:rFonts w:hint="default"/>
      </w:rPr>
    </w:lvl>
    <w:lvl w:ilvl="3" w:tplc="2AA41A24">
      <w:start w:val="1"/>
      <w:numFmt w:val="bullet"/>
      <w:lvlText w:val="•"/>
      <w:lvlJc w:val="left"/>
      <w:pPr>
        <w:ind w:left="4962" w:hanging="568"/>
      </w:pPr>
      <w:rPr>
        <w:rFonts w:hint="default"/>
      </w:rPr>
    </w:lvl>
    <w:lvl w:ilvl="4" w:tplc="26784106">
      <w:start w:val="1"/>
      <w:numFmt w:val="bullet"/>
      <w:lvlText w:val="•"/>
      <w:lvlJc w:val="left"/>
      <w:pPr>
        <w:ind w:left="5823" w:hanging="568"/>
      </w:pPr>
      <w:rPr>
        <w:rFonts w:hint="default"/>
      </w:rPr>
    </w:lvl>
    <w:lvl w:ilvl="5" w:tplc="FA345996">
      <w:start w:val="1"/>
      <w:numFmt w:val="bullet"/>
      <w:lvlText w:val="•"/>
      <w:lvlJc w:val="left"/>
      <w:pPr>
        <w:ind w:left="6683" w:hanging="568"/>
      </w:pPr>
      <w:rPr>
        <w:rFonts w:hint="default"/>
      </w:rPr>
    </w:lvl>
    <w:lvl w:ilvl="6" w:tplc="5738584C">
      <w:start w:val="1"/>
      <w:numFmt w:val="bullet"/>
      <w:lvlText w:val="•"/>
      <w:lvlJc w:val="left"/>
      <w:pPr>
        <w:ind w:left="7544" w:hanging="568"/>
      </w:pPr>
      <w:rPr>
        <w:rFonts w:hint="default"/>
      </w:rPr>
    </w:lvl>
    <w:lvl w:ilvl="7" w:tplc="D5327958">
      <w:start w:val="1"/>
      <w:numFmt w:val="bullet"/>
      <w:lvlText w:val="•"/>
      <w:lvlJc w:val="left"/>
      <w:pPr>
        <w:ind w:left="8405" w:hanging="568"/>
      </w:pPr>
      <w:rPr>
        <w:rFonts w:hint="default"/>
      </w:rPr>
    </w:lvl>
    <w:lvl w:ilvl="8" w:tplc="B832E3F0">
      <w:start w:val="1"/>
      <w:numFmt w:val="bullet"/>
      <w:lvlText w:val="•"/>
      <w:lvlJc w:val="left"/>
      <w:pPr>
        <w:ind w:left="9266" w:hanging="568"/>
      </w:pPr>
      <w:rPr>
        <w:rFonts w:hint="default"/>
      </w:rPr>
    </w:lvl>
  </w:abstractNum>
  <w:abstractNum w:abstractNumId="8">
    <w:nsid w:val="30195C3A"/>
    <w:multiLevelType w:val="hybridMultilevel"/>
    <w:tmpl w:val="B2120B36"/>
    <w:lvl w:ilvl="0" w:tplc="7610E51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50A3746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F8EC298C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57BE84FE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9336E3DE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78B8C63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0542FD3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42B22D46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3E780CAC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9">
    <w:nsid w:val="341837AA"/>
    <w:multiLevelType w:val="hybridMultilevel"/>
    <w:tmpl w:val="71C64FEA"/>
    <w:lvl w:ilvl="0" w:tplc="33021E28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5FEBDA6">
      <w:start w:val="1"/>
      <w:numFmt w:val="bullet"/>
      <w:lvlText w:val="•"/>
      <w:lvlJc w:val="left"/>
      <w:pPr>
        <w:ind w:left="3240" w:hanging="568"/>
      </w:pPr>
      <w:rPr>
        <w:rFonts w:hint="default"/>
      </w:rPr>
    </w:lvl>
    <w:lvl w:ilvl="2" w:tplc="258A6E3A">
      <w:start w:val="1"/>
      <w:numFmt w:val="bullet"/>
      <w:lvlText w:val="•"/>
      <w:lvlJc w:val="left"/>
      <w:pPr>
        <w:ind w:left="4101" w:hanging="568"/>
      </w:pPr>
      <w:rPr>
        <w:rFonts w:hint="default"/>
      </w:rPr>
    </w:lvl>
    <w:lvl w:ilvl="3" w:tplc="3C362E1E">
      <w:start w:val="1"/>
      <w:numFmt w:val="bullet"/>
      <w:lvlText w:val="•"/>
      <w:lvlJc w:val="left"/>
      <w:pPr>
        <w:ind w:left="4962" w:hanging="568"/>
      </w:pPr>
      <w:rPr>
        <w:rFonts w:hint="default"/>
      </w:rPr>
    </w:lvl>
    <w:lvl w:ilvl="4" w:tplc="81B43506">
      <w:start w:val="1"/>
      <w:numFmt w:val="bullet"/>
      <w:lvlText w:val="•"/>
      <w:lvlJc w:val="left"/>
      <w:pPr>
        <w:ind w:left="5823" w:hanging="568"/>
      </w:pPr>
      <w:rPr>
        <w:rFonts w:hint="default"/>
      </w:rPr>
    </w:lvl>
    <w:lvl w:ilvl="5" w:tplc="8A0EB59C">
      <w:start w:val="1"/>
      <w:numFmt w:val="bullet"/>
      <w:lvlText w:val="•"/>
      <w:lvlJc w:val="left"/>
      <w:pPr>
        <w:ind w:left="6683" w:hanging="568"/>
      </w:pPr>
      <w:rPr>
        <w:rFonts w:hint="default"/>
      </w:rPr>
    </w:lvl>
    <w:lvl w:ilvl="6" w:tplc="92CC46AA">
      <w:start w:val="1"/>
      <w:numFmt w:val="bullet"/>
      <w:lvlText w:val="•"/>
      <w:lvlJc w:val="left"/>
      <w:pPr>
        <w:ind w:left="7544" w:hanging="568"/>
      </w:pPr>
      <w:rPr>
        <w:rFonts w:hint="default"/>
      </w:rPr>
    </w:lvl>
    <w:lvl w:ilvl="7" w:tplc="7BB8C9A8">
      <w:start w:val="1"/>
      <w:numFmt w:val="bullet"/>
      <w:lvlText w:val="•"/>
      <w:lvlJc w:val="left"/>
      <w:pPr>
        <w:ind w:left="8405" w:hanging="568"/>
      </w:pPr>
      <w:rPr>
        <w:rFonts w:hint="default"/>
      </w:rPr>
    </w:lvl>
    <w:lvl w:ilvl="8" w:tplc="DE6A462A">
      <w:start w:val="1"/>
      <w:numFmt w:val="bullet"/>
      <w:lvlText w:val="•"/>
      <w:lvlJc w:val="left"/>
      <w:pPr>
        <w:ind w:left="9266" w:hanging="568"/>
      </w:pPr>
      <w:rPr>
        <w:rFonts w:hint="default"/>
      </w:rPr>
    </w:lvl>
  </w:abstractNum>
  <w:abstractNum w:abstractNumId="10">
    <w:nsid w:val="35D60D3B"/>
    <w:multiLevelType w:val="hybridMultilevel"/>
    <w:tmpl w:val="74CAC65A"/>
    <w:lvl w:ilvl="0" w:tplc="F648AA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638A720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8C4302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895277F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D82E0B0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70F0234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C0E0F6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49EB546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BF7A43E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1">
    <w:nsid w:val="39DB43AA"/>
    <w:multiLevelType w:val="hybridMultilevel"/>
    <w:tmpl w:val="161C77E8"/>
    <w:lvl w:ilvl="0" w:tplc="76F2837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BB242C0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2FE00CC0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88EC46F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270C51F8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20887D78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F86E4DB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D7C2A892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5EF44F86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2">
    <w:nsid w:val="3E410BBF"/>
    <w:multiLevelType w:val="hybridMultilevel"/>
    <w:tmpl w:val="8FD0BE22"/>
    <w:lvl w:ilvl="0" w:tplc="C020185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11EE3E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D2E648B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973C44D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5EEC0E7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B9E4E7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BB03E5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B1B60F2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8A4A8B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3">
    <w:nsid w:val="3F794CF6"/>
    <w:multiLevelType w:val="hybridMultilevel"/>
    <w:tmpl w:val="826E2CC0"/>
    <w:lvl w:ilvl="0" w:tplc="49CEFBF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FA8ACE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C762D5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2E6AEB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8B6186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DFE03BC8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18A1C3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F0E08A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1B2CAC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4">
    <w:nsid w:val="47C7638B"/>
    <w:multiLevelType w:val="hybridMultilevel"/>
    <w:tmpl w:val="4CA23C5C"/>
    <w:lvl w:ilvl="0" w:tplc="1D70C5E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782C3E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A1664A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1C487B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FBA57A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64461B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1F44E93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E5828B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B8E6E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5">
    <w:nsid w:val="499A696E"/>
    <w:multiLevelType w:val="hybridMultilevel"/>
    <w:tmpl w:val="E68E90E4"/>
    <w:lvl w:ilvl="0" w:tplc="193C5FA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D6518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7E4BD5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2C52D42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8BF6E46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D6A9E1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3868C8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D1901350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201A0FA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6">
    <w:nsid w:val="4DE918F1"/>
    <w:multiLevelType w:val="hybridMultilevel"/>
    <w:tmpl w:val="0EA0899E"/>
    <w:lvl w:ilvl="0" w:tplc="F7E6D35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9EAD1A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18C9DC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548C157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4D08B8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1560B1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B852D65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D6AC37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D4A72A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7">
    <w:nsid w:val="515B5A41"/>
    <w:multiLevelType w:val="hybridMultilevel"/>
    <w:tmpl w:val="96ACDD98"/>
    <w:lvl w:ilvl="0" w:tplc="BDC6C57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2281BA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5C28D0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E51E2CE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311C8ED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B418887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788E469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FBA178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078C6F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8">
    <w:nsid w:val="6030536B"/>
    <w:multiLevelType w:val="hybridMultilevel"/>
    <w:tmpl w:val="EC984A76"/>
    <w:lvl w:ilvl="0" w:tplc="1548CC4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77E658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6FB86DC2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21D2CB96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BE881AF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D8A0FB68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80F0FDD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B3100FFC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9E12B888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9">
    <w:nsid w:val="62C97C50"/>
    <w:multiLevelType w:val="hybridMultilevel"/>
    <w:tmpl w:val="998E6580"/>
    <w:lvl w:ilvl="0" w:tplc="768A191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E6C9A3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40C6E8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85B4DE4A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64B86A0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BA2451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960CB2DC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5C203D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B17217E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0">
    <w:nsid w:val="67EA557B"/>
    <w:multiLevelType w:val="hybridMultilevel"/>
    <w:tmpl w:val="1DEAF2DA"/>
    <w:lvl w:ilvl="0" w:tplc="4BEC138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B12774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03A2C4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407AF21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B28272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8296339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4A18E78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E9F4D5B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926F40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1">
    <w:nsid w:val="68BD671D"/>
    <w:multiLevelType w:val="hybridMultilevel"/>
    <w:tmpl w:val="1510878C"/>
    <w:lvl w:ilvl="0" w:tplc="913C2E7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16CA20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B706FAA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C86CAF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0C20A06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C7385E1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77067F5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114282D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16ADD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2">
    <w:nsid w:val="6AC378B4"/>
    <w:multiLevelType w:val="hybridMultilevel"/>
    <w:tmpl w:val="C36A6DE2"/>
    <w:lvl w:ilvl="0" w:tplc="0B308BD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A886756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EC029968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97FE55D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F034A07C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507890AA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4524EAF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1478A7CC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BFD62424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23">
    <w:nsid w:val="6AFD4633"/>
    <w:multiLevelType w:val="hybridMultilevel"/>
    <w:tmpl w:val="AEAED364"/>
    <w:lvl w:ilvl="0" w:tplc="2E3C438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E6A4964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46EA0F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E18EBCC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747AF73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C7F2227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B1A340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A64C33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8AD4E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4">
    <w:nsid w:val="6E7D0B7E"/>
    <w:multiLevelType w:val="hybridMultilevel"/>
    <w:tmpl w:val="2BD28928"/>
    <w:lvl w:ilvl="0" w:tplc="257C803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644467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89079B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F8DCA6D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1208127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40AECF5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8A58D3E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F446D5C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ECE481FA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5">
    <w:nsid w:val="703B647E"/>
    <w:multiLevelType w:val="hybridMultilevel"/>
    <w:tmpl w:val="0658A5A4"/>
    <w:lvl w:ilvl="0" w:tplc="10225BF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5F0B29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5D0820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F3189DC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AB0EAA28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650E4DF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2ACEA55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ECAC70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F5E654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6">
    <w:nsid w:val="73863382"/>
    <w:multiLevelType w:val="hybridMultilevel"/>
    <w:tmpl w:val="6FD6D688"/>
    <w:lvl w:ilvl="0" w:tplc="B406BA6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4E2A17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E1C9E3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28549BD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AA68EF6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020CC75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1A30F22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389AC2B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2A6B3B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7">
    <w:nsid w:val="79517777"/>
    <w:multiLevelType w:val="hybridMultilevel"/>
    <w:tmpl w:val="BC1884BC"/>
    <w:lvl w:ilvl="0" w:tplc="8BBE821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2CA1F5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CB342786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CBC25744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577A425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641CE346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B262D3D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31C844C8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0A70E160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28">
    <w:nsid w:val="7B350426"/>
    <w:multiLevelType w:val="hybridMultilevel"/>
    <w:tmpl w:val="B688FD88"/>
    <w:lvl w:ilvl="0" w:tplc="F6828C9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BC4234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BC6A40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9A012F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048477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298729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384379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59ADB0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67C7FC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9">
    <w:nsid w:val="7F303744"/>
    <w:multiLevelType w:val="hybridMultilevel"/>
    <w:tmpl w:val="F4F633E4"/>
    <w:lvl w:ilvl="0" w:tplc="42C042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24CEF4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3ECBFB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51F8F28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37895F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7F6CFA5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9AEAC2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72907044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A86811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0">
    <w:nsid w:val="7F4708BB"/>
    <w:multiLevelType w:val="hybridMultilevel"/>
    <w:tmpl w:val="432C52EE"/>
    <w:lvl w:ilvl="0" w:tplc="E518621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BF434F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C0AEF9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CB8B6D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5D83A1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99B091A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32D4429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0BC62C4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0CE2A56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7"/>
  </w:num>
  <w:num w:numId="5">
    <w:abstractNumId w:val="26"/>
  </w:num>
  <w:num w:numId="6">
    <w:abstractNumId w:val="23"/>
  </w:num>
  <w:num w:numId="7">
    <w:abstractNumId w:val="30"/>
  </w:num>
  <w:num w:numId="8">
    <w:abstractNumId w:val="18"/>
  </w:num>
  <w:num w:numId="9">
    <w:abstractNumId w:val="27"/>
  </w:num>
  <w:num w:numId="10">
    <w:abstractNumId w:val="19"/>
  </w:num>
  <w:num w:numId="11">
    <w:abstractNumId w:val="20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  <w:num w:numId="17">
    <w:abstractNumId w:val="25"/>
  </w:num>
  <w:num w:numId="18">
    <w:abstractNumId w:val="10"/>
  </w:num>
  <w:num w:numId="19">
    <w:abstractNumId w:val="7"/>
  </w:num>
  <w:num w:numId="20">
    <w:abstractNumId w:val="2"/>
  </w:num>
  <w:num w:numId="21">
    <w:abstractNumId w:val="16"/>
  </w:num>
  <w:num w:numId="22">
    <w:abstractNumId w:val="4"/>
  </w:num>
  <w:num w:numId="23">
    <w:abstractNumId w:val="29"/>
  </w:num>
  <w:num w:numId="24">
    <w:abstractNumId w:val="13"/>
  </w:num>
  <w:num w:numId="25">
    <w:abstractNumId w:val="5"/>
  </w:num>
  <w:num w:numId="26">
    <w:abstractNumId w:val="8"/>
  </w:num>
  <w:num w:numId="27">
    <w:abstractNumId w:val="15"/>
  </w:num>
  <w:num w:numId="28">
    <w:abstractNumId w:val="24"/>
  </w:num>
  <w:num w:numId="29">
    <w:abstractNumId w:val="28"/>
  </w:num>
  <w:num w:numId="30">
    <w:abstractNumId w:val="3"/>
  </w:num>
  <w:num w:numId="31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2466"/>
    <w:rsid w:val="00335736"/>
    <w:rsid w:val="00381F90"/>
    <w:rsid w:val="004B72FE"/>
    <w:rsid w:val="00B57260"/>
    <w:rsid w:val="00CF2466"/>
    <w:rsid w:val="00D14A0F"/>
    <w:rsid w:val="00E2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22"/>
      <w:ind w:left="9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243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965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806" w:hanging="5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7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260"/>
  </w:style>
  <w:style w:type="paragraph" w:styleId="Footer">
    <w:name w:val="footer"/>
    <w:basedOn w:val="Normal"/>
    <w:link w:val="FooterChar"/>
    <w:uiPriority w:val="99"/>
    <w:unhideWhenUsed/>
    <w:rsid w:val="00B57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260"/>
  </w:style>
  <w:style w:type="paragraph" w:styleId="BalloonText">
    <w:name w:val="Balloon Text"/>
    <w:basedOn w:val="Normal"/>
    <w:link w:val="BalloonTextChar"/>
    <w:uiPriority w:val="99"/>
    <w:semiHidden/>
    <w:unhideWhenUsed/>
    <w:rsid w:val="00B57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C(2016)2398/F1 - EN</vt:lpstr>
    </vt:vector>
  </TitlesOfParts>
  <Company>Simmons &amp; Simmons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C(2016)2398/F1 - EN</dc:title>
  <dc:subject>COMMISSION DELEGATED REGULATION (EU) …/... supplementing Directive 2014/65/EU of the European Parliament and of the Council as regards organisational requirements and operating conditions for investment firms and defined terms for the purposes of that Directive</dc:subject>
  <dc:creator>DG FISMA - DG Financial Stability, Financial Services and Capital Markets Union</dc:creator>
  <cp:lastModifiedBy>Simmons &amp; Simmons</cp:lastModifiedBy>
  <cp:revision>2</cp:revision>
  <dcterms:created xsi:type="dcterms:W3CDTF">2016-05-15T21:09:00Z</dcterms:created>
  <dcterms:modified xsi:type="dcterms:W3CDTF">2016-05-15T21:09:00Z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PDF CoDe 2015.5473 (c) 2002-2015 European Commission</vt:lpwstr>
  </property>
  <property fmtid="{D5CDD505-2E9C-101B-9397-08002B2CF9AE}" pid="4" name="LastSaved">
    <vt:filetime>2016-05-13T00:00:00Z</vt:filetime>
  </property>
  <property fmtid="{D5CDD505-2E9C-101B-9397-08002B2CF9AE}" pid="5" name="WS_TRACKING_ID">
    <vt:lpwstr>e3181b85-16b1-4397-ac6a-aa31ef4dc991</vt:lpwstr>
  </property>
</Properties>
</file>