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A1" w:rsidRPr="002971A1" w:rsidRDefault="005D0848" w:rsidP="002971A1">
      <w:pPr>
        <w:pStyle w:val="ssPara1"/>
        <w:jc w:val="center"/>
        <w:rPr>
          <w:b/>
        </w:rPr>
      </w:pPr>
      <w:bookmarkStart w:id="0" w:name="_GoBack"/>
      <w:bookmarkEnd w:id="0"/>
      <w:r w:rsidRPr="005D0848">
        <w:rPr>
          <w:b/>
        </w:rPr>
        <w:t>MiFID2 REMUNERATION</w:t>
      </w:r>
    </w:p>
    <w:p w:rsidR="002971A1" w:rsidRPr="002971A1" w:rsidRDefault="002971A1" w:rsidP="002971A1">
      <w:pPr>
        <w:pStyle w:val="ssPara1"/>
        <w:jc w:val="center"/>
        <w:rPr>
          <w:b/>
        </w:rPr>
      </w:pPr>
      <w:r w:rsidRPr="002971A1">
        <w:rPr>
          <w:b/>
        </w:rPr>
        <w:t xml:space="preserve">ESMA </w:t>
      </w:r>
      <w:hyperlink r:id="rId8" w:history="1">
        <w:r w:rsidRPr="005D0848">
          <w:rPr>
            <w:rStyle w:val="Hyperlink"/>
            <w:b/>
          </w:rPr>
          <w:t>Technical Advice</w:t>
        </w:r>
      </w:hyperlink>
      <w:r w:rsidRPr="002971A1">
        <w:rPr>
          <w:b/>
        </w:rPr>
        <w:t xml:space="preserve"> (19 December 2014)</w:t>
      </w:r>
      <w:r>
        <w:rPr>
          <w:b/>
        </w:rPr>
        <w:br/>
      </w:r>
      <w:r w:rsidRPr="002971A1">
        <w:rPr>
          <w:b/>
        </w:rPr>
        <w:t>vs.</w:t>
      </w:r>
      <w:r>
        <w:rPr>
          <w:b/>
        </w:rPr>
        <w:br/>
      </w:r>
      <w:r w:rsidRPr="002971A1">
        <w:rPr>
          <w:b/>
        </w:rPr>
        <w:t xml:space="preserve">European Commission </w:t>
      </w:r>
      <w:hyperlink r:id="rId9" w:history="1">
        <w:r w:rsidRPr="005D0848">
          <w:rPr>
            <w:rStyle w:val="Hyperlink"/>
            <w:b/>
          </w:rPr>
          <w:t>Draft Delegated Regulation</w:t>
        </w:r>
      </w:hyperlink>
      <w:r w:rsidRPr="002971A1">
        <w:rPr>
          <w:b/>
        </w:rPr>
        <w:t xml:space="preserve"> (25 April 2016)</w:t>
      </w:r>
    </w:p>
    <w:p w:rsidR="002971A1" w:rsidRPr="001E0645" w:rsidRDefault="002971A1" w:rsidP="00A7460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tblGrid>
      <w:tr w:rsidR="002971A1" w:rsidRPr="001E0645" w:rsidTr="002971A1">
        <w:tc>
          <w:tcPr>
            <w:tcW w:w="675" w:type="dxa"/>
            <w:shd w:val="clear" w:color="auto" w:fill="92D050"/>
          </w:tcPr>
          <w:p w:rsidR="002971A1" w:rsidRPr="001E0645" w:rsidRDefault="002971A1" w:rsidP="00A7460B">
            <w:pPr>
              <w:rPr>
                <w:rFonts w:cs="Arial"/>
                <w:szCs w:val="20"/>
              </w:rPr>
            </w:pPr>
          </w:p>
        </w:tc>
        <w:tc>
          <w:tcPr>
            <w:tcW w:w="7938" w:type="dxa"/>
          </w:tcPr>
          <w:p w:rsidR="002971A1" w:rsidRPr="001E0645" w:rsidRDefault="002971A1" w:rsidP="001F21EF">
            <w:pPr>
              <w:rPr>
                <w:rFonts w:cs="Arial"/>
                <w:szCs w:val="20"/>
              </w:rPr>
            </w:pPr>
            <w:r w:rsidRPr="001E0645">
              <w:rPr>
                <w:rFonts w:cs="Arial"/>
                <w:szCs w:val="20"/>
              </w:rPr>
              <w:t>No change or minor / immaterial change</w:t>
            </w:r>
          </w:p>
        </w:tc>
      </w:tr>
      <w:tr w:rsidR="002971A1" w:rsidRPr="001E0645" w:rsidTr="002971A1">
        <w:tc>
          <w:tcPr>
            <w:tcW w:w="675" w:type="dxa"/>
            <w:shd w:val="clear" w:color="auto" w:fill="FFC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Change to be reviewed, but not requiring gap assessment to be revisited with business</w:t>
            </w:r>
          </w:p>
        </w:tc>
      </w:tr>
      <w:tr w:rsidR="002971A1" w:rsidRPr="001E0645" w:rsidTr="002971A1">
        <w:tc>
          <w:tcPr>
            <w:tcW w:w="675" w:type="dxa"/>
            <w:shd w:val="clear" w:color="auto" w:fill="FF0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 xml:space="preserve">Significant change requiring detailed review </w:t>
            </w:r>
          </w:p>
        </w:tc>
      </w:tr>
    </w:tbl>
    <w:p w:rsidR="002971A1" w:rsidRPr="001E0645" w:rsidRDefault="002971A1" w:rsidP="00A7460B">
      <w:pPr>
        <w:rPr>
          <w:rFonts w:cs="Arial"/>
          <w:szCs w:val="20"/>
        </w:rPr>
      </w:pPr>
    </w:p>
    <w:p w:rsidR="002971A1" w:rsidRPr="001E0645" w:rsidRDefault="002971A1" w:rsidP="00B14584">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8931"/>
      </w:tblGrid>
      <w:tr w:rsidR="00C14BD4" w:rsidRPr="00C14BD4" w:rsidTr="00C14BD4">
        <w:tc>
          <w:tcPr>
            <w:tcW w:w="2518" w:type="dxa"/>
            <w:shd w:val="clear" w:color="auto" w:fill="32464D"/>
          </w:tcPr>
          <w:p w:rsidR="005D0848" w:rsidRPr="005D0848" w:rsidRDefault="005D0848" w:rsidP="005D0848">
            <w:pPr>
              <w:jc w:val="center"/>
              <w:rPr>
                <w:rFonts w:cs="Arial"/>
                <w:b/>
                <w:color w:val="FFFFFF" w:themeColor="background1"/>
                <w:szCs w:val="20"/>
              </w:rPr>
            </w:pPr>
            <w:r w:rsidRPr="005D0848">
              <w:rPr>
                <w:rFonts w:cs="Arial"/>
                <w:b/>
                <w:color w:val="FFFFFF" w:themeColor="background1"/>
                <w:szCs w:val="20"/>
              </w:rPr>
              <w:t>ESMA Technical Advice</w:t>
            </w:r>
          </w:p>
          <w:p w:rsidR="002971A1" w:rsidRPr="00C14BD4" w:rsidRDefault="005D0848" w:rsidP="005D0848">
            <w:pPr>
              <w:jc w:val="center"/>
              <w:rPr>
                <w:rFonts w:cs="Arial"/>
                <w:b/>
                <w:color w:val="FFFFFF" w:themeColor="background1"/>
                <w:szCs w:val="20"/>
              </w:rPr>
            </w:pPr>
            <w:r w:rsidRPr="005D0848">
              <w:rPr>
                <w:rFonts w:cs="Arial"/>
                <w:b/>
                <w:color w:val="FFFFFF" w:themeColor="background1"/>
                <w:szCs w:val="20"/>
              </w:rPr>
              <w:t>Section 2.11 pages 98-99</w:t>
            </w:r>
          </w:p>
        </w:tc>
        <w:tc>
          <w:tcPr>
            <w:tcW w:w="2693" w:type="dxa"/>
            <w:shd w:val="clear" w:color="auto" w:fill="32464D"/>
          </w:tcPr>
          <w:p w:rsidR="005D0848" w:rsidRPr="005D0848" w:rsidRDefault="005D0848" w:rsidP="005D0848">
            <w:pPr>
              <w:jc w:val="center"/>
              <w:rPr>
                <w:rFonts w:cs="Arial"/>
                <w:b/>
                <w:color w:val="FFFFFF" w:themeColor="background1"/>
                <w:szCs w:val="20"/>
              </w:rPr>
            </w:pPr>
            <w:r w:rsidRPr="005D0848">
              <w:rPr>
                <w:rFonts w:cs="Arial"/>
                <w:b/>
                <w:color w:val="FFFFFF" w:themeColor="background1"/>
                <w:szCs w:val="20"/>
              </w:rPr>
              <w:t>Commission Draft Delegated Regulation</w:t>
            </w:r>
          </w:p>
          <w:p w:rsidR="002971A1" w:rsidRPr="00C14BD4" w:rsidRDefault="005D0848" w:rsidP="005D0848">
            <w:pPr>
              <w:jc w:val="center"/>
              <w:rPr>
                <w:rFonts w:cs="Arial"/>
                <w:b/>
                <w:color w:val="FFFFFF" w:themeColor="background1"/>
                <w:szCs w:val="20"/>
              </w:rPr>
            </w:pPr>
            <w:r w:rsidRPr="005D0848">
              <w:rPr>
                <w:rFonts w:cs="Arial"/>
                <w:b/>
                <w:color w:val="FFFFFF" w:themeColor="background1"/>
                <w:szCs w:val="20"/>
              </w:rPr>
              <w:t>Article 27</w:t>
            </w:r>
          </w:p>
        </w:tc>
        <w:tc>
          <w:tcPr>
            <w:tcW w:w="8931" w:type="dxa"/>
            <w:shd w:val="clear" w:color="auto" w:fill="32464D"/>
          </w:tcPr>
          <w:p w:rsidR="002971A1" w:rsidRPr="00C14BD4" w:rsidRDefault="005D0848" w:rsidP="001955B3">
            <w:pPr>
              <w:jc w:val="center"/>
              <w:rPr>
                <w:rFonts w:cs="Arial"/>
                <w:b/>
                <w:color w:val="FFFFFF" w:themeColor="background1"/>
                <w:szCs w:val="20"/>
              </w:rPr>
            </w:pPr>
            <w:r w:rsidRPr="005D0848">
              <w:rPr>
                <w:rFonts w:cs="Arial"/>
                <w:b/>
                <w:color w:val="FFFFFF" w:themeColor="background1"/>
                <w:szCs w:val="20"/>
              </w:rPr>
              <w:t>Summary of Key Changes in Commission Draft Delegated Regulation</w:t>
            </w:r>
          </w:p>
        </w:tc>
      </w:tr>
      <w:tr w:rsidR="005D0848" w:rsidRPr="001E0645" w:rsidTr="005D0848">
        <w:tc>
          <w:tcPr>
            <w:tcW w:w="2518" w:type="dxa"/>
            <w:shd w:val="clear" w:color="auto" w:fill="auto"/>
          </w:tcPr>
          <w:p w:rsidR="005D0848" w:rsidRPr="00232944" w:rsidRDefault="005D0848" w:rsidP="007C0042">
            <w:r w:rsidRPr="00232944">
              <w:t>Paragraph 1</w:t>
            </w:r>
          </w:p>
        </w:tc>
        <w:tc>
          <w:tcPr>
            <w:tcW w:w="2693" w:type="dxa"/>
          </w:tcPr>
          <w:p w:rsidR="005D0848" w:rsidRPr="00232944" w:rsidRDefault="005D0848" w:rsidP="007C0042">
            <w:r w:rsidRPr="00232944">
              <w:t>N/A</w:t>
            </w:r>
          </w:p>
        </w:tc>
        <w:tc>
          <w:tcPr>
            <w:tcW w:w="8931" w:type="dxa"/>
            <w:shd w:val="clear" w:color="auto" w:fill="92D050"/>
          </w:tcPr>
          <w:p w:rsidR="005D0848" w:rsidRDefault="005D0848" w:rsidP="007C0042">
            <w:r w:rsidRPr="00232944">
              <w:t>Not included in Delegated Regulation. First paragraph of Technical Advice was a general summary of the suggestion action.</w:t>
            </w:r>
          </w:p>
        </w:tc>
      </w:tr>
      <w:tr w:rsidR="005D0848" w:rsidRPr="001E0645" w:rsidTr="005D0848">
        <w:tc>
          <w:tcPr>
            <w:tcW w:w="2518" w:type="dxa"/>
            <w:shd w:val="clear" w:color="auto" w:fill="auto"/>
          </w:tcPr>
          <w:p w:rsidR="005D0848" w:rsidRPr="00850FD8" w:rsidRDefault="005D0848" w:rsidP="00CD3A22">
            <w:r w:rsidRPr="00850FD8">
              <w:t>Paragraph 2</w:t>
            </w:r>
          </w:p>
        </w:tc>
        <w:tc>
          <w:tcPr>
            <w:tcW w:w="2693" w:type="dxa"/>
          </w:tcPr>
          <w:p w:rsidR="005D0848" w:rsidRPr="00850FD8" w:rsidRDefault="005D0848" w:rsidP="00CD3A22">
            <w:r w:rsidRPr="00850FD8">
              <w:t>Article 27(2)</w:t>
            </w:r>
          </w:p>
        </w:tc>
        <w:tc>
          <w:tcPr>
            <w:tcW w:w="8931" w:type="dxa"/>
            <w:shd w:val="clear" w:color="auto" w:fill="92D050"/>
          </w:tcPr>
          <w:p w:rsidR="005D0848" w:rsidRDefault="005D0848" w:rsidP="00CD3A22">
            <w:r w:rsidRPr="00850FD8">
              <w:t>Delegated Regulation increased scope of provision – removed requirement that impact is material. Otherwise same language.</w:t>
            </w:r>
          </w:p>
        </w:tc>
      </w:tr>
      <w:tr w:rsidR="005D0848" w:rsidRPr="001E0645" w:rsidTr="005D0848">
        <w:tc>
          <w:tcPr>
            <w:tcW w:w="2518" w:type="dxa"/>
            <w:shd w:val="clear" w:color="auto" w:fill="auto"/>
          </w:tcPr>
          <w:p w:rsidR="005D0848" w:rsidRPr="00B47C7C" w:rsidRDefault="005D0848" w:rsidP="00997BC3">
            <w:r w:rsidRPr="00B47C7C">
              <w:t>Paragraph 3</w:t>
            </w:r>
          </w:p>
        </w:tc>
        <w:tc>
          <w:tcPr>
            <w:tcW w:w="2693" w:type="dxa"/>
          </w:tcPr>
          <w:p w:rsidR="005D0848" w:rsidRPr="00B47C7C" w:rsidRDefault="005D0848" w:rsidP="00997BC3">
            <w:r w:rsidRPr="00B47C7C">
              <w:t>Article 27(1)</w:t>
            </w:r>
          </w:p>
        </w:tc>
        <w:tc>
          <w:tcPr>
            <w:tcW w:w="8931" w:type="dxa"/>
            <w:shd w:val="clear" w:color="auto" w:fill="92D050"/>
          </w:tcPr>
          <w:p w:rsidR="005D0848" w:rsidRDefault="005D0848" w:rsidP="00997BC3">
            <w:r w:rsidRPr="00B47C7C">
              <w:t>Minor changes. First paragraph of Delegated Regulation introduces requirement to define extended to “</w:t>
            </w:r>
            <w:r w:rsidRPr="005D0848">
              <w:rPr>
                <w:b/>
              </w:rPr>
              <w:t>implement</w:t>
            </w:r>
            <w:r w:rsidRPr="00B47C7C">
              <w:t xml:space="preserve">”. Scope extended to </w:t>
            </w:r>
            <w:r w:rsidRPr="005D0848">
              <w:rPr>
                <w:b/>
              </w:rPr>
              <w:t>practices</w:t>
            </w:r>
            <w:r w:rsidRPr="00B47C7C">
              <w:t xml:space="preserve"> as well as policies. Delegated </w:t>
            </w:r>
            <w:r w:rsidR="005A0CBF" w:rsidRPr="00B47C7C">
              <w:t>Regulation</w:t>
            </w:r>
            <w:r w:rsidRPr="00B47C7C">
              <w:t xml:space="preserve"> second paragraph includes limitation on remuneration policies and practices creating a “</w:t>
            </w:r>
            <w:r w:rsidRPr="005D0848">
              <w:rPr>
                <w:b/>
              </w:rPr>
              <w:t>conflict of interests</w:t>
            </w:r>
            <w:r w:rsidRPr="00B47C7C">
              <w:t xml:space="preserve">”, as well as retaining limit on incentives. </w:t>
            </w:r>
          </w:p>
        </w:tc>
      </w:tr>
      <w:tr w:rsidR="005D0848" w:rsidRPr="001E0645" w:rsidTr="005D0848">
        <w:tc>
          <w:tcPr>
            <w:tcW w:w="2518" w:type="dxa"/>
            <w:shd w:val="clear" w:color="auto" w:fill="auto"/>
          </w:tcPr>
          <w:p w:rsidR="005D0848" w:rsidRPr="00D65D17" w:rsidRDefault="005D0848" w:rsidP="00A05047">
            <w:r w:rsidRPr="00D65D17">
              <w:t>Paragraph 4</w:t>
            </w:r>
          </w:p>
        </w:tc>
        <w:tc>
          <w:tcPr>
            <w:tcW w:w="2693" w:type="dxa"/>
          </w:tcPr>
          <w:p w:rsidR="005D0848" w:rsidRPr="00D65D17" w:rsidRDefault="005D0848" w:rsidP="00A05047">
            <w:r w:rsidRPr="00D65D17">
              <w:t>Article 27(3) first sentence</w:t>
            </w:r>
          </w:p>
        </w:tc>
        <w:tc>
          <w:tcPr>
            <w:tcW w:w="8931" w:type="dxa"/>
            <w:shd w:val="clear" w:color="auto" w:fill="92D050"/>
          </w:tcPr>
          <w:p w:rsidR="005D0848" w:rsidRDefault="005D0848" w:rsidP="00A05047">
            <w:r w:rsidRPr="00D65D17">
              <w:t>Delegated Regulation changes the approval by management to being of the remuneration policy, rather than its design as in the Technical Advice. Otherwise similar.</w:t>
            </w:r>
          </w:p>
        </w:tc>
      </w:tr>
      <w:tr w:rsidR="005D0848" w:rsidRPr="001E0645" w:rsidTr="005D0848">
        <w:tc>
          <w:tcPr>
            <w:tcW w:w="2518" w:type="dxa"/>
            <w:shd w:val="clear" w:color="auto" w:fill="auto"/>
          </w:tcPr>
          <w:p w:rsidR="005D0848" w:rsidRPr="00E4779A" w:rsidRDefault="005D0848" w:rsidP="00AC7E6D">
            <w:r w:rsidRPr="00E4779A">
              <w:t>Paragraph 5</w:t>
            </w:r>
          </w:p>
        </w:tc>
        <w:tc>
          <w:tcPr>
            <w:tcW w:w="2693" w:type="dxa"/>
          </w:tcPr>
          <w:p w:rsidR="005D0848" w:rsidRPr="00E4779A" w:rsidRDefault="005D0848" w:rsidP="00AC7E6D">
            <w:r w:rsidRPr="00E4779A">
              <w:t>Article 27(3) second sentence</w:t>
            </w:r>
          </w:p>
        </w:tc>
        <w:tc>
          <w:tcPr>
            <w:tcW w:w="8931" w:type="dxa"/>
            <w:shd w:val="clear" w:color="auto" w:fill="92D050"/>
          </w:tcPr>
          <w:p w:rsidR="005D0848" w:rsidRDefault="005D0848" w:rsidP="00AC7E6D">
            <w:r w:rsidRPr="00E4779A">
              <w:t>Tidy up language only – substantively all the same, but amended how the clause is laid out.</w:t>
            </w:r>
          </w:p>
        </w:tc>
      </w:tr>
      <w:tr w:rsidR="005D0848" w:rsidRPr="001E0645" w:rsidTr="005D0848">
        <w:tc>
          <w:tcPr>
            <w:tcW w:w="2518" w:type="dxa"/>
            <w:shd w:val="clear" w:color="auto" w:fill="auto"/>
          </w:tcPr>
          <w:p w:rsidR="005D0848" w:rsidRPr="00EB5563" w:rsidRDefault="005D0848" w:rsidP="0093077B">
            <w:r w:rsidRPr="00EB5563">
              <w:t>Paragraph 6</w:t>
            </w:r>
          </w:p>
        </w:tc>
        <w:tc>
          <w:tcPr>
            <w:tcW w:w="2693" w:type="dxa"/>
          </w:tcPr>
          <w:p w:rsidR="005D0848" w:rsidRPr="00EB5563" w:rsidRDefault="005D0848" w:rsidP="0093077B">
            <w:r w:rsidRPr="00EB5563">
              <w:t>Article 27(4) first paragraph</w:t>
            </w:r>
          </w:p>
        </w:tc>
        <w:tc>
          <w:tcPr>
            <w:tcW w:w="8931" w:type="dxa"/>
            <w:shd w:val="clear" w:color="auto" w:fill="92D050"/>
          </w:tcPr>
          <w:p w:rsidR="005D0848" w:rsidRDefault="005D0848" w:rsidP="0093077B">
            <w:r w:rsidRPr="00EB5563">
              <w:t>No change.</w:t>
            </w:r>
          </w:p>
        </w:tc>
      </w:tr>
      <w:tr w:rsidR="005D0848" w:rsidRPr="001E0645" w:rsidTr="005D0848">
        <w:tc>
          <w:tcPr>
            <w:tcW w:w="2518" w:type="dxa"/>
            <w:shd w:val="clear" w:color="auto" w:fill="auto"/>
          </w:tcPr>
          <w:p w:rsidR="005D0848" w:rsidRPr="00CF3D4F" w:rsidRDefault="005D0848" w:rsidP="005F2558">
            <w:r w:rsidRPr="00CF3D4F">
              <w:t>Paragraph 7</w:t>
            </w:r>
          </w:p>
        </w:tc>
        <w:tc>
          <w:tcPr>
            <w:tcW w:w="2693" w:type="dxa"/>
          </w:tcPr>
          <w:p w:rsidR="005D0848" w:rsidRPr="00CF3D4F" w:rsidRDefault="005D0848" w:rsidP="005F2558">
            <w:r w:rsidRPr="00CF3D4F">
              <w:t>Article 27(4) second paragraph</w:t>
            </w:r>
          </w:p>
        </w:tc>
        <w:tc>
          <w:tcPr>
            <w:tcW w:w="8931" w:type="dxa"/>
            <w:shd w:val="clear" w:color="auto" w:fill="FFC000"/>
          </w:tcPr>
          <w:p w:rsidR="005D0848" w:rsidRDefault="005D0848" w:rsidP="005F2558">
            <w:r w:rsidRPr="00CF3D4F">
              <w:t>Delegated Regulation removes “</w:t>
            </w:r>
            <w:r w:rsidRPr="005D0848">
              <w:rPr>
                <w:b/>
              </w:rPr>
              <w:t>appropriate</w:t>
            </w:r>
            <w:r w:rsidRPr="00CF3D4F">
              <w:t>” from description of balance to be maintained.</w:t>
            </w:r>
          </w:p>
        </w:tc>
      </w:tr>
    </w:tbl>
    <w:p w:rsidR="002971A1" w:rsidRPr="001E0645" w:rsidRDefault="002971A1">
      <w:pPr>
        <w:rPr>
          <w:rFonts w:cs="Arial"/>
          <w:szCs w:val="20"/>
        </w:rPr>
      </w:pPr>
    </w:p>
    <w:p w:rsidR="00990647" w:rsidRDefault="00990647">
      <w:pPr>
        <w:spacing w:after="200" w:line="276" w:lineRule="auto"/>
        <w:rPr>
          <w:rFonts w:cs="Arial"/>
          <w:szCs w:val="20"/>
        </w:rPr>
        <w:sectPr w:rsidR="00990647" w:rsidSect="00CB058A">
          <w:headerReference w:type="default" r:id="rId10"/>
          <w:footerReference w:type="default" r:id="rId11"/>
          <w:pgSz w:w="16838" w:h="11906" w:orient="landscape" w:code="9"/>
          <w:pgMar w:top="1418" w:right="1418" w:bottom="1418" w:left="1418" w:header="709" w:footer="709" w:gutter="0"/>
          <w:cols w:space="708"/>
          <w:docGrid w:linePitch="360"/>
        </w:sectPr>
      </w:pPr>
    </w:p>
    <w:p w:rsidR="002971A1" w:rsidRDefault="002971A1" w:rsidP="005D0848">
      <w:pPr>
        <w:pStyle w:val="ssPara1"/>
        <w:jc w:val="center"/>
        <w:rPr>
          <w:szCs w:val="20"/>
        </w:rPr>
      </w:pPr>
    </w:p>
    <w:p w:rsidR="00865CE0" w:rsidRDefault="00865CE0" w:rsidP="00865CE0">
      <w:pPr>
        <w:pStyle w:val="ssPara1"/>
        <w:spacing w:after="0"/>
        <w:jc w:val="center"/>
        <w:rPr>
          <w:b/>
        </w:rPr>
      </w:pPr>
      <w:r w:rsidRPr="002971A1">
        <w:rPr>
          <w:b/>
        </w:rPr>
        <w:t xml:space="preserve">ESMA </w:t>
      </w:r>
      <w:hyperlink r:id="rId12" w:history="1">
        <w:r w:rsidRPr="005D0848">
          <w:rPr>
            <w:rStyle w:val="Hyperlink"/>
            <w:b/>
          </w:rPr>
          <w:t>Technical Advice</w:t>
        </w:r>
      </w:hyperlink>
      <w:r w:rsidRPr="002971A1">
        <w:rPr>
          <w:b/>
        </w:rPr>
        <w:t xml:space="preserve"> (19 December 2014)</w:t>
      </w:r>
    </w:p>
    <w:p w:rsidR="00865CE0" w:rsidRDefault="00865CE0" w:rsidP="00865CE0">
      <w:pPr>
        <w:pStyle w:val="ssPara1"/>
        <w:spacing w:after="0"/>
        <w:jc w:val="left"/>
        <w:rPr>
          <w:szCs w:val="20"/>
        </w:rPr>
      </w:pPr>
      <w:r>
        <w:rPr>
          <w:b/>
        </w:rPr>
        <w:t>Page 98-99</w:t>
      </w:r>
      <w:r>
        <w:rPr>
          <w:b/>
        </w:rPr>
        <w:br/>
      </w:r>
    </w:p>
    <w:p w:rsidR="00865CE0" w:rsidRPr="00865CE0" w:rsidRDefault="00865CE0" w:rsidP="00865CE0">
      <w:pPr>
        <w:pStyle w:val="ssPara1"/>
        <w:spacing w:after="0"/>
        <w:jc w:val="left"/>
        <w:rPr>
          <w:szCs w:val="20"/>
        </w:rPr>
      </w:pPr>
      <w:r w:rsidRPr="00865CE0">
        <w:rPr>
          <w:szCs w:val="20"/>
        </w:rPr>
        <w:t>1. ESMA considers that the future delegated act should include the definition of remuneration</w:t>
      </w:r>
      <w:r>
        <w:rPr>
          <w:szCs w:val="20"/>
        </w:rPr>
        <w:t xml:space="preserve"> </w:t>
      </w:r>
      <w:r w:rsidRPr="00865CE0">
        <w:rPr>
          <w:szCs w:val="20"/>
        </w:rPr>
        <w:t>provided in the ESMA Remuneration guidelines.</w:t>
      </w:r>
    </w:p>
    <w:p w:rsidR="00865CE0" w:rsidRDefault="00865CE0" w:rsidP="00865CE0">
      <w:pPr>
        <w:pStyle w:val="ssPara1"/>
        <w:spacing w:after="0"/>
        <w:jc w:val="left"/>
        <w:rPr>
          <w:szCs w:val="20"/>
        </w:rPr>
      </w:pPr>
    </w:p>
    <w:p w:rsidR="00865CE0" w:rsidRPr="00865CE0" w:rsidRDefault="00865CE0" w:rsidP="00865CE0">
      <w:pPr>
        <w:pStyle w:val="ssPara1"/>
        <w:spacing w:after="0"/>
        <w:jc w:val="left"/>
        <w:rPr>
          <w:b/>
          <w:szCs w:val="20"/>
        </w:rPr>
      </w:pPr>
      <w:r w:rsidRPr="00865CE0">
        <w:rPr>
          <w:b/>
          <w:szCs w:val="20"/>
        </w:rPr>
        <w:t>Scope</w:t>
      </w:r>
    </w:p>
    <w:p w:rsidR="00865CE0" w:rsidRDefault="00865CE0" w:rsidP="00865CE0">
      <w:pPr>
        <w:pStyle w:val="ssPara1"/>
        <w:spacing w:after="0"/>
        <w:jc w:val="left"/>
        <w:rPr>
          <w:szCs w:val="20"/>
        </w:rPr>
      </w:pPr>
      <w:r w:rsidRPr="00865CE0">
        <w:rPr>
          <w:szCs w:val="20"/>
        </w:rPr>
        <w:t>2. The provisions below shall apply to all relevant persons who can have a m</w:t>
      </w:r>
      <w:r>
        <w:rPr>
          <w:szCs w:val="20"/>
        </w:rPr>
        <w:t xml:space="preserve">aterial impact, </w:t>
      </w:r>
      <w:r w:rsidRPr="00865CE0">
        <w:rPr>
          <w:szCs w:val="20"/>
        </w:rPr>
        <w:t>directly or indirectly, on investment and ancillary services provided by the investment firm or</w:t>
      </w:r>
      <w:r>
        <w:rPr>
          <w:szCs w:val="20"/>
        </w:rPr>
        <w:t xml:space="preserve"> </w:t>
      </w:r>
      <w:r w:rsidRPr="00865CE0">
        <w:rPr>
          <w:szCs w:val="20"/>
        </w:rPr>
        <w:t xml:space="preserve">on its corporate </w:t>
      </w:r>
      <w:r>
        <w:rPr>
          <w:szCs w:val="20"/>
        </w:rPr>
        <w:t xml:space="preserve"> b</w:t>
      </w:r>
      <w:r w:rsidRPr="00865CE0">
        <w:rPr>
          <w:szCs w:val="20"/>
        </w:rPr>
        <w:t>ehaviour, regardless of whether the clients are retail or professional, to the</w:t>
      </w:r>
      <w:r>
        <w:rPr>
          <w:szCs w:val="20"/>
        </w:rPr>
        <w:t xml:space="preserve"> extent that the </w:t>
      </w:r>
      <w:r w:rsidRPr="00865CE0">
        <w:rPr>
          <w:szCs w:val="20"/>
        </w:rPr>
        <w:t>remuneration of such persons and similar ince</w:t>
      </w:r>
      <w:r>
        <w:rPr>
          <w:szCs w:val="20"/>
        </w:rPr>
        <w:t xml:space="preserve">ntives – including nonfinancial </w:t>
      </w:r>
      <w:r w:rsidRPr="00865CE0">
        <w:rPr>
          <w:szCs w:val="20"/>
        </w:rPr>
        <w:t>remuneration such as in-kind benefits and career progression – may create a conflict</w:t>
      </w:r>
      <w:r>
        <w:rPr>
          <w:szCs w:val="20"/>
        </w:rPr>
        <w:t xml:space="preserve"> </w:t>
      </w:r>
      <w:r w:rsidRPr="00865CE0">
        <w:rPr>
          <w:szCs w:val="20"/>
        </w:rPr>
        <w:t>of interest that encourages them to act against the interests of any of the firm’s clients.</w:t>
      </w:r>
    </w:p>
    <w:p w:rsidR="00865CE0" w:rsidRPr="00865CE0" w:rsidRDefault="00865CE0" w:rsidP="00865CE0">
      <w:pPr>
        <w:pStyle w:val="ssPara1"/>
        <w:spacing w:after="0"/>
        <w:jc w:val="left"/>
        <w:rPr>
          <w:szCs w:val="20"/>
        </w:rPr>
      </w:pPr>
    </w:p>
    <w:p w:rsidR="00865CE0" w:rsidRPr="00865CE0" w:rsidRDefault="00865CE0" w:rsidP="00865CE0">
      <w:pPr>
        <w:pStyle w:val="ssPara1"/>
        <w:spacing w:after="0"/>
        <w:jc w:val="left"/>
        <w:rPr>
          <w:b/>
          <w:szCs w:val="20"/>
        </w:rPr>
      </w:pPr>
      <w:r w:rsidRPr="00865CE0">
        <w:rPr>
          <w:b/>
          <w:szCs w:val="20"/>
        </w:rPr>
        <w:t>Design criteria</w:t>
      </w:r>
    </w:p>
    <w:p w:rsidR="00865CE0" w:rsidRPr="00865CE0" w:rsidRDefault="00865CE0" w:rsidP="00865CE0">
      <w:pPr>
        <w:pStyle w:val="ssPara1"/>
        <w:spacing w:after="0"/>
        <w:jc w:val="left"/>
        <w:rPr>
          <w:szCs w:val="20"/>
        </w:rPr>
      </w:pPr>
      <w:r w:rsidRPr="00865CE0">
        <w:rPr>
          <w:szCs w:val="20"/>
        </w:rPr>
        <w:t xml:space="preserve">3. Investment firms shall define their remuneration policies under </w:t>
      </w:r>
      <w:r>
        <w:rPr>
          <w:szCs w:val="20"/>
        </w:rPr>
        <w:t xml:space="preserve">appropriate internal procedures </w:t>
      </w:r>
      <w:r w:rsidRPr="00865CE0">
        <w:rPr>
          <w:szCs w:val="20"/>
        </w:rPr>
        <w:t>taking into account the interests of all the clients of th</w:t>
      </w:r>
      <w:r>
        <w:rPr>
          <w:szCs w:val="20"/>
        </w:rPr>
        <w:t xml:space="preserve">e firm, with a view to ensuring </w:t>
      </w:r>
      <w:r w:rsidRPr="00865CE0">
        <w:rPr>
          <w:szCs w:val="20"/>
        </w:rPr>
        <w:t>that clients are treated fairly and their interests are not impaired by the remuneration practices</w:t>
      </w:r>
      <w:r>
        <w:rPr>
          <w:szCs w:val="20"/>
        </w:rPr>
        <w:t xml:space="preserve"> </w:t>
      </w:r>
      <w:r w:rsidRPr="00865CE0">
        <w:rPr>
          <w:szCs w:val="20"/>
        </w:rPr>
        <w:t>adopted by the firm in the short, medium or long term. In particular, remuneration policies</w:t>
      </w:r>
      <w:r>
        <w:rPr>
          <w:szCs w:val="20"/>
        </w:rPr>
        <w:t xml:space="preserve"> </w:t>
      </w:r>
      <w:r w:rsidRPr="00865CE0">
        <w:rPr>
          <w:szCs w:val="20"/>
        </w:rPr>
        <w:t>and practices shall be designed in such a way so as not to create incentives that may</w:t>
      </w:r>
      <w:r>
        <w:rPr>
          <w:szCs w:val="20"/>
        </w:rPr>
        <w:t xml:space="preserve"> </w:t>
      </w:r>
      <w:r w:rsidRPr="00865CE0">
        <w:rPr>
          <w:szCs w:val="20"/>
        </w:rPr>
        <w:t>lead relevant persons to favour their own interests or the firm’s interests to the potential detriment</w:t>
      </w:r>
      <w:r>
        <w:rPr>
          <w:szCs w:val="20"/>
        </w:rPr>
        <w:t xml:space="preserve"> </w:t>
      </w:r>
      <w:r w:rsidRPr="00865CE0">
        <w:rPr>
          <w:szCs w:val="20"/>
        </w:rPr>
        <w:t>of any client.</w:t>
      </w:r>
    </w:p>
    <w:p w:rsidR="00865CE0" w:rsidRDefault="00865CE0" w:rsidP="00865CE0">
      <w:pPr>
        <w:pStyle w:val="ssPara1"/>
        <w:spacing w:after="0"/>
        <w:jc w:val="left"/>
        <w:rPr>
          <w:szCs w:val="20"/>
        </w:rPr>
      </w:pPr>
    </w:p>
    <w:p w:rsidR="00865CE0" w:rsidRPr="00865CE0" w:rsidRDefault="00865CE0" w:rsidP="00865CE0">
      <w:pPr>
        <w:pStyle w:val="ssPara1"/>
        <w:spacing w:after="0"/>
        <w:jc w:val="left"/>
        <w:rPr>
          <w:b/>
          <w:szCs w:val="20"/>
        </w:rPr>
      </w:pPr>
      <w:r w:rsidRPr="00865CE0">
        <w:rPr>
          <w:b/>
          <w:szCs w:val="20"/>
        </w:rPr>
        <w:t>Governance</w:t>
      </w:r>
    </w:p>
    <w:p w:rsidR="00865CE0" w:rsidRDefault="00865CE0" w:rsidP="00865CE0">
      <w:pPr>
        <w:pStyle w:val="ssPara1"/>
        <w:spacing w:after="0"/>
        <w:jc w:val="left"/>
        <w:rPr>
          <w:szCs w:val="20"/>
        </w:rPr>
      </w:pPr>
      <w:r w:rsidRPr="00865CE0">
        <w:rPr>
          <w:szCs w:val="20"/>
        </w:rPr>
        <w:t>4. The design of the investment firm’s remuneration policy s</w:t>
      </w:r>
      <w:r>
        <w:rPr>
          <w:szCs w:val="20"/>
        </w:rPr>
        <w:t>hall be approved by the manage</w:t>
      </w:r>
      <w:r w:rsidRPr="00865CE0">
        <w:rPr>
          <w:szCs w:val="20"/>
        </w:rPr>
        <w:t>ment body of the firm after taking advice from the compliance function.</w:t>
      </w:r>
    </w:p>
    <w:p w:rsidR="00865CE0" w:rsidRPr="00865CE0" w:rsidRDefault="00865CE0" w:rsidP="00865CE0">
      <w:pPr>
        <w:pStyle w:val="ssPara1"/>
        <w:spacing w:after="0"/>
        <w:jc w:val="left"/>
        <w:rPr>
          <w:szCs w:val="20"/>
        </w:rPr>
      </w:pPr>
    </w:p>
    <w:p w:rsidR="00865CE0" w:rsidRPr="00865CE0" w:rsidRDefault="00865CE0" w:rsidP="00865CE0">
      <w:pPr>
        <w:pStyle w:val="ssPara1"/>
        <w:spacing w:after="0"/>
        <w:jc w:val="left"/>
        <w:rPr>
          <w:szCs w:val="20"/>
        </w:rPr>
      </w:pPr>
      <w:r w:rsidRPr="00865CE0">
        <w:rPr>
          <w:szCs w:val="20"/>
        </w:rPr>
        <w:t>5. The day-to-day implementation of the remuneration policy a</w:t>
      </w:r>
      <w:r>
        <w:rPr>
          <w:szCs w:val="20"/>
        </w:rPr>
        <w:t xml:space="preserve">nd the monitoring of compliance </w:t>
      </w:r>
      <w:r w:rsidRPr="00865CE0">
        <w:rPr>
          <w:szCs w:val="20"/>
        </w:rPr>
        <w:t>risks related to the policy shall be the responsibility of the senior management of the investment</w:t>
      </w:r>
      <w:r>
        <w:rPr>
          <w:szCs w:val="20"/>
        </w:rPr>
        <w:t xml:space="preserve"> </w:t>
      </w:r>
      <w:r w:rsidRPr="00865CE0">
        <w:rPr>
          <w:szCs w:val="20"/>
        </w:rPr>
        <w:t>firm.</w:t>
      </w:r>
    </w:p>
    <w:p w:rsidR="00865CE0" w:rsidRDefault="00865CE0" w:rsidP="00865CE0">
      <w:pPr>
        <w:pStyle w:val="ssPara1"/>
        <w:spacing w:after="0"/>
        <w:jc w:val="left"/>
        <w:rPr>
          <w:szCs w:val="20"/>
        </w:rPr>
      </w:pPr>
    </w:p>
    <w:p w:rsidR="00865CE0" w:rsidRPr="00865CE0" w:rsidRDefault="00865CE0" w:rsidP="00865CE0">
      <w:pPr>
        <w:pStyle w:val="ssPara1"/>
        <w:spacing w:after="0"/>
        <w:jc w:val="left"/>
        <w:rPr>
          <w:b/>
          <w:szCs w:val="20"/>
        </w:rPr>
      </w:pPr>
      <w:r w:rsidRPr="00865CE0">
        <w:rPr>
          <w:b/>
          <w:szCs w:val="20"/>
        </w:rPr>
        <w:t>Variable remuneration</w:t>
      </w:r>
    </w:p>
    <w:p w:rsidR="00865CE0" w:rsidRDefault="00865CE0" w:rsidP="00865CE0">
      <w:pPr>
        <w:pStyle w:val="ssPara1"/>
        <w:spacing w:after="0"/>
        <w:jc w:val="left"/>
        <w:rPr>
          <w:szCs w:val="20"/>
        </w:rPr>
      </w:pPr>
      <w:r w:rsidRPr="00865CE0">
        <w:rPr>
          <w:szCs w:val="20"/>
        </w:rPr>
        <w:t>6. Remuneration and similar incentives shall not be solely or pred</w:t>
      </w:r>
      <w:r>
        <w:rPr>
          <w:szCs w:val="20"/>
        </w:rPr>
        <w:t xml:space="preserve">ominantly based on quantitative </w:t>
      </w:r>
      <w:r w:rsidRPr="00865CE0">
        <w:rPr>
          <w:szCs w:val="20"/>
        </w:rPr>
        <w:t xml:space="preserve">commercial criteria, and shall take fully into account appropriate </w:t>
      </w:r>
      <w:r>
        <w:rPr>
          <w:szCs w:val="20"/>
        </w:rPr>
        <w:t xml:space="preserve">qualitative criteria reflecting </w:t>
      </w:r>
      <w:r w:rsidRPr="00865CE0">
        <w:rPr>
          <w:szCs w:val="20"/>
        </w:rPr>
        <w:t>compliance with the applicable regulations, the fair treat</w:t>
      </w:r>
      <w:r>
        <w:rPr>
          <w:szCs w:val="20"/>
        </w:rPr>
        <w:t xml:space="preserve">ment of clients and the quality </w:t>
      </w:r>
      <w:r w:rsidRPr="00865CE0">
        <w:rPr>
          <w:szCs w:val="20"/>
        </w:rPr>
        <w:t>of services provided to clients.</w:t>
      </w:r>
    </w:p>
    <w:p w:rsidR="00865CE0" w:rsidRPr="00865CE0" w:rsidRDefault="00865CE0" w:rsidP="00865CE0">
      <w:pPr>
        <w:pStyle w:val="ssPara1"/>
        <w:spacing w:after="0"/>
        <w:jc w:val="left"/>
        <w:rPr>
          <w:szCs w:val="20"/>
        </w:rPr>
      </w:pPr>
    </w:p>
    <w:p w:rsidR="00865CE0" w:rsidRPr="00865CE0" w:rsidRDefault="00865CE0" w:rsidP="00865CE0">
      <w:pPr>
        <w:pStyle w:val="ssPara1"/>
        <w:spacing w:after="0"/>
        <w:jc w:val="left"/>
        <w:rPr>
          <w:szCs w:val="20"/>
        </w:rPr>
      </w:pPr>
      <w:r w:rsidRPr="00865CE0">
        <w:rPr>
          <w:szCs w:val="20"/>
        </w:rPr>
        <w:t>7. An appropriate balance between fixed and variable comp</w:t>
      </w:r>
      <w:r>
        <w:rPr>
          <w:szCs w:val="20"/>
        </w:rPr>
        <w:t xml:space="preserve">onents of remuneration shall be </w:t>
      </w:r>
      <w:r w:rsidRPr="00865CE0">
        <w:rPr>
          <w:szCs w:val="20"/>
        </w:rPr>
        <w:t>maintained at all times, so that the remuneration structure does not favour the interests of</w:t>
      </w:r>
    </w:p>
    <w:p w:rsidR="00865CE0" w:rsidRDefault="00865CE0" w:rsidP="00865CE0">
      <w:pPr>
        <w:pStyle w:val="ssPara1"/>
        <w:spacing w:after="0"/>
        <w:jc w:val="left"/>
        <w:rPr>
          <w:szCs w:val="20"/>
        </w:rPr>
      </w:pPr>
      <w:r w:rsidRPr="00865CE0">
        <w:rPr>
          <w:szCs w:val="20"/>
        </w:rPr>
        <w:t>the investment firm or its relevant persons against the interests of any client.</w:t>
      </w:r>
    </w:p>
    <w:p w:rsidR="00865CE0" w:rsidRDefault="00865CE0">
      <w:pPr>
        <w:jc w:val="left"/>
        <w:rPr>
          <w:szCs w:val="20"/>
        </w:rPr>
      </w:pPr>
      <w:r>
        <w:rPr>
          <w:szCs w:val="20"/>
        </w:rPr>
        <w:br w:type="page"/>
      </w:r>
    </w:p>
    <w:p w:rsidR="00865CE0" w:rsidRDefault="00865CE0" w:rsidP="00865CE0">
      <w:pPr>
        <w:tabs>
          <w:tab w:val="left" w:pos="0"/>
        </w:tabs>
        <w:ind w:left="2437" w:right="2437"/>
        <w:jc w:val="center"/>
        <w:rPr>
          <w:rFonts w:ascii="Times New Roman" w:eastAsia="Times New Roman" w:hAnsi="Times New Roman"/>
          <w:sz w:val="24"/>
          <w:szCs w:val="24"/>
        </w:rPr>
      </w:pPr>
      <w:r>
        <w:rPr>
          <w:rFonts w:ascii="Times New Roman"/>
          <w:i/>
          <w:sz w:val="24"/>
        </w:rPr>
        <w:lastRenderedPageBreak/>
        <w:t>Article</w:t>
      </w:r>
      <w:r>
        <w:rPr>
          <w:rFonts w:ascii="Times New Roman"/>
          <w:i/>
          <w:spacing w:val="-1"/>
          <w:sz w:val="24"/>
        </w:rPr>
        <w:t xml:space="preserve"> </w:t>
      </w:r>
      <w:r>
        <w:rPr>
          <w:rFonts w:ascii="Times New Roman"/>
          <w:i/>
          <w:sz w:val="24"/>
        </w:rPr>
        <w:t>27</w:t>
      </w:r>
    </w:p>
    <w:p w:rsidR="00865CE0" w:rsidRDefault="00865CE0" w:rsidP="00865CE0">
      <w:pPr>
        <w:pStyle w:val="Heading3"/>
        <w:numPr>
          <w:ilvl w:val="0"/>
          <w:numId w:val="0"/>
        </w:numPr>
        <w:tabs>
          <w:tab w:val="left" w:pos="0"/>
        </w:tabs>
        <w:spacing w:line="275" w:lineRule="exact"/>
        <w:ind w:left="1418" w:right="2437"/>
        <w:jc w:val="center"/>
        <w:rPr>
          <w:b w:val="0"/>
          <w:bCs w:val="0"/>
        </w:rPr>
      </w:pPr>
      <w:r>
        <w:t>Remuneration policies and</w:t>
      </w:r>
      <w:r>
        <w:rPr>
          <w:spacing w:val="-3"/>
        </w:rPr>
        <w:t xml:space="preserve"> </w:t>
      </w:r>
      <w:r>
        <w:t>practices</w:t>
      </w:r>
    </w:p>
    <w:p w:rsidR="00865CE0" w:rsidRDefault="00865CE0" w:rsidP="00865CE0">
      <w:pPr>
        <w:tabs>
          <w:tab w:val="left" w:pos="0"/>
        </w:tabs>
        <w:spacing w:line="275" w:lineRule="exact"/>
        <w:ind w:left="2437" w:right="2436"/>
        <w:jc w:val="center"/>
        <w:rPr>
          <w:rFonts w:ascii="Times New Roman" w:eastAsia="Times New Roman" w:hAnsi="Times New Roman"/>
          <w:sz w:val="24"/>
          <w:szCs w:val="24"/>
        </w:rPr>
      </w:pPr>
      <w:r>
        <w:rPr>
          <w:rFonts w:ascii="Times New Roman"/>
          <w:i/>
          <w:sz w:val="24"/>
        </w:rPr>
        <w:t>(Articles 16, 23 and 24 of Directive</w:t>
      </w:r>
      <w:r>
        <w:rPr>
          <w:rFonts w:ascii="Times New Roman"/>
          <w:i/>
          <w:spacing w:val="-3"/>
          <w:sz w:val="24"/>
        </w:rPr>
        <w:t xml:space="preserve"> </w:t>
      </w:r>
      <w:r>
        <w:rPr>
          <w:rFonts w:ascii="Times New Roman"/>
          <w:i/>
          <w:sz w:val="24"/>
        </w:rPr>
        <w:t>2014/65/EU)</w:t>
      </w:r>
    </w:p>
    <w:p w:rsidR="00865CE0" w:rsidRDefault="00865CE0" w:rsidP="00865CE0">
      <w:pPr>
        <w:tabs>
          <w:tab w:val="left" w:pos="0"/>
        </w:tabs>
        <w:spacing w:line="275" w:lineRule="exact"/>
        <w:ind w:left="2437" w:right="2436"/>
        <w:jc w:val="center"/>
        <w:rPr>
          <w:rFonts w:ascii="Times New Roman" w:eastAsia="Times New Roman" w:hAnsi="Times New Roman"/>
          <w:sz w:val="24"/>
          <w:szCs w:val="24"/>
        </w:rPr>
      </w:pPr>
    </w:p>
    <w:p w:rsidR="00865CE0" w:rsidRPr="00865CE0" w:rsidRDefault="00865CE0" w:rsidP="00865CE0">
      <w:pPr>
        <w:pStyle w:val="ListParagraph"/>
        <w:numPr>
          <w:ilvl w:val="0"/>
          <w:numId w:val="32"/>
        </w:numPr>
        <w:tabs>
          <w:tab w:val="left" w:pos="0"/>
        </w:tabs>
        <w:ind w:right="-2"/>
        <w:rPr>
          <w:rFonts w:ascii="Arial" w:eastAsia="SimSun" w:hAnsi="Arial" w:cs="Arial"/>
          <w:sz w:val="20"/>
          <w:szCs w:val="20"/>
          <w:lang w:val="en-GB" w:eastAsia="zh-CN"/>
        </w:rPr>
      </w:pPr>
      <w:r w:rsidRPr="00865CE0">
        <w:rPr>
          <w:rFonts w:ascii="Arial" w:eastAsia="SimSun" w:hAnsi="Arial" w:cs="Arial"/>
          <w:sz w:val="20"/>
          <w:szCs w:val="20"/>
          <w:lang w:val="en-GB" w:eastAsia="zh-CN"/>
        </w:rPr>
        <w:t>Investment firms shall define and implement remuneration policies and practices under appropriate internal procedures taking into account the interests of all the clients of the firm, with a view to ensuring that clients are treated fairly and their interests are not impaired by the remuneration practices adopted by the firm in the short, medium or long term.</w:t>
      </w:r>
    </w:p>
    <w:p w:rsidR="00865CE0" w:rsidRPr="00865CE0" w:rsidRDefault="00865CE0" w:rsidP="00865CE0">
      <w:pPr>
        <w:tabs>
          <w:tab w:val="left" w:pos="0"/>
        </w:tabs>
        <w:ind w:left="360" w:right="-2"/>
        <w:jc w:val="left"/>
        <w:rPr>
          <w:rFonts w:cs="Arial"/>
          <w:szCs w:val="20"/>
        </w:rPr>
      </w:pPr>
    </w:p>
    <w:p w:rsidR="00865CE0" w:rsidRPr="00865CE0" w:rsidRDefault="00865CE0" w:rsidP="00865CE0">
      <w:pPr>
        <w:tabs>
          <w:tab w:val="left" w:pos="0"/>
        </w:tabs>
        <w:ind w:left="720" w:right="-2" w:hanging="360"/>
        <w:jc w:val="left"/>
        <w:rPr>
          <w:rFonts w:cs="Arial"/>
          <w:szCs w:val="20"/>
        </w:rPr>
      </w:pPr>
      <w:r w:rsidRPr="00865CE0">
        <w:rPr>
          <w:rFonts w:cs="Arial"/>
          <w:szCs w:val="20"/>
        </w:rPr>
        <w:tab/>
        <w:t>Remuneration policies and practices shall be designed in such a way so as not to create a conflict of interest or incentive that may lead relevant persons to favour their own interests or the firm’s interests to the potential detriment of any client.</w:t>
      </w:r>
    </w:p>
    <w:p w:rsidR="00865CE0" w:rsidRPr="00865CE0" w:rsidRDefault="00865CE0" w:rsidP="00865CE0">
      <w:pPr>
        <w:pStyle w:val="ListParagraph"/>
        <w:numPr>
          <w:ilvl w:val="0"/>
          <w:numId w:val="32"/>
        </w:numPr>
        <w:spacing w:before="120"/>
        <w:ind w:right="-2"/>
        <w:rPr>
          <w:rFonts w:ascii="Arial" w:hAnsi="Arial" w:cs="Arial"/>
          <w:sz w:val="20"/>
          <w:szCs w:val="20"/>
        </w:rPr>
      </w:pPr>
      <w:r w:rsidRPr="00865CE0">
        <w:rPr>
          <w:rFonts w:ascii="Arial" w:hAnsi="Arial" w:cs="Arial"/>
          <w:sz w:val="20"/>
          <w:szCs w:val="20"/>
        </w:rPr>
        <w:t>Investment firms shall ensure that their remuneration policies and practices apply</w:t>
      </w:r>
      <w:r>
        <w:rPr>
          <w:rFonts w:ascii="Arial" w:hAnsi="Arial" w:cs="Arial"/>
          <w:sz w:val="20"/>
          <w:szCs w:val="20"/>
        </w:rPr>
        <w:t xml:space="preserve"> </w:t>
      </w:r>
      <w:r w:rsidRPr="00865CE0">
        <w:rPr>
          <w:rFonts w:ascii="Arial" w:hAnsi="Arial" w:cs="Arial"/>
          <w:sz w:val="20"/>
          <w:szCs w:val="20"/>
        </w:rPr>
        <w:t>to all relevant persons with an impact, directly or indirectly, on investment and ancillary services provided by the investment firm or on its corporate behaviour, regardless of the type of clients, to the extent that the remuneration of such persons and similar incentives may create a conflict of interest that encourages them to act against the interests of any of the firm’s clients.</w:t>
      </w:r>
    </w:p>
    <w:p w:rsidR="00865CE0" w:rsidRPr="00865CE0" w:rsidRDefault="00865CE0" w:rsidP="00865CE0">
      <w:pPr>
        <w:pStyle w:val="ListParagraph"/>
        <w:numPr>
          <w:ilvl w:val="0"/>
          <w:numId w:val="32"/>
        </w:numPr>
        <w:spacing w:before="120"/>
        <w:ind w:right="-2"/>
        <w:rPr>
          <w:rFonts w:ascii="Arial" w:hAnsi="Arial" w:cs="Arial"/>
          <w:sz w:val="20"/>
          <w:szCs w:val="20"/>
        </w:rPr>
      </w:pPr>
      <w:r w:rsidRPr="00865CE0">
        <w:rPr>
          <w:rFonts w:ascii="Arial" w:hAnsi="Arial" w:cs="Arial"/>
          <w:sz w:val="20"/>
          <w:szCs w:val="20"/>
        </w:rPr>
        <w:t>The management body of the investment firm shall approve, after taking advice from the compliance function, the firm’s remuneration policy. The senior management of the investment firm shall be responsible for the day-to-day implementation of the remuneration policy and the monitoring of compliance risks related to the policy.</w:t>
      </w:r>
    </w:p>
    <w:p w:rsidR="00865CE0" w:rsidRPr="00865CE0" w:rsidRDefault="00865CE0" w:rsidP="00865CE0">
      <w:pPr>
        <w:pStyle w:val="ListParagraph"/>
        <w:numPr>
          <w:ilvl w:val="0"/>
          <w:numId w:val="32"/>
        </w:numPr>
        <w:spacing w:before="120"/>
        <w:ind w:right="-2"/>
        <w:rPr>
          <w:rFonts w:ascii="Arial" w:hAnsi="Arial" w:cs="Arial"/>
          <w:sz w:val="20"/>
          <w:szCs w:val="20"/>
        </w:rPr>
      </w:pPr>
      <w:r w:rsidRPr="00865CE0">
        <w:rPr>
          <w:rFonts w:ascii="Arial" w:hAnsi="Arial" w:cs="Arial"/>
          <w:sz w:val="20"/>
          <w:szCs w:val="20"/>
        </w:rPr>
        <w:t>Remuneration and similar incentives shall not be solely or predominantly based on quantitative commercial criteria, and shall take fully into account appropriate qualitative criteria reflecting compliance with the applicable regulations, the fair treatment of clients and the quality of services provided to clients.</w:t>
      </w:r>
    </w:p>
    <w:p w:rsidR="00865CE0" w:rsidRPr="00865CE0" w:rsidRDefault="00865CE0" w:rsidP="00865CE0">
      <w:pPr>
        <w:pStyle w:val="ListParagraph"/>
        <w:spacing w:before="120"/>
        <w:ind w:right="-2"/>
        <w:rPr>
          <w:rFonts w:ascii="Arial" w:eastAsia="SimSun" w:hAnsi="Arial" w:cs="Arial"/>
          <w:sz w:val="20"/>
          <w:szCs w:val="20"/>
          <w:lang w:val="en-GB" w:eastAsia="zh-CN"/>
        </w:rPr>
      </w:pPr>
    </w:p>
    <w:p w:rsidR="00865CE0" w:rsidRPr="00865CE0" w:rsidRDefault="00865CE0" w:rsidP="00865CE0">
      <w:pPr>
        <w:pStyle w:val="BodyText"/>
        <w:ind w:left="720" w:right="-2"/>
        <w:jc w:val="left"/>
        <w:rPr>
          <w:rFonts w:cs="Arial"/>
          <w:szCs w:val="20"/>
        </w:rPr>
      </w:pPr>
      <w:r w:rsidRPr="00865CE0">
        <w:rPr>
          <w:rFonts w:cs="Arial"/>
          <w:szCs w:val="20"/>
        </w:rPr>
        <w:t>A balance between fixed and variable components of remuneration shall be maintained at all times, so that the remuneration structure does not favour the interests of the investment firm or its relevant persons against the interests of any client.</w:t>
      </w:r>
    </w:p>
    <w:p w:rsidR="00865CE0" w:rsidRPr="00865CE0" w:rsidRDefault="00865CE0" w:rsidP="00865CE0">
      <w:pPr>
        <w:pStyle w:val="ssPara1"/>
        <w:spacing w:after="0"/>
        <w:ind w:hanging="1806"/>
        <w:jc w:val="left"/>
        <w:rPr>
          <w:rFonts w:cs="Arial"/>
          <w:szCs w:val="20"/>
        </w:rPr>
      </w:pPr>
    </w:p>
    <w:sectPr w:rsidR="00865CE0" w:rsidRPr="00865CE0" w:rsidSect="009906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131" w:rsidRDefault="00464131" w:rsidP="00C14BD4">
      <w:r>
        <w:separator/>
      </w:r>
    </w:p>
  </w:endnote>
  <w:endnote w:type="continuationSeparator" w:id="0">
    <w:p w:rsidR="00464131" w:rsidRDefault="00464131" w:rsidP="00C1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altName w:val="Courier New"/>
    <w:panose1 w:val="00000000000000000000"/>
    <w:charset w:val="00"/>
    <w:family w:val="auto"/>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C" w:rsidRPr="003252CD" w:rsidRDefault="001F53FC">
    <w:pPr>
      <w:rPr>
        <w:sz w:val="12"/>
        <w:szCs w:val="12"/>
      </w:rPr>
    </w:pPr>
  </w:p>
  <w:p w:rsidR="001F53FC" w:rsidRPr="003252CD" w:rsidRDefault="001F53FC" w:rsidP="00E74DB4">
    <w:pPr>
      <w:rPr>
        <w:sz w:val="12"/>
        <w:szCs w:val="12"/>
      </w:rPr>
    </w:pPr>
    <w:r w:rsidRPr="003252CD">
      <w:rPr>
        <w:sz w:val="12"/>
        <w:szCs w:val="12"/>
      </w:rPr>
      <w:t xml:space="preserve"> </w:t>
    </w:r>
    <w:r w:rsidR="0064577C" w:rsidRPr="003252CD">
      <w:rPr>
        <w:sz w:val="12"/>
        <w:szCs w:val="12"/>
      </w:rPr>
      <w:fldChar w:fldCharType="begin"/>
    </w:r>
    <w:r w:rsidRPr="003252CD">
      <w:rPr>
        <w:sz w:val="12"/>
        <w:szCs w:val="12"/>
      </w:rPr>
      <w:instrText xml:space="preserve"> DOCPROPERTY  document_number </w:instrText>
    </w:r>
    <w:r w:rsidR="0064577C" w:rsidRPr="003252CD">
      <w:rPr>
        <w:sz w:val="12"/>
        <w:szCs w:val="12"/>
      </w:rPr>
      <w:fldChar w:fldCharType="separate"/>
    </w:r>
    <w:r w:rsidR="00381DDC">
      <w:rPr>
        <w:sz w:val="12"/>
        <w:szCs w:val="12"/>
      </w:rPr>
      <w:t>62052754 V1 -  - UK1</w:t>
    </w:r>
    <w:r w:rsidR="0064577C" w:rsidRPr="003252CD">
      <w:rPr>
        <w:sz w:val="12"/>
        <w:szCs w:val="12"/>
      </w:rPr>
      <w:fldChar w:fldCharType="end"/>
    </w:r>
    <w:r w:rsidRPr="003252CD">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131" w:rsidRDefault="00464131" w:rsidP="00C14BD4">
      <w:r>
        <w:separator/>
      </w:r>
    </w:p>
  </w:footnote>
  <w:footnote w:type="continuationSeparator" w:id="0">
    <w:p w:rsidR="00464131" w:rsidRDefault="00464131" w:rsidP="00C1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BD4" w:rsidRDefault="00C14BD4" w:rsidP="00A7460B">
    <w:pPr>
      <w:jc w:val="right"/>
      <w:rPr>
        <w:rFonts w:cs="Arial"/>
        <w:sz w:val="16"/>
        <w:szCs w:val="16"/>
      </w:rPr>
    </w:pPr>
    <w:r>
      <w:rPr>
        <w:rFonts w:cs="Arial"/>
        <w:noProof/>
        <w:sz w:val="16"/>
        <w:szCs w:val="16"/>
        <w:lang w:eastAsia="en-GB"/>
      </w:rPr>
      <w:drawing>
        <wp:inline distT="0" distB="0" distL="0" distR="0" wp14:anchorId="7057EE7B" wp14:editId="7864E3D5">
          <wp:extent cx="2505673" cy="60965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A7460B" w:rsidRPr="00A7460B" w:rsidRDefault="00865CE0" w:rsidP="00A7460B">
    <w:pPr>
      <w:jc w:val="right"/>
      <w:rPr>
        <w:rFonts w:cs="Arial"/>
        <w:sz w:val="16"/>
        <w:szCs w:val="16"/>
      </w:rPr>
    </w:pPr>
    <w:r>
      <w:rPr>
        <w:rFonts w:cs="Arial"/>
        <w:sz w:val="16"/>
        <w:szCs w:val="16"/>
      </w:rPr>
      <w:t>20 June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2FE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362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E25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21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48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492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9681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C48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66DE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E80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75AE"/>
    <w:multiLevelType w:val="hybridMultilevel"/>
    <w:tmpl w:val="B6E04650"/>
    <w:lvl w:ilvl="0" w:tplc="E3C0B81E">
      <w:start w:val="1"/>
      <w:numFmt w:val="decimal"/>
      <w:lvlText w:val="%1."/>
      <w:lvlJc w:val="left"/>
      <w:pPr>
        <w:ind w:left="1806" w:hanging="850"/>
        <w:jc w:val="left"/>
      </w:pPr>
      <w:rPr>
        <w:rFonts w:ascii="Times New Roman" w:eastAsia="Times New Roman" w:hAnsi="Times New Roman" w:hint="default"/>
        <w:w w:val="100"/>
        <w:sz w:val="24"/>
        <w:szCs w:val="24"/>
      </w:rPr>
    </w:lvl>
    <w:lvl w:ilvl="1" w:tplc="01BA9DD8">
      <w:start w:val="1"/>
      <w:numFmt w:val="bullet"/>
      <w:lvlText w:val="•"/>
      <w:lvlJc w:val="left"/>
      <w:pPr>
        <w:ind w:left="2718" w:hanging="850"/>
      </w:pPr>
      <w:rPr>
        <w:rFonts w:hint="default"/>
      </w:rPr>
    </w:lvl>
    <w:lvl w:ilvl="2" w:tplc="00F658A8">
      <w:start w:val="1"/>
      <w:numFmt w:val="bullet"/>
      <w:lvlText w:val="•"/>
      <w:lvlJc w:val="left"/>
      <w:pPr>
        <w:ind w:left="3637" w:hanging="850"/>
      </w:pPr>
      <w:rPr>
        <w:rFonts w:hint="default"/>
      </w:rPr>
    </w:lvl>
    <w:lvl w:ilvl="3" w:tplc="80A0182A">
      <w:start w:val="1"/>
      <w:numFmt w:val="bullet"/>
      <w:lvlText w:val="•"/>
      <w:lvlJc w:val="left"/>
      <w:pPr>
        <w:ind w:left="4556" w:hanging="850"/>
      </w:pPr>
      <w:rPr>
        <w:rFonts w:hint="default"/>
      </w:rPr>
    </w:lvl>
    <w:lvl w:ilvl="4" w:tplc="7DE05642">
      <w:start w:val="1"/>
      <w:numFmt w:val="bullet"/>
      <w:lvlText w:val="•"/>
      <w:lvlJc w:val="left"/>
      <w:pPr>
        <w:ind w:left="5475" w:hanging="850"/>
      </w:pPr>
      <w:rPr>
        <w:rFonts w:hint="default"/>
      </w:rPr>
    </w:lvl>
    <w:lvl w:ilvl="5" w:tplc="8AA2CA14">
      <w:start w:val="1"/>
      <w:numFmt w:val="bullet"/>
      <w:lvlText w:val="•"/>
      <w:lvlJc w:val="left"/>
      <w:pPr>
        <w:ind w:left="6393" w:hanging="850"/>
      </w:pPr>
      <w:rPr>
        <w:rFonts w:hint="default"/>
      </w:rPr>
    </w:lvl>
    <w:lvl w:ilvl="6" w:tplc="FF144E2C">
      <w:start w:val="1"/>
      <w:numFmt w:val="bullet"/>
      <w:lvlText w:val="•"/>
      <w:lvlJc w:val="left"/>
      <w:pPr>
        <w:ind w:left="7312" w:hanging="850"/>
      </w:pPr>
      <w:rPr>
        <w:rFonts w:hint="default"/>
      </w:rPr>
    </w:lvl>
    <w:lvl w:ilvl="7" w:tplc="5D9ED594">
      <w:start w:val="1"/>
      <w:numFmt w:val="bullet"/>
      <w:lvlText w:val="•"/>
      <w:lvlJc w:val="left"/>
      <w:pPr>
        <w:ind w:left="8231" w:hanging="850"/>
      </w:pPr>
      <w:rPr>
        <w:rFonts w:hint="default"/>
      </w:rPr>
    </w:lvl>
    <w:lvl w:ilvl="8" w:tplc="34D06720">
      <w:start w:val="1"/>
      <w:numFmt w:val="bullet"/>
      <w:lvlText w:val="•"/>
      <w:lvlJc w:val="left"/>
      <w:pPr>
        <w:ind w:left="9150" w:hanging="850"/>
      </w:pPr>
      <w:rPr>
        <w:rFonts w:hint="default"/>
      </w:rPr>
    </w:lvl>
  </w:abstractNum>
  <w:abstractNum w:abstractNumId="11"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CFD6BC0"/>
    <w:multiLevelType w:val="multilevel"/>
    <w:tmpl w:val="AF0AC594"/>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55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9D455CC"/>
    <w:multiLevelType w:val="hybridMultilevel"/>
    <w:tmpl w:val="8BF6E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C92269D"/>
    <w:multiLevelType w:val="multilevel"/>
    <w:tmpl w:val="FAD8ED8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7677F54"/>
    <w:multiLevelType w:val="hybridMultilevel"/>
    <w:tmpl w:val="1CFE9804"/>
    <w:lvl w:ilvl="0" w:tplc="5E4864E4">
      <w:start w:val="1"/>
      <w:numFmt w:val="decimal"/>
      <w:lvlText w:val="%1."/>
      <w:lvlJc w:val="left"/>
      <w:pPr>
        <w:ind w:left="1806" w:hanging="850"/>
        <w:jc w:val="left"/>
      </w:pPr>
      <w:rPr>
        <w:rFonts w:ascii="Times New Roman" w:eastAsia="Times New Roman" w:hAnsi="Times New Roman" w:hint="default"/>
        <w:w w:val="100"/>
        <w:sz w:val="24"/>
        <w:szCs w:val="24"/>
      </w:rPr>
    </w:lvl>
    <w:lvl w:ilvl="1" w:tplc="DF7E6F54">
      <w:start w:val="1"/>
      <w:numFmt w:val="bullet"/>
      <w:lvlText w:val="•"/>
      <w:lvlJc w:val="left"/>
      <w:pPr>
        <w:ind w:left="2718" w:hanging="850"/>
      </w:pPr>
      <w:rPr>
        <w:rFonts w:hint="default"/>
      </w:rPr>
    </w:lvl>
    <w:lvl w:ilvl="2" w:tplc="6204985A">
      <w:start w:val="1"/>
      <w:numFmt w:val="bullet"/>
      <w:lvlText w:val="•"/>
      <w:lvlJc w:val="left"/>
      <w:pPr>
        <w:ind w:left="3637" w:hanging="850"/>
      </w:pPr>
      <w:rPr>
        <w:rFonts w:hint="default"/>
      </w:rPr>
    </w:lvl>
    <w:lvl w:ilvl="3" w:tplc="5082204A">
      <w:start w:val="1"/>
      <w:numFmt w:val="bullet"/>
      <w:lvlText w:val="•"/>
      <w:lvlJc w:val="left"/>
      <w:pPr>
        <w:ind w:left="4556" w:hanging="850"/>
      </w:pPr>
      <w:rPr>
        <w:rFonts w:hint="default"/>
      </w:rPr>
    </w:lvl>
    <w:lvl w:ilvl="4" w:tplc="12DA9E26">
      <w:start w:val="1"/>
      <w:numFmt w:val="bullet"/>
      <w:lvlText w:val="•"/>
      <w:lvlJc w:val="left"/>
      <w:pPr>
        <w:ind w:left="5475" w:hanging="850"/>
      </w:pPr>
      <w:rPr>
        <w:rFonts w:hint="default"/>
      </w:rPr>
    </w:lvl>
    <w:lvl w:ilvl="5" w:tplc="9FF4F444">
      <w:start w:val="1"/>
      <w:numFmt w:val="bullet"/>
      <w:lvlText w:val="•"/>
      <w:lvlJc w:val="left"/>
      <w:pPr>
        <w:ind w:left="6393" w:hanging="850"/>
      </w:pPr>
      <w:rPr>
        <w:rFonts w:hint="default"/>
      </w:rPr>
    </w:lvl>
    <w:lvl w:ilvl="6" w:tplc="5C686E0A">
      <w:start w:val="1"/>
      <w:numFmt w:val="bullet"/>
      <w:lvlText w:val="•"/>
      <w:lvlJc w:val="left"/>
      <w:pPr>
        <w:ind w:left="7312" w:hanging="850"/>
      </w:pPr>
      <w:rPr>
        <w:rFonts w:hint="default"/>
      </w:rPr>
    </w:lvl>
    <w:lvl w:ilvl="7" w:tplc="1520ADA8">
      <w:start w:val="1"/>
      <w:numFmt w:val="bullet"/>
      <w:lvlText w:val="•"/>
      <w:lvlJc w:val="left"/>
      <w:pPr>
        <w:ind w:left="8231" w:hanging="850"/>
      </w:pPr>
      <w:rPr>
        <w:rFonts w:hint="default"/>
      </w:rPr>
    </w:lvl>
    <w:lvl w:ilvl="8" w:tplc="7AAA3E5E">
      <w:start w:val="1"/>
      <w:numFmt w:val="bullet"/>
      <w:lvlText w:val="•"/>
      <w:lvlJc w:val="left"/>
      <w:pPr>
        <w:ind w:left="9150" w:hanging="850"/>
      </w:pPr>
      <w:rPr>
        <w:rFonts w:hint="default"/>
      </w:rPr>
    </w:lvl>
  </w:abstractNum>
  <w:abstractNum w:abstractNumId="24" w15:restartNumberingAfterBreak="0">
    <w:nsid w:val="47D03AF3"/>
    <w:multiLevelType w:val="multilevel"/>
    <w:tmpl w:val="30C6A42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8F558E0"/>
    <w:multiLevelType w:val="multilevel"/>
    <w:tmpl w:val="0BCCCE9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suff w:val="nothing"/>
      <w:lvlText w:val="(%5)"/>
      <w:lvlJc w:val="left"/>
      <w:pPr>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3C2384B"/>
    <w:multiLevelType w:val="multilevel"/>
    <w:tmpl w:val="B680C11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30" w15:restartNumberingAfterBreak="0">
    <w:nsid w:val="7B6B16F3"/>
    <w:multiLevelType w:val="multilevel"/>
    <w:tmpl w:val="E1EC99DE"/>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F540CB0"/>
    <w:multiLevelType w:val="multilevel"/>
    <w:tmpl w:val="B2FA9ED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9"/>
  </w:num>
  <w:num w:numId="2">
    <w:abstractNumId w:val="18"/>
  </w:num>
  <w:num w:numId="3">
    <w:abstractNumId w:val="25"/>
  </w:num>
  <w:num w:numId="4">
    <w:abstractNumId w:val="16"/>
  </w:num>
  <w:num w:numId="5">
    <w:abstractNumId w:val="21"/>
  </w:num>
  <w:num w:numId="6">
    <w:abstractNumId w:val="27"/>
  </w:num>
  <w:num w:numId="7">
    <w:abstractNumId w:val="28"/>
  </w:num>
  <w:num w:numId="8">
    <w:abstractNumId w:val="26"/>
  </w:num>
  <w:num w:numId="9">
    <w:abstractNumId w:val="13"/>
  </w:num>
  <w:num w:numId="10">
    <w:abstractNumId w:val="30"/>
  </w:num>
  <w:num w:numId="11">
    <w:abstractNumId w:val="14"/>
  </w:num>
  <w:num w:numId="12">
    <w:abstractNumId w:val="31"/>
  </w:num>
  <w:num w:numId="13">
    <w:abstractNumId w:val="12"/>
  </w:num>
  <w:num w:numId="14">
    <w:abstractNumId w:val="11"/>
  </w:num>
  <w:num w:numId="15">
    <w:abstractNumId w:val="22"/>
  </w:num>
  <w:num w:numId="16">
    <w:abstractNumId w:val="20"/>
  </w:num>
  <w:num w:numId="17">
    <w:abstractNumId w:val="17"/>
  </w:num>
  <w:num w:numId="18">
    <w:abstractNumId w:val="24"/>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0"/>
  </w:num>
  <w:num w:numId="26">
    <w:abstractNumId w:val="1"/>
  </w:num>
  <w:num w:numId="27">
    <w:abstractNumId w:val="2"/>
  </w:num>
  <w:num w:numId="28">
    <w:abstractNumId w:val="3"/>
  </w:num>
  <w:num w:numId="29">
    <w:abstractNumId w:val="8"/>
  </w:num>
  <w:num w:numId="30">
    <w:abstractNumId w:val="23"/>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5"/>
    <w:rsid w:val="00072072"/>
    <w:rsid w:val="0008206C"/>
    <w:rsid w:val="00094146"/>
    <w:rsid w:val="000F4286"/>
    <w:rsid w:val="001153B6"/>
    <w:rsid w:val="00126D51"/>
    <w:rsid w:val="00175581"/>
    <w:rsid w:val="0017715A"/>
    <w:rsid w:val="001955B3"/>
    <w:rsid w:val="001B24D8"/>
    <w:rsid w:val="001E0645"/>
    <w:rsid w:val="001E43A5"/>
    <w:rsid w:val="001F21EF"/>
    <w:rsid w:val="001F53FC"/>
    <w:rsid w:val="00213975"/>
    <w:rsid w:val="00220094"/>
    <w:rsid w:val="002906AA"/>
    <w:rsid w:val="0029381C"/>
    <w:rsid w:val="002960E1"/>
    <w:rsid w:val="002971A1"/>
    <w:rsid w:val="002A6843"/>
    <w:rsid w:val="002E4D24"/>
    <w:rsid w:val="002F49E3"/>
    <w:rsid w:val="00301554"/>
    <w:rsid w:val="00311015"/>
    <w:rsid w:val="003252CD"/>
    <w:rsid w:val="00381DDC"/>
    <w:rsid w:val="00390328"/>
    <w:rsid w:val="003C310D"/>
    <w:rsid w:val="003E16E2"/>
    <w:rsid w:val="003F2EB0"/>
    <w:rsid w:val="0044328B"/>
    <w:rsid w:val="00464131"/>
    <w:rsid w:val="004B6AFB"/>
    <w:rsid w:val="004C7C3F"/>
    <w:rsid w:val="00502393"/>
    <w:rsid w:val="0056687A"/>
    <w:rsid w:val="005A0CBF"/>
    <w:rsid w:val="005D0848"/>
    <w:rsid w:val="0062234B"/>
    <w:rsid w:val="0064577C"/>
    <w:rsid w:val="00695E51"/>
    <w:rsid w:val="006E7FB2"/>
    <w:rsid w:val="00767452"/>
    <w:rsid w:val="007A7E9F"/>
    <w:rsid w:val="00822DBB"/>
    <w:rsid w:val="00847CF8"/>
    <w:rsid w:val="00865CE0"/>
    <w:rsid w:val="008A3338"/>
    <w:rsid w:val="008A4EB4"/>
    <w:rsid w:val="00920739"/>
    <w:rsid w:val="0096097B"/>
    <w:rsid w:val="00980174"/>
    <w:rsid w:val="00990647"/>
    <w:rsid w:val="009B0A35"/>
    <w:rsid w:val="00A7460B"/>
    <w:rsid w:val="00AC41A4"/>
    <w:rsid w:val="00AE07E3"/>
    <w:rsid w:val="00AE6F9C"/>
    <w:rsid w:val="00AF5BA0"/>
    <w:rsid w:val="00B14584"/>
    <w:rsid w:val="00BB285E"/>
    <w:rsid w:val="00BD7939"/>
    <w:rsid w:val="00BD7D3A"/>
    <w:rsid w:val="00C04072"/>
    <w:rsid w:val="00C11828"/>
    <w:rsid w:val="00C14BD4"/>
    <w:rsid w:val="00C27680"/>
    <w:rsid w:val="00CA7274"/>
    <w:rsid w:val="00CB058A"/>
    <w:rsid w:val="00CF06B3"/>
    <w:rsid w:val="00D74945"/>
    <w:rsid w:val="00D804FC"/>
    <w:rsid w:val="00D812DA"/>
    <w:rsid w:val="00D845E5"/>
    <w:rsid w:val="00DD060C"/>
    <w:rsid w:val="00E72948"/>
    <w:rsid w:val="00E74DB4"/>
    <w:rsid w:val="00E85801"/>
    <w:rsid w:val="00E85E2E"/>
    <w:rsid w:val="00EB2152"/>
    <w:rsid w:val="00EB6C5A"/>
    <w:rsid w:val="00EC237A"/>
    <w:rsid w:val="00EF5631"/>
    <w:rsid w:val="00F13CBE"/>
    <w:rsid w:val="00F2199C"/>
    <w:rsid w:val="00F32C2B"/>
    <w:rsid w:val="00F66402"/>
    <w:rsid w:val="00FB2994"/>
    <w:rsid w:val="00FC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1A1"/>
    <w:pPr>
      <w:jc w:val="both"/>
    </w:pPr>
    <w:rPr>
      <w:rFonts w:ascii="Arial" w:hAnsi="Arial"/>
      <w:szCs w:val="22"/>
      <w:lang w:eastAsia="zh-CN"/>
    </w:rPr>
  </w:style>
  <w:style w:type="paragraph" w:styleId="Heading1">
    <w:name w:val="heading 1"/>
    <w:basedOn w:val="Normal"/>
    <w:next w:val="ssPara1"/>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rsid w:val="00DB29D9"/>
    <w:pPr>
      <w:numPr>
        <w:ilvl w:val="1"/>
        <w:numId w:val="13"/>
      </w:numPr>
      <w:spacing w:after="260"/>
      <w:jc w:val="center"/>
    </w:pPr>
    <w:rPr>
      <w:b/>
      <w:caps/>
    </w:rPr>
  </w:style>
  <w:style w:type="paragraph" w:customStyle="1" w:styleId="ssRestartPart">
    <w:name w:val="ssRestartPart"/>
    <w:basedOn w:val="Normal"/>
    <w:next w:val="ssPara1"/>
    <w:rsid w:val="00DB29D9"/>
    <w:pPr>
      <w:numPr>
        <w:numId w:val="13"/>
      </w:numPr>
    </w:pPr>
    <w:rPr>
      <w:color w:val="FF0000"/>
    </w:rPr>
  </w:style>
  <w:style w:type="paragraph" w:customStyle="1" w:styleId="ssRestartSchedule">
    <w:name w:val="ssRestartSchedule"/>
    <w:basedOn w:val="Normal"/>
    <w:next w:val="ssPara1"/>
    <w:rsid w:val="008B5DC3"/>
    <w:pPr>
      <w:numPr>
        <w:numId w:val="14"/>
      </w:numPr>
    </w:pPr>
    <w:rPr>
      <w:color w:val="FF0000"/>
    </w:rPr>
  </w:style>
  <w:style w:type="paragraph" w:customStyle="1" w:styleId="ssqSchedule">
    <w:name w:val="ssqSchedule"/>
    <w:basedOn w:val="Normal"/>
    <w:next w:val="ssPara1"/>
    <w:rsid w:val="008B5DC3"/>
    <w:pPr>
      <w:numPr>
        <w:ilvl w:val="1"/>
        <w:numId w:val="14"/>
      </w:numPr>
      <w:spacing w:after="260"/>
      <w:jc w:val="center"/>
    </w:pPr>
    <w:rPr>
      <w:b/>
      <w:caps/>
    </w:rPr>
  </w:style>
  <w:style w:type="paragraph" w:customStyle="1" w:styleId="ssqExhibit">
    <w:name w:val="ssqExhibit"/>
    <w:basedOn w:val="Normal"/>
    <w:next w:val="ssPara1"/>
    <w:rsid w:val="002468A8"/>
    <w:pPr>
      <w:numPr>
        <w:ilvl w:val="1"/>
        <w:numId w:val="16"/>
      </w:numPr>
      <w:spacing w:after="260"/>
      <w:jc w:val="center"/>
    </w:pPr>
    <w:rPr>
      <w:b/>
      <w:caps/>
    </w:rPr>
  </w:style>
  <w:style w:type="paragraph" w:customStyle="1" w:styleId="ssRestartExhibit">
    <w:name w:val="ssRestartExhibit"/>
    <w:basedOn w:val="Normal"/>
    <w:next w:val="ssPara1"/>
    <w:rsid w:val="002468A8"/>
    <w:pPr>
      <w:numPr>
        <w:numId w:val="1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rsid w:val="00CB7D04"/>
    <w:pPr>
      <w:numPr>
        <w:ilvl w:val="1"/>
        <w:numId w:val="19"/>
      </w:numPr>
      <w:spacing w:after="260"/>
      <w:jc w:val="center"/>
    </w:pPr>
    <w:rPr>
      <w:b/>
      <w:caps/>
    </w:rPr>
  </w:style>
  <w:style w:type="paragraph" w:customStyle="1" w:styleId="ssRestartAppendix">
    <w:name w:val="ssRestartAppendix"/>
    <w:basedOn w:val="Normal"/>
    <w:next w:val="ssPara1"/>
    <w:rsid w:val="004108F5"/>
    <w:pPr>
      <w:numPr>
        <w:numId w:val="19"/>
      </w:numPr>
    </w:pPr>
    <w:rPr>
      <w:color w:val="FF0000"/>
    </w:rPr>
  </w:style>
  <w:style w:type="paragraph" w:styleId="TOC1">
    <w:name w:val="toc 1"/>
    <w:basedOn w:val="Normal"/>
    <w:next w:val="Normal"/>
    <w:autoRedefine/>
    <w:rsid w:val="00800C13"/>
    <w:pPr>
      <w:tabs>
        <w:tab w:val="right" w:leader="dot" w:pos="9497"/>
      </w:tabs>
      <w:spacing w:before="220"/>
      <w:ind w:left="709" w:right="595" w:hanging="709"/>
    </w:pPr>
  </w:style>
  <w:style w:type="paragraph" w:styleId="TOC2">
    <w:name w:val="toc 2"/>
    <w:basedOn w:val="Normal"/>
    <w:next w:val="Normal"/>
    <w:autoRedefine/>
    <w:rsid w:val="0098314B"/>
    <w:pPr>
      <w:tabs>
        <w:tab w:val="right" w:leader="dot" w:pos="9497"/>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character" w:styleId="Hyperlink">
    <w:name w:val="Hyperlink"/>
    <w:basedOn w:val="DefaultParagraphFont"/>
    <w:rsid w:val="002971A1"/>
    <w:rPr>
      <w:color w:val="0000FF" w:themeColor="hyperlink"/>
      <w:u w:val="single"/>
    </w:rPr>
  </w:style>
  <w:style w:type="paragraph" w:styleId="Header">
    <w:name w:val="header"/>
    <w:basedOn w:val="Normal"/>
    <w:link w:val="HeaderChar"/>
    <w:rsid w:val="00C14BD4"/>
    <w:pPr>
      <w:tabs>
        <w:tab w:val="center" w:pos="4513"/>
        <w:tab w:val="right" w:pos="9026"/>
      </w:tabs>
    </w:pPr>
  </w:style>
  <w:style w:type="character" w:customStyle="1" w:styleId="HeaderChar">
    <w:name w:val="Header Char"/>
    <w:basedOn w:val="DefaultParagraphFont"/>
    <w:link w:val="Header"/>
    <w:rsid w:val="00C14BD4"/>
    <w:rPr>
      <w:rFonts w:ascii="Arial" w:hAnsi="Arial"/>
      <w:szCs w:val="22"/>
      <w:lang w:eastAsia="zh-CN"/>
    </w:rPr>
  </w:style>
  <w:style w:type="paragraph" w:styleId="Footer">
    <w:name w:val="footer"/>
    <w:basedOn w:val="Normal"/>
    <w:link w:val="FooterChar"/>
    <w:rsid w:val="00C14BD4"/>
    <w:pPr>
      <w:tabs>
        <w:tab w:val="center" w:pos="4513"/>
        <w:tab w:val="right" w:pos="9026"/>
      </w:tabs>
    </w:pPr>
  </w:style>
  <w:style w:type="character" w:customStyle="1" w:styleId="FooterChar">
    <w:name w:val="Footer Char"/>
    <w:basedOn w:val="DefaultParagraphFont"/>
    <w:link w:val="Footer"/>
    <w:rsid w:val="00C14BD4"/>
    <w:rPr>
      <w:rFonts w:ascii="Arial" w:hAnsi="Arial"/>
      <w:szCs w:val="22"/>
      <w:lang w:eastAsia="zh-CN"/>
    </w:rPr>
  </w:style>
  <w:style w:type="paragraph" w:styleId="BalloonText">
    <w:name w:val="Balloon Text"/>
    <w:basedOn w:val="Normal"/>
    <w:link w:val="BalloonTextChar"/>
    <w:rsid w:val="00990647"/>
    <w:rPr>
      <w:rFonts w:ascii="Tahoma" w:hAnsi="Tahoma" w:cs="Tahoma"/>
      <w:sz w:val="16"/>
      <w:szCs w:val="16"/>
    </w:rPr>
  </w:style>
  <w:style w:type="character" w:customStyle="1" w:styleId="BalloonTextChar">
    <w:name w:val="Balloon Text Char"/>
    <w:basedOn w:val="DefaultParagraphFont"/>
    <w:link w:val="BalloonText"/>
    <w:rsid w:val="00990647"/>
    <w:rPr>
      <w:rFonts w:ascii="Tahoma" w:hAnsi="Tahoma" w:cs="Tahoma"/>
      <w:sz w:val="16"/>
      <w:szCs w:val="16"/>
      <w:lang w:eastAsia="zh-CN"/>
    </w:rPr>
  </w:style>
  <w:style w:type="character" w:styleId="FollowedHyperlink">
    <w:name w:val="FollowedHyperlink"/>
    <w:basedOn w:val="DefaultParagraphFont"/>
    <w:rsid w:val="00865CE0"/>
    <w:rPr>
      <w:color w:val="800080" w:themeColor="followedHyperlink"/>
      <w:u w:val="single"/>
    </w:rPr>
  </w:style>
  <w:style w:type="paragraph" w:styleId="ListParagraph">
    <w:name w:val="List Paragraph"/>
    <w:basedOn w:val="Normal"/>
    <w:uiPriority w:val="1"/>
    <w:qFormat/>
    <w:rsid w:val="00865CE0"/>
    <w:pPr>
      <w:widowControl w:val="0"/>
      <w:jc w:val="left"/>
    </w:pPr>
    <w:rPr>
      <w:rFonts w:asciiTheme="minorHAnsi" w:eastAsiaTheme="minorHAnsi" w:hAnsiTheme="minorHAnsi" w:cstheme="minorBid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2014-1569_final_report_-_esmas_technical_advice_to_the_commission_on_mifid_ii_and_mifir.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ma.europa.eu/sites/default/files/library/2015/11/2014-1569_final_report_-_esmas_technical_advice_to_the_commission_on_mifid_ii_and_mifi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ransparency/regdoc/rep/3/2016/EN/3-2016-2398-EN-F1-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0101-D2B9-45F0-AB68-E97A8F01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miloshju</dc:creator>
  <cp:keywords/>
  <dc:description/>
  <cp:lastModifiedBy>Sally Anderson</cp:lastModifiedBy>
  <cp:revision>2</cp:revision>
  <cp:lastPrinted>2016-05-09T08:58:00Z</cp:lastPrinted>
  <dcterms:created xsi:type="dcterms:W3CDTF">2019-10-13T19:55:00Z</dcterms:created>
  <dcterms:modified xsi:type="dcterms:W3CDTF">2019-10-13T19:55:00Z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62052754 V1 -  - UK1</vt:lpwstr>
  </property>
  <property fmtid="{D5CDD505-2E9C-101B-9397-08002B2CF9AE}" pid="3" name="MAIL_MSG_ID1">
    <vt:lpwstr>gFAAbtDMpgn6UhofsDoVBWGBB8pINfDs61w102hDvwB6Tn32PKef1qiVVoamR5dmH9/FGyPgCCbY76Ul
J+tGeY73HihSq0llOU2ahsOY/t7E4NgGCy1zJEQ3ChQSTY3GU4NyzNF0tU40uytd9n69m1yHuMMW
z3znUXMEPiL3WDX72qo9cBIX8Ix3Rx/BYU7JRkh2uQOTLy1L5Ex7efPWOeBaHup4njRfT2a7WuIf
two5rbzTHMI2T/+90</vt:lpwstr>
  </property>
  <property fmtid="{D5CDD505-2E9C-101B-9397-08002B2CF9AE}" pid="4" name="MAIL_MSG_ID2">
    <vt:lpwstr>bkrQJ+LKdtcihWJf0bkCEDfhr++5KSAQpMaLnenqOFt6oULsj0cNL0G8cVu
cZhdVJMQ5zRM/LBO0zZt0XXGRj8+IZSKUrZBzA==</vt:lpwstr>
  </property>
  <property fmtid="{D5CDD505-2E9C-101B-9397-08002B2CF9AE}" pid="5" name="RESPONSE_SENDER_NAME">
    <vt:lpwstr>sAAAXRTqSjcrLAqHDPj5qp2DVKvVVpTUJkbo71C5XELfDoo=</vt:lpwstr>
  </property>
  <property fmtid="{D5CDD505-2E9C-101B-9397-08002B2CF9AE}" pid="6" name="EMAIL_OWNER_ADDRESS">
    <vt:lpwstr>ABAAJXrvhtoYpC60Wj34tky9s3zRaEovW0eJ8gXiU/KKmh2wp6IBw+Oac9gH8egcXTLV</vt:lpwstr>
  </property>
  <property fmtid="{D5CDD505-2E9C-101B-9397-08002B2CF9AE}" pid="7" name="WS_TRACKING_ID">
    <vt:lpwstr>9f8c03ca-6b0e-4adf-810c-f8c8155681c8</vt:lpwstr>
  </property>
</Properties>
</file>