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42" w:type="dxa"/>
        <w:jc w:val="center"/>
        <w:tblLayout w:type="fixed"/>
        <w:tblLook w:val="04A0" w:firstRow="1" w:lastRow="0" w:firstColumn="1" w:lastColumn="0" w:noHBand="0" w:noVBand="1"/>
      </w:tblPr>
      <w:tblGrid>
        <w:gridCol w:w="818"/>
        <w:gridCol w:w="1275"/>
        <w:gridCol w:w="9956"/>
        <w:gridCol w:w="2693"/>
      </w:tblGrid>
      <w:tr w:rsidR="00AE26B0" w:rsidRPr="0021706D" w:rsidTr="00895797">
        <w:trPr>
          <w:tblHeader/>
          <w:jc w:val="center"/>
        </w:trPr>
        <w:tc>
          <w:tcPr>
            <w:tcW w:w="14742" w:type="dxa"/>
            <w:gridSpan w:val="4"/>
            <w:shd w:val="clear" w:color="auto" w:fill="32464D"/>
          </w:tcPr>
          <w:p w:rsidR="00713A14" w:rsidRPr="0021706D" w:rsidRDefault="00713A14" w:rsidP="00937B7E">
            <w:pPr>
              <w:spacing w:before="60" w:afterLines="60" w:after="144"/>
              <w:jc w:val="center"/>
              <w:rPr>
                <w:rFonts w:ascii="Arial" w:hAnsi="Arial" w:cs="Arial"/>
                <w:b/>
                <w:color w:val="FFFFFF" w:themeColor="background1"/>
                <w:sz w:val="16"/>
                <w:szCs w:val="16"/>
              </w:rPr>
            </w:pPr>
            <w:bookmarkStart w:id="0" w:name="_GoBack"/>
            <w:bookmarkEnd w:id="0"/>
            <w:r w:rsidRPr="0021706D">
              <w:rPr>
                <w:rFonts w:ascii="Arial" w:hAnsi="Arial" w:cs="Arial"/>
                <w:b/>
                <w:color w:val="FFFFFF" w:themeColor="background1"/>
                <w:sz w:val="16"/>
                <w:szCs w:val="16"/>
              </w:rPr>
              <w:t>Direct Recordkeeping References</w:t>
            </w:r>
            <w:r w:rsidR="00FC4ED1" w:rsidRPr="0021706D">
              <w:rPr>
                <w:rFonts w:ascii="Arial" w:hAnsi="Arial" w:cs="Arial"/>
                <w:b/>
                <w:color w:val="FFFFFF" w:themeColor="background1"/>
                <w:sz w:val="16"/>
                <w:szCs w:val="16"/>
              </w:rPr>
              <w:t xml:space="preserve"> in MiFID2 and MiFIR</w:t>
            </w:r>
          </w:p>
        </w:tc>
      </w:tr>
      <w:tr w:rsidR="00AE26B0" w:rsidRPr="0021706D" w:rsidTr="00895797">
        <w:trPr>
          <w:tblHeader/>
          <w:jc w:val="center"/>
        </w:trPr>
        <w:tc>
          <w:tcPr>
            <w:tcW w:w="818" w:type="dxa"/>
            <w:shd w:val="clear" w:color="auto" w:fill="32464D"/>
          </w:tcPr>
          <w:p w:rsidR="00D1116B" w:rsidRPr="0021706D" w:rsidRDefault="00D1116B" w:rsidP="00937B7E">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Document</w:t>
            </w:r>
          </w:p>
        </w:tc>
        <w:tc>
          <w:tcPr>
            <w:tcW w:w="1275" w:type="dxa"/>
            <w:shd w:val="clear" w:color="auto" w:fill="32464D"/>
          </w:tcPr>
          <w:p w:rsidR="00D1116B" w:rsidRPr="0021706D" w:rsidRDefault="00D1116B" w:rsidP="00937B7E">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Location</w:t>
            </w:r>
          </w:p>
        </w:tc>
        <w:tc>
          <w:tcPr>
            <w:tcW w:w="9956" w:type="dxa"/>
            <w:shd w:val="clear" w:color="auto" w:fill="32464D"/>
          </w:tcPr>
          <w:p w:rsidR="00D1116B" w:rsidRPr="0021706D" w:rsidRDefault="00D1116B" w:rsidP="00937B7E">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Text</w:t>
            </w:r>
          </w:p>
        </w:tc>
        <w:tc>
          <w:tcPr>
            <w:tcW w:w="2693" w:type="dxa"/>
            <w:shd w:val="clear" w:color="auto" w:fill="32464D"/>
          </w:tcPr>
          <w:p w:rsidR="00D1116B" w:rsidRPr="0021706D" w:rsidRDefault="00F71B46" w:rsidP="00937B7E">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Notes</w:t>
            </w:r>
          </w:p>
        </w:tc>
      </w:tr>
      <w:tr w:rsidR="00AE26B0" w:rsidRPr="0021706D" w:rsidTr="00895797">
        <w:trPr>
          <w:tblHeader/>
          <w:jc w:val="center"/>
        </w:trPr>
        <w:tc>
          <w:tcPr>
            <w:tcW w:w="14742" w:type="dxa"/>
            <w:gridSpan w:val="4"/>
            <w:shd w:val="clear" w:color="auto" w:fill="32464D"/>
          </w:tcPr>
          <w:p w:rsidR="00D1116B" w:rsidRPr="0021706D" w:rsidRDefault="00D1116B" w:rsidP="00937B7E">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Level 1</w:t>
            </w:r>
          </w:p>
        </w:tc>
      </w:tr>
      <w:tr w:rsidR="00FF7FA8" w:rsidRPr="0021706D" w:rsidTr="00FC4ED1">
        <w:trPr>
          <w:jc w:val="center"/>
        </w:trPr>
        <w:tc>
          <w:tcPr>
            <w:tcW w:w="818" w:type="dxa"/>
            <w:vMerge w:val="restart"/>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8"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FF7FA8" w:rsidRPr="0021706D" w:rsidRDefault="00FF7FA8" w:rsidP="00937B7E">
            <w:pPr>
              <w:spacing w:before="60" w:afterLines="60" w:after="144"/>
              <w:rPr>
                <w:rFonts w:ascii="Arial" w:hAnsi="Arial" w:cs="Arial"/>
                <w:sz w:val="16"/>
                <w:szCs w:val="16"/>
              </w:rPr>
            </w:pPr>
          </w:p>
        </w:tc>
        <w:tc>
          <w:tcPr>
            <w:tcW w:w="1275" w:type="dxa"/>
            <w:vMerge w:val="restart"/>
          </w:tcPr>
          <w:p w:rsidR="00FF7FA8" w:rsidRPr="0021706D" w:rsidRDefault="00FF7FA8" w:rsidP="00937B7E">
            <w:pPr>
              <w:spacing w:before="60" w:afterLines="60" w:after="144"/>
              <w:rPr>
                <w:rFonts w:ascii="Arial" w:hAnsi="Arial" w:cs="Arial"/>
                <w:sz w:val="16"/>
                <w:szCs w:val="16"/>
              </w:rPr>
            </w:pPr>
            <w:r w:rsidRPr="0021706D">
              <w:rPr>
                <w:rFonts w:ascii="Arial" w:hAnsi="Arial" w:cs="Arial"/>
                <w:sz w:val="16"/>
                <w:szCs w:val="16"/>
              </w:rPr>
              <w:t>Recital 57</w:t>
            </w:r>
          </w:p>
        </w:tc>
        <w:tc>
          <w:tcPr>
            <w:tcW w:w="9956" w:type="dxa"/>
          </w:tcPr>
          <w:p w:rsidR="00FF7FA8" w:rsidRPr="0021706D" w:rsidRDefault="00FF7FA8" w:rsidP="00937B7E">
            <w:pPr>
              <w:spacing w:before="60" w:afterLines="60" w:after="144"/>
              <w:rPr>
                <w:rFonts w:ascii="Arial" w:hAnsi="Arial" w:cs="Arial"/>
                <w:sz w:val="16"/>
                <w:szCs w:val="16"/>
              </w:rPr>
            </w:pPr>
            <w:r w:rsidRPr="0021706D">
              <w:rPr>
                <w:rFonts w:ascii="Arial" w:hAnsi="Arial" w:cs="Arial"/>
                <w:sz w:val="16"/>
                <w:szCs w:val="16"/>
              </w:rPr>
              <w:t>Commission Directive 2006/73/EC allows Member States to require, in the context of organisational requirements for investment firms, the recording of telephone conversations or electronic communications involving client orders. Recording of telephone conversations or electronic communications involving client orders is compatible with the Charter of Fundamental Rights of the European Union (the Charter) and is justified in order to strengthen investor protection, to improve market surveillance and increase legal certainty in the interest of investment firms and their clients. The importance of such records is also referred to in the technical advice to the Commission, released by the Committee of European Securities Regulators on 29 July 2010. Such records should ensure that there is evidence to prove the terms of any orders given by clients and its correspondence with transactions executed by the investment firms, as well as to detect any behaviour that may have relevance in terms of market abuse, including when firms deal on own account.</w:t>
            </w:r>
          </w:p>
        </w:tc>
        <w:tc>
          <w:tcPr>
            <w:tcW w:w="2693" w:type="dxa"/>
          </w:tcPr>
          <w:p w:rsidR="00FF7FA8" w:rsidRPr="0021706D" w:rsidRDefault="00FF7FA8" w:rsidP="00F71B46">
            <w:pPr>
              <w:pStyle w:val="ListParagraph"/>
              <w:spacing w:before="60" w:afterLines="60" w:after="144"/>
              <w:ind w:left="317"/>
              <w:rPr>
                <w:rFonts w:ascii="Arial" w:hAnsi="Arial" w:cs="Arial"/>
                <w:sz w:val="16"/>
                <w:szCs w:val="16"/>
              </w:rPr>
            </w:pPr>
          </w:p>
        </w:tc>
      </w:tr>
      <w:tr w:rsidR="00FF7FA8" w:rsidRPr="0021706D" w:rsidTr="00FC4ED1">
        <w:trPr>
          <w:jc w:val="center"/>
        </w:trPr>
        <w:tc>
          <w:tcPr>
            <w:tcW w:w="818" w:type="dxa"/>
            <w:vMerge/>
          </w:tcPr>
          <w:p w:rsidR="00FF7FA8" w:rsidRPr="0021706D" w:rsidRDefault="00FF7FA8" w:rsidP="00937B7E">
            <w:pPr>
              <w:spacing w:before="60" w:afterLines="60" w:after="144"/>
              <w:rPr>
                <w:rFonts w:ascii="Arial" w:hAnsi="Arial" w:cs="Arial"/>
                <w:sz w:val="16"/>
                <w:szCs w:val="16"/>
              </w:rPr>
            </w:pPr>
          </w:p>
        </w:tc>
        <w:tc>
          <w:tcPr>
            <w:tcW w:w="1275" w:type="dxa"/>
            <w:vMerge/>
          </w:tcPr>
          <w:p w:rsidR="00FF7FA8" w:rsidRPr="0021706D" w:rsidRDefault="00FF7FA8" w:rsidP="00937B7E">
            <w:pPr>
              <w:spacing w:before="60" w:afterLines="60" w:after="144"/>
              <w:rPr>
                <w:rFonts w:ascii="Arial" w:hAnsi="Arial" w:cs="Arial"/>
                <w:sz w:val="16"/>
                <w:szCs w:val="16"/>
              </w:rPr>
            </w:pPr>
          </w:p>
        </w:tc>
        <w:tc>
          <w:tcPr>
            <w:tcW w:w="9956" w:type="dxa"/>
          </w:tcPr>
          <w:p w:rsidR="00FF7FA8" w:rsidRPr="0021706D" w:rsidRDefault="00FF7FA8" w:rsidP="00FF7FA8">
            <w:pPr>
              <w:spacing w:before="60" w:afterLines="60" w:after="144"/>
              <w:rPr>
                <w:rFonts w:ascii="Arial" w:hAnsi="Arial" w:cs="Arial"/>
                <w:sz w:val="16"/>
                <w:szCs w:val="16"/>
              </w:rPr>
            </w:pPr>
            <w:r w:rsidRPr="0021706D">
              <w:rPr>
                <w:rFonts w:ascii="Arial" w:hAnsi="Arial" w:cs="Arial"/>
                <w:sz w:val="16"/>
                <w:szCs w:val="16"/>
              </w:rPr>
              <w:t>To that end records are needed for all conversations involving a firm’s representatives when dealing, or intending to deal, on own account. Where orders are communicated by clients through other channels than by telephone, such communications should be made in a durable medium such as mails, faxes, emails, documentation of client orders made at meetings. For example, the content of relevant face-to-face conversations with a client could be recorded by using written minutes or notes. Such orders should be considered to be equivalent to orders received by telephone. Where minutes are taken of face-to-face conversations with clients, Member States should ensure that appropriate safeguards are in place to ensure that the client does not lose out as a result of the minutes inaccurately recording the communication between the parties. Such safeguards should not imply any assumption of liability by the client.</w:t>
            </w:r>
          </w:p>
        </w:tc>
        <w:tc>
          <w:tcPr>
            <w:tcW w:w="2693" w:type="dxa"/>
          </w:tcPr>
          <w:p w:rsidR="00FF7FA8" w:rsidRPr="0021706D" w:rsidRDefault="00FF7FA8" w:rsidP="00F71B46">
            <w:pPr>
              <w:pStyle w:val="ListParagraph"/>
              <w:spacing w:before="60" w:afterLines="60" w:after="144"/>
              <w:ind w:left="317"/>
              <w:rPr>
                <w:rFonts w:ascii="Arial" w:hAnsi="Arial" w:cs="Arial"/>
                <w:sz w:val="16"/>
                <w:szCs w:val="16"/>
              </w:rPr>
            </w:pPr>
          </w:p>
        </w:tc>
      </w:tr>
      <w:tr w:rsidR="00FF7FA8" w:rsidRPr="0021706D" w:rsidTr="00FC4ED1">
        <w:trPr>
          <w:jc w:val="center"/>
        </w:trPr>
        <w:tc>
          <w:tcPr>
            <w:tcW w:w="818" w:type="dxa"/>
            <w:vMerge/>
          </w:tcPr>
          <w:p w:rsidR="00FF7FA8" w:rsidRPr="0021706D" w:rsidRDefault="00FF7FA8" w:rsidP="00937B7E">
            <w:pPr>
              <w:spacing w:before="60" w:afterLines="60" w:after="144"/>
              <w:rPr>
                <w:rFonts w:ascii="Arial" w:hAnsi="Arial" w:cs="Arial"/>
                <w:sz w:val="16"/>
                <w:szCs w:val="16"/>
              </w:rPr>
            </w:pPr>
          </w:p>
        </w:tc>
        <w:tc>
          <w:tcPr>
            <w:tcW w:w="1275" w:type="dxa"/>
            <w:vMerge/>
          </w:tcPr>
          <w:p w:rsidR="00FF7FA8" w:rsidRPr="0021706D" w:rsidRDefault="00FF7FA8" w:rsidP="00937B7E">
            <w:pPr>
              <w:spacing w:before="60" w:afterLines="60" w:after="144"/>
              <w:rPr>
                <w:rFonts w:ascii="Arial" w:hAnsi="Arial" w:cs="Arial"/>
                <w:sz w:val="16"/>
                <w:szCs w:val="16"/>
              </w:rPr>
            </w:pPr>
          </w:p>
        </w:tc>
        <w:tc>
          <w:tcPr>
            <w:tcW w:w="9956" w:type="dxa"/>
          </w:tcPr>
          <w:p w:rsidR="00FF7FA8" w:rsidRPr="0021706D" w:rsidRDefault="00FF7FA8" w:rsidP="00937B7E">
            <w:pPr>
              <w:spacing w:before="60" w:afterLines="60" w:after="144"/>
              <w:rPr>
                <w:rFonts w:ascii="Arial" w:hAnsi="Arial" w:cs="Arial"/>
                <w:sz w:val="16"/>
                <w:szCs w:val="16"/>
              </w:rPr>
            </w:pPr>
            <w:r w:rsidRPr="0021706D">
              <w:rPr>
                <w:rFonts w:ascii="Arial" w:hAnsi="Arial" w:cs="Arial"/>
                <w:sz w:val="16"/>
                <w:szCs w:val="16"/>
              </w:rPr>
              <w:t>In order to provide legal certainty regarding the scope of the obligation, it is appropriate to apply it to all equipment provided by the firm or permitted to be used by the investment firm and to require the investment firms to take reasonable steps to ensure that no privately owned equipment is used in relation to transactions. Those records should be available to competent authorities in the fulfilment of their supervisory tasks and in the performance of enforcement actions under this Directive and under Regulation (EU) No 600/2014, Regulation (EU) No 596/2014 and Directive 2014/57/EU of the European Parliament and of the Council in order to help competent authorities identify behaviours which are not compliant with the legal framework regulating the activity of investment firms. Those records should also be available to investment firms and to clients to demonstrate the development of their relationship with regard to orders transmitted by clients and transaction carried out by firms. For those reasons, it is appropriate to provide in this Directive for the principles of a general regime concerning the recording of telephone conversations or electronic communications involving client orders.</w:t>
            </w:r>
          </w:p>
        </w:tc>
        <w:tc>
          <w:tcPr>
            <w:tcW w:w="2693" w:type="dxa"/>
          </w:tcPr>
          <w:p w:rsidR="00FF7FA8" w:rsidRPr="0021706D" w:rsidRDefault="00FF7FA8" w:rsidP="00F71B46">
            <w:pPr>
              <w:pStyle w:val="ListParagraph"/>
              <w:spacing w:before="60" w:afterLines="60" w:after="144"/>
              <w:ind w:left="317"/>
              <w:rPr>
                <w:rFonts w:ascii="Arial" w:hAnsi="Arial" w:cs="Arial"/>
                <w:sz w:val="16"/>
                <w:szCs w:val="16"/>
              </w:rPr>
            </w:pPr>
          </w:p>
        </w:tc>
      </w:tr>
      <w:tr w:rsidR="00C110C4" w:rsidRPr="0021706D" w:rsidTr="00FC4ED1">
        <w:trPr>
          <w:jc w:val="center"/>
        </w:trPr>
        <w:tc>
          <w:tcPr>
            <w:tcW w:w="818" w:type="dxa"/>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9"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C110C4" w:rsidRPr="0021706D" w:rsidRDefault="00C110C4" w:rsidP="00937B7E">
            <w:pPr>
              <w:spacing w:before="60" w:afterLines="60" w:after="144"/>
              <w:rPr>
                <w:rFonts w:ascii="Arial" w:hAnsi="Arial" w:cs="Arial"/>
                <w:sz w:val="16"/>
                <w:szCs w:val="16"/>
              </w:rPr>
            </w:pPr>
          </w:p>
        </w:tc>
        <w:tc>
          <w:tcPr>
            <w:tcW w:w="1275" w:type="dxa"/>
          </w:tcPr>
          <w:p w:rsidR="00C110C4" w:rsidRPr="0021706D" w:rsidRDefault="00C110C4" w:rsidP="00937B7E">
            <w:pPr>
              <w:spacing w:before="60" w:afterLines="60" w:after="144"/>
              <w:rPr>
                <w:rFonts w:ascii="Arial" w:hAnsi="Arial" w:cs="Arial"/>
                <w:sz w:val="16"/>
                <w:szCs w:val="16"/>
              </w:rPr>
            </w:pPr>
            <w:r w:rsidRPr="0021706D">
              <w:rPr>
                <w:rFonts w:ascii="Arial" w:hAnsi="Arial" w:cs="Arial"/>
                <w:sz w:val="16"/>
                <w:szCs w:val="16"/>
              </w:rPr>
              <w:t>Recital 144</w:t>
            </w:r>
          </w:p>
        </w:tc>
        <w:tc>
          <w:tcPr>
            <w:tcW w:w="9956" w:type="dxa"/>
          </w:tcPr>
          <w:p w:rsidR="00C110C4" w:rsidRPr="0021706D" w:rsidRDefault="00C110C4" w:rsidP="00937B7E">
            <w:pPr>
              <w:spacing w:before="60" w:afterLines="60" w:after="144"/>
              <w:rPr>
                <w:rFonts w:ascii="Arial" w:hAnsi="Arial" w:cs="Arial"/>
                <w:sz w:val="16"/>
                <w:szCs w:val="16"/>
              </w:rPr>
            </w:pPr>
            <w:r w:rsidRPr="0021706D">
              <w:rPr>
                <w:rFonts w:ascii="Arial" w:hAnsi="Arial" w:cs="Arial"/>
                <w:sz w:val="16"/>
                <w:szCs w:val="16"/>
              </w:rPr>
              <w:t>Existing recordings of telephone conversations and data traffic records from investment firms executing and documenting the executions of transactions, as well as existing telephone and data traffic records from telecommunications operators constitute crucial, and sometimes the only, evidence to detect and prove the existence of market abuse as well as verify compliance by firms with investor protection and other requirements set out in this Directive or in Regulation (EU) No 600/2014. Therefore, competent authorities should be able to require existing recordings of telephone conversations, electronic communications and data traffic records held by an investment firm or credit. Access to data and telephone records is necessary for the detection and penalising of market abuse or of infringements of requirements set out in this Directive or in Regulation (EU) No 600/2014.</w:t>
            </w:r>
          </w:p>
          <w:p w:rsidR="00C110C4" w:rsidRPr="0021706D" w:rsidRDefault="00C110C4" w:rsidP="00937B7E">
            <w:pPr>
              <w:spacing w:before="60" w:afterLines="60" w:after="144"/>
              <w:rPr>
                <w:rFonts w:ascii="Arial" w:hAnsi="Arial" w:cs="Arial"/>
                <w:sz w:val="16"/>
                <w:szCs w:val="16"/>
              </w:rPr>
            </w:pPr>
            <w:r w:rsidRPr="0021706D">
              <w:rPr>
                <w:rFonts w:ascii="Arial" w:hAnsi="Arial" w:cs="Arial"/>
                <w:sz w:val="16"/>
                <w:szCs w:val="16"/>
              </w:rPr>
              <w:t xml:space="preserve">In order to introduce a level playing field in the Union in relation to the access to telephone and existing data traffic records held by a telecommunication operator or the existing recordings of telephone conversations and data traffic held by an investment firm, competent authorities should, in accordance with national law, be able to require existing telephone and existing data traffic records held by a telecommunication operator insofar as permitted under national law and existing recordings of telephone conversations as well as data traffic held by an investment firm, in those cases where a reasonable suspicion exists that such records relating to the subject matter of </w:t>
            </w:r>
            <w:r w:rsidRPr="0021706D">
              <w:rPr>
                <w:rFonts w:ascii="Arial" w:hAnsi="Arial" w:cs="Arial"/>
                <w:sz w:val="16"/>
                <w:szCs w:val="16"/>
              </w:rPr>
              <w:lastRenderedPageBreak/>
              <w:t>the inspection or investigation may be relevant to prove behaviour that is prohibited under Regulation (EU) No 596/2014 or infringements of the requirements of this Directive or of Regulation (EU) No 600/2014. Access to telephone and data traffic records held by a telecommunications operator should not encompass the content of voice communications by telephone.</w:t>
            </w:r>
          </w:p>
        </w:tc>
        <w:tc>
          <w:tcPr>
            <w:tcW w:w="2693" w:type="dxa"/>
          </w:tcPr>
          <w:p w:rsidR="00C110C4" w:rsidRPr="0021706D" w:rsidRDefault="00C110C4" w:rsidP="00937B7E">
            <w:pPr>
              <w:spacing w:before="60" w:afterLines="60" w:after="144"/>
              <w:rPr>
                <w:rFonts w:ascii="Arial" w:hAnsi="Arial" w:cs="Arial"/>
                <w:sz w:val="16"/>
                <w:szCs w:val="16"/>
              </w:rPr>
            </w:pPr>
          </w:p>
        </w:tc>
      </w:tr>
      <w:tr w:rsidR="00BC3CE5" w:rsidRPr="0021706D" w:rsidTr="00FC4ED1">
        <w:trPr>
          <w:jc w:val="center"/>
        </w:trPr>
        <w:tc>
          <w:tcPr>
            <w:tcW w:w="818" w:type="dxa"/>
            <w:shd w:val="clear" w:color="auto" w:fill="auto"/>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10"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BC3CE5" w:rsidRPr="0021706D" w:rsidRDefault="00BC3CE5" w:rsidP="00937B7E">
            <w:pPr>
              <w:spacing w:before="60" w:afterLines="60" w:after="144"/>
              <w:rPr>
                <w:rFonts w:ascii="Arial" w:hAnsi="Arial" w:cs="Arial"/>
                <w:sz w:val="16"/>
                <w:szCs w:val="16"/>
              </w:rPr>
            </w:pPr>
          </w:p>
        </w:tc>
        <w:tc>
          <w:tcPr>
            <w:tcW w:w="1275" w:type="dxa"/>
            <w:shd w:val="clear" w:color="auto" w:fill="auto"/>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4(1)(62)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‘durable medium’ means any instrument which:</w:t>
            </w:r>
          </w:p>
          <w:p w:rsidR="00BC3CE5" w:rsidRPr="0021706D" w:rsidRDefault="00BC3CE5" w:rsidP="0021706D">
            <w:pPr>
              <w:pStyle w:val="ListParagraph"/>
              <w:numPr>
                <w:ilvl w:val="0"/>
                <w:numId w:val="46"/>
              </w:numPr>
              <w:spacing w:before="60" w:afterLines="60" w:after="144"/>
              <w:rPr>
                <w:rFonts w:ascii="Arial" w:hAnsi="Arial" w:cs="Arial"/>
                <w:sz w:val="16"/>
                <w:szCs w:val="16"/>
              </w:rPr>
            </w:pPr>
            <w:r w:rsidRPr="0021706D">
              <w:rPr>
                <w:rFonts w:ascii="Arial" w:hAnsi="Arial" w:cs="Arial"/>
                <w:sz w:val="16"/>
                <w:szCs w:val="16"/>
              </w:rPr>
              <w:t>enables a client to store information addressed personally to that client in a way accessible for future reference and for a period of time adequate for the purposes of the information; and</w:t>
            </w:r>
          </w:p>
          <w:p w:rsidR="00BC3CE5" w:rsidRPr="0021706D" w:rsidRDefault="00BC3CE5" w:rsidP="0021706D">
            <w:pPr>
              <w:pStyle w:val="ListParagraph"/>
              <w:numPr>
                <w:ilvl w:val="0"/>
                <w:numId w:val="46"/>
              </w:numPr>
              <w:spacing w:before="60" w:afterLines="60" w:after="144"/>
              <w:rPr>
                <w:rFonts w:ascii="Arial" w:hAnsi="Arial" w:cs="Arial"/>
                <w:sz w:val="16"/>
                <w:szCs w:val="16"/>
              </w:rPr>
            </w:pPr>
            <w:r w:rsidRPr="0021706D">
              <w:rPr>
                <w:rFonts w:ascii="Arial" w:hAnsi="Arial" w:cs="Arial"/>
                <w:sz w:val="16"/>
                <w:szCs w:val="16"/>
              </w:rPr>
              <w:t>allows the unchanged reproduction of the information stored.</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FC4ED1">
        <w:trPr>
          <w:jc w:val="center"/>
        </w:trPr>
        <w:tc>
          <w:tcPr>
            <w:tcW w:w="818" w:type="dxa"/>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11"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BC3CE5" w:rsidRPr="0021706D" w:rsidRDefault="00BC3CE5" w:rsidP="00937B7E">
            <w:pPr>
              <w:spacing w:before="60" w:afterLines="60" w:after="144"/>
              <w:rPr>
                <w:rFonts w:ascii="Arial" w:hAnsi="Arial" w:cs="Arial"/>
                <w:sz w:val="16"/>
                <w:szCs w:val="16"/>
              </w:rPr>
            </w:pPr>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16(6)</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An investment firm shall arrange for records to be kept of all services, activities and transactions undertaken by it which shall be sufficient to enable the competent authority to fulfil its supervisory tasks and to perform the enforcement actions under this Directive, Regulation (EU) No 600/2014, Directive 2014/57/EU and Regulation (EU) No 596/2014, and in particular to ascertain that the investment firm has complied with all obligations including those with respect to clients or potential clients and to the integrity of the market.</w:t>
            </w:r>
          </w:p>
        </w:tc>
        <w:tc>
          <w:tcPr>
            <w:tcW w:w="2693" w:type="dxa"/>
          </w:tcPr>
          <w:p w:rsidR="00F5182D" w:rsidRPr="0021706D" w:rsidRDefault="00F5182D" w:rsidP="00CD6748">
            <w:pPr>
              <w:spacing w:before="60" w:afterLines="60" w:after="144"/>
              <w:ind w:left="-43"/>
              <w:rPr>
                <w:rFonts w:ascii="Arial" w:hAnsi="Arial" w:cs="Arial"/>
                <w:sz w:val="16"/>
                <w:szCs w:val="16"/>
              </w:rPr>
            </w:pPr>
          </w:p>
        </w:tc>
      </w:tr>
      <w:tr w:rsidR="00BC3CE5" w:rsidRPr="0021706D" w:rsidTr="00FC4ED1">
        <w:trPr>
          <w:jc w:val="center"/>
        </w:trPr>
        <w:tc>
          <w:tcPr>
            <w:tcW w:w="818" w:type="dxa"/>
            <w:vMerge w:val="restart"/>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12"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BC3CE5" w:rsidRPr="0021706D" w:rsidRDefault="00BC3CE5" w:rsidP="00937B7E">
            <w:pPr>
              <w:spacing w:before="60" w:afterLines="60" w:after="144"/>
              <w:rPr>
                <w:rFonts w:ascii="Arial" w:hAnsi="Arial" w:cs="Arial"/>
                <w:sz w:val="16"/>
                <w:szCs w:val="16"/>
              </w:rPr>
            </w:pPr>
          </w:p>
        </w:tc>
        <w:tc>
          <w:tcPr>
            <w:tcW w:w="1275" w:type="dxa"/>
            <w:vMerge w:val="restart"/>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16(7)</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Records shall include the recording of telephone conversations or electronic communications relating to, at least, transactions concluded when dealing on own account and the provision of client order services that relate to the reception, transmission and execution of client orders.</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FC4ED1">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Such telephone conversations and electronic communications shall also include those that are intended to result in transactions concluded when dealing on own account or in the provision of client order services that relate to the reception, transmission and execution of client orders, even if those conversations or communications do not result in the conclusion of such transactions or in the provision of client order services. For those purposes, an investment firm shall take all reasonable steps to record relevant telephone conversations and electronic communications, made with, sent from or received by equipment provided by the investment firm to an employee or contractor or the use of which by an employee or contractor has been accepted or permitted by the investment firm.</w:t>
            </w:r>
          </w:p>
        </w:tc>
        <w:tc>
          <w:tcPr>
            <w:tcW w:w="2693" w:type="dxa"/>
          </w:tcPr>
          <w:p w:rsidR="00BC3CE5" w:rsidRPr="0021706D" w:rsidRDefault="00BC3CE5" w:rsidP="00937B7E">
            <w:pPr>
              <w:spacing w:before="60" w:afterLines="60" w:after="144"/>
              <w:rPr>
                <w:rFonts w:ascii="Arial" w:hAnsi="Arial" w:cs="Arial"/>
                <w:sz w:val="16"/>
                <w:szCs w:val="16"/>
                <w:highlight w:val="yellow"/>
              </w:rPr>
            </w:pPr>
          </w:p>
        </w:tc>
      </w:tr>
      <w:tr w:rsidR="00BC3CE5" w:rsidRPr="0021706D" w:rsidTr="00FC4ED1">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An investment firm shall notify new and existing clients that telephone communications or conversations between the investment firm and its clients that result or may result in transactions will be recorded.</w:t>
            </w:r>
          </w:p>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 xml:space="preserve">Such a notification may be made once, before the provision of investment services to new and existing clients. </w:t>
            </w:r>
          </w:p>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An investment firm shall not provide, by telephone, investment services and activities to clients who have not been notified in advance about the recording of their telephone communications or conversations, where such investment services and activities relate to the reception, transmission and execution of client orders.</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FC4ED1">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Orders may be placed by clients through other channels, however such communications must be made in a durable medium such as mails, faxes, emails or documentation of client orders made at meetings. In particular, the content of relevant face-to-face conversations with a client may be recorded by using written minutes or notes. Such orders shall be considered equivalent to orders received by telephone.</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FC4ED1">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An investment firm shall take all reasonable steps to prevent an employee or contractor from making, sending or receiving relevant telephone conversations and electronic communications on privately-owned equipment which the investment firm is unable to record or copy.</w:t>
            </w:r>
          </w:p>
        </w:tc>
        <w:tc>
          <w:tcPr>
            <w:tcW w:w="2693" w:type="dxa"/>
          </w:tcPr>
          <w:p w:rsidR="00BC3CE5" w:rsidRPr="0021706D" w:rsidRDefault="00BC3CE5" w:rsidP="00937B7E">
            <w:pPr>
              <w:spacing w:before="60" w:afterLines="60" w:after="144"/>
              <w:rPr>
                <w:rFonts w:ascii="Arial" w:hAnsi="Arial" w:cs="Arial"/>
                <w:sz w:val="16"/>
                <w:szCs w:val="16"/>
                <w:highlight w:val="yellow"/>
              </w:rPr>
            </w:pPr>
          </w:p>
        </w:tc>
      </w:tr>
      <w:tr w:rsidR="00BC3CE5" w:rsidRPr="0021706D" w:rsidTr="00FC4ED1">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records kept in accordance with this paragraph shall be provided to the client involved upon request and shall be kept for a period of five years and, where requested by the competent authority, for a period of up to seven years.</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FC4ED1">
        <w:trPr>
          <w:jc w:val="center"/>
        </w:trPr>
        <w:tc>
          <w:tcPr>
            <w:tcW w:w="818" w:type="dxa"/>
            <w:vMerge w:val="restart"/>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13"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BC3CE5" w:rsidRPr="0021706D" w:rsidRDefault="00BC3CE5" w:rsidP="00937B7E">
            <w:pPr>
              <w:spacing w:before="60" w:afterLines="60" w:after="144"/>
              <w:rPr>
                <w:rFonts w:ascii="Arial" w:hAnsi="Arial" w:cs="Arial"/>
                <w:sz w:val="16"/>
                <w:szCs w:val="16"/>
              </w:rPr>
            </w:pPr>
          </w:p>
        </w:tc>
        <w:tc>
          <w:tcPr>
            <w:tcW w:w="1275" w:type="dxa"/>
            <w:vMerge w:val="restart"/>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17(2)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An investment firm that engages in algorithmic trading in a Member State shall notify this to the competent authorities of its home Member State and of the trading venue at which the investment firm engages in algorithmic trading as a member or participant of the trading venue.</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 xml:space="preserve">The competent authority of the home Member State of the investment firm may require the investment firm to provide, on a regular or ad-hoc basis, a description of the nature of its algorithmic trading strategies, details of the trading parameters or limits to which the system is subject, the key compliance and risk controls that it has in place to ensure the conditions laid down in paragraph 1 are satisfied and details of the testing of its systems. The competent authority of the home Member State of the investment firm may, at any time, request further information from an investment firm about its algorithmic trading and the systems used for that trading. </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competent authority of the home Member State of the investment firm shall, on the request of a competent authority of a trading venue at which the investment firm as a member or participant of the trading venue is engaged in algorithmic trading and without undue delay, communicate the information referred to in the second subparagraph that it receives from the investment firm that engages in algorithmic trading.</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investment firm shall arrange for records to be kept in relation to the matters referred to in this paragraph and shall ensure that those records be sufficient to enable its competent authority to monitor compliance with the requirements of this Directive.</w:t>
            </w:r>
          </w:p>
        </w:tc>
        <w:tc>
          <w:tcPr>
            <w:tcW w:w="2693" w:type="dxa"/>
          </w:tcPr>
          <w:p w:rsidR="00BC3CE5" w:rsidRPr="0021706D" w:rsidRDefault="00BC3CE5" w:rsidP="00D40AD2">
            <w:pPr>
              <w:spacing w:before="60" w:afterLines="60" w:after="144"/>
              <w:ind w:left="-43"/>
              <w:rPr>
                <w:rFonts w:ascii="Arial" w:hAnsi="Arial" w:cs="Arial"/>
                <w:sz w:val="16"/>
                <w:szCs w:val="16"/>
              </w:rPr>
            </w:pPr>
          </w:p>
        </w:tc>
      </w:tr>
      <w:tr w:rsidR="00BC3CE5" w:rsidRPr="0021706D" w:rsidTr="00FC4ED1">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An investment firm that engages in a high-frequency algorithmic trading technique shall store in an approved form accurate and time sequenced records of all its placed orders, including cancellations of orders, executed orders and quotations on trading venues and shall make them available to the competent authority upon request.</w:t>
            </w:r>
          </w:p>
        </w:tc>
        <w:tc>
          <w:tcPr>
            <w:tcW w:w="2693" w:type="dxa"/>
          </w:tcPr>
          <w:p w:rsidR="00BC3CE5" w:rsidRPr="0021706D" w:rsidRDefault="00BC3CE5" w:rsidP="00937B7E">
            <w:pPr>
              <w:spacing w:before="60" w:afterLines="60" w:after="144"/>
              <w:rPr>
                <w:rFonts w:ascii="Arial" w:hAnsi="Arial" w:cs="Arial"/>
                <w:sz w:val="16"/>
                <w:szCs w:val="16"/>
              </w:rPr>
            </w:pPr>
          </w:p>
        </w:tc>
      </w:tr>
      <w:tr w:rsidR="00BC3CE5" w:rsidRPr="0021706D" w:rsidTr="00FC4ED1">
        <w:trPr>
          <w:jc w:val="center"/>
        </w:trPr>
        <w:tc>
          <w:tcPr>
            <w:tcW w:w="818" w:type="dxa"/>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14"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BC3CE5" w:rsidRPr="0021706D" w:rsidRDefault="00BC3CE5" w:rsidP="00937B7E">
            <w:pPr>
              <w:spacing w:before="60" w:afterLines="60" w:after="144"/>
              <w:rPr>
                <w:rFonts w:ascii="Arial" w:hAnsi="Arial" w:cs="Arial"/>
                <w:sz w:val="16"/>
                <w:szCs w:val="16"/>
              </w:rPr>
            </w:pPr>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17(5)</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An investment firm that provides direct electronic access to a trading venue shall have in place effective systems and controls which ensure a proper assessment and review of the suitability of clients using the service, that clients using the service are prevented from exceeding appropriate pre-set trading and credit thresholds, that trading by clients using the service is properly monitored and that appropriate risk controls prevent trading that may create risks to the investment firm itself or that could create or contribute to a disorderly market or could be contrary to Regulation (EU) No 596/2014 or the rules of the trading venue. Direct electronic access without such controls is prohibited.</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 xml:space="preserve">An investment firm that provides direct electronic access shall be responsible for ensuring that clients using that service comply with the requirements of this Directive and the rules of the trading venue. The investment firm shall monitor the transactions in order to identify infringements of those rules, disorderly trading conditions or conduct that may involve market abuse and that is to be reported to the competent authority. The investment firm shall ensure that there is a binding written agreement between the investment firm and the </w:t>
            </w:r>
            <w:r w:rsidRPr="0021706D">
              <w:rPr>
                <w:rFonts w:ascii="Arial" w:hAnsi="Arial" w:cs="Arial"/>
                <w:sz w:val="16"/>
                <w:szCs w:val="16"/>
              </w:rPr>
              <w:lastRenderedPageBreak/>
              <w:t>client regarding the essential rights and obligations arising from the provision of the service and that under the agreement the investment firm retains responsibility under this Directive.</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An investment firm that provides direct electronic access to a trading venue shall notify the competent authorities of its home Member State and of the trading venue at which the investment firm provides direct electronic access accordingly.</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competent authority of the home Member State of the investment firm may require the investment firm to provide, on a regular or ad-hoc basis, a description of the systems and controls referred to in first subparagraph and evidence that those have been applied.</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competent authority of the home Member State of the investment firm shall, on the request of a competent authority of a trading venue in relation to which the investment firm provides direct electronic access, communicate without undue delay the information referred to in the fourth subparagraph that it receives from the investment firm.</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investment firm shall arrange for records to be kept in relation to the matters referred to in this paragraph and shall ensure that those records be sufficient to enable its competent authority to monitor compliance with the requirements of this Directive.</w:t>
            </w:r>
          </w:p>
        </w:tc>
        <w:tc>
          <w:tcPr>
            <w:tcW w:w="2693" w:type="dxa"/>
          </w:tcPr>
          <w:p w:rsidR="00BC3CE5" w:rsidRPr="0021706D" w:rsidRDefault="00BC3CE5" w:rsidP="00937B7E">
            <w:pPr>
              <w:spacing w:before="60" w:afterLines="60" w:after="144"/>
              <w:rPr>
                <w:rFonts w:ascii="Arial" w:hAnsi="Arial" w:cs="Arial"/>
                <w:sz w:val="16"/>
                <w:szCs w:val="16"/>
              </w:rPr>
            </w:pPr>
          </w:p>
        </w:tc>
      </w:tr>
      <w:tr w:rsidR="00BC3CE5" w:rsidRPr="0021706D" w:rsidTr="00FC4ED1">
        <w:trPr>
          <w:jc w:val="center"/>
        </w:trPr>
        <w:tc>
          <w:tcPr>
            <w:tcW w:w="818" w:type="dxa"/>
          </w:tcPr>
          <w:p w:rsidR="00D53846" w:rsidRPr="0021706D" w:rsidRDefault="00DF1DF8" w:rsidP="00D53846">
            <w:pPr>
              <w:pStyle w:val="NormalWeb"/>
              <w:shd w:val="clear" w:color="auto" w:fill="FFFFFF"/>
              <w:spacing w:before="0" w:beforeAutospacing="0" w:after="0" w:afterAutospacing="0" w:line="270" w:lineRule="atLeast"/>
              <w:rPr>
                <w:rFonts w:ascii="Arial" w:hAnsi="Arial" w:cs="Arial"/>
                <w:color w:val="4B5156"/>
                <w:sz w:val="16"/>
                <w:szCs w:val="16"/>
              </w:rPr>
            </w:pPr>
            <w:hyperlink r:id="rId15" w:tgtFrame="_blank" w:history="1">
              <w:r w:rsidR="00D53846" w:rsidRPr="0021706D">
                <w:rPr>
                  <w:rStyle w:val="Hyperlink"/>
                  <w:rFonts w:ascii="Arial" w:hAnsi="Arial" w:cs="Arial"/>
                  <w:color w:val="00675D"/>
                  <w:sz w:val="16"/>
                  <w:szCs w:val="16"/>
                  <w:bdr w:val="none" w:sz="0" w:space="0" w:color="auto" w:frame="1"/>
                </w:rPr>
                <w:t xml:space="preserve">MiFID2 </w:t>
              </w:r>
            </w:hyperlink>
          </w:p>
          <w:p w:rsidR="00BC3CE5" w:rsidRPr="0021706D" w:rsidRDefault="00BC3CE5" w:rsidP="00937B7E">
            <w:pPr>
              <w:spacing w:before="60" w:afterLines="60" w:after="144"/>
              <w:rPr>
                <w:rFonts w:ascii="Arial" w:hAnsi="Arial" w:cs="Arial"/>
                <w:sz w:val="16"/>
                <w:szCs w:val="16"/>
              </w:rPr>
            </w:pPr>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25(5)</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investment firm shall establish a record that includes the document or documents agreed between the investment firm and the client that set out the rights and obligations of the parties, and the other terms on which the investment firm will provide services to the client. The rights and duties of the parties to the contract may be incorporated by reference to other documents or legal texts.</w:t>
            </w:r>
          </w:p>
        </w:tc>
        <w:tc>
          <w:tcPr>
            <w:tcW w:w="2693" w:type="dxa"/>
          </w:tcPr>
          <w:p w:rsidR="00BC3CE5" w:rsidRPr="0021706D" w:rsidRDefault="00BC3CE5" w:rsidP="00F647D6">
            <w:pPr>
              <w:spacing w:before="60" w:afterLines="60" w:after="144"/>
              <w:ind w:left="-43"/>
              <w:rPr>
                <w:rFonts w:ascii="Arial" w:hAnsi="Arial" w:cs="Arial"/>
                <w:sz w:val="16"/>
                <w:szCs w:val="16"/>
              </w:rPr>
            </w:pPr>
          </w:p>
        </w:tc>
      </w:tr>
      <w:tr w:rsidR="00BC3CE5" w:rsidRPr="0021706D" w:rsidTr="00FC4ED1">
        <w:trPr>
          <w:jc w:val="center"/>
        </w:trPr>
        <w:tc>
          <w:tcPr>
            <w:tcW w:w="818" w:type="dxa"/>
          </w:tcPr>
          <w:p w:rsidR="00BC3CE5" w:rsidRPr="0021706D" w:rsidRDefault="00DF1DF8" w:rsidP="00D53846">
            <w:pPr>
              <w:spacing w:before="60" w:afterLines="60" w:after="144"/>
              <w:rPr>
                <w:rFonts w:ascii="Arial" w:hAnsi="Arial" w:cs="Arial"/>
                <w:sz w:val="16"/>
                <w:szCs w:val="16"/>
              </w:rPr>
            </w:pPr>
            <w:hyperlink r:id="rId16" w:tgtFrame="_blank" w:history="1">
              <w:r w:rsidR="00D53846" w:rsidRPr="0021706D">
                <w:rPr>
                  <w:rStyle w:val="Hyperlink"/>
                  <w:rFonts w:ascii="Arial" w:hAnsi="Arial" w:cs="Arial"/>
                  <w:color w:val="00675D"/>
                  <w:sz w:val="16"/>
                  <w:szCs w:val="16"/>
                  <w:bdr w:val="none" w:sz="0" w:space="0" w:color="auto" w:frame="1"/>
                  <w:shd w:val="clear" w:color="auto" w:fill="FFFFFF"/>
                </w:rPr>
                <w:t xml:space="preserve">MiFIR  </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Recital 34</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 order to serve their purpose as a tool for market monitoring, transaction reports should identify the person who has made the investment decision, as well as those responsible for its execution. In addition to the transparency regime provided for in Regulation (EU) No 236/2012 of the European Parliament and of the Council, the marking of short sales provides useful supplementary information to enable competent authorities to monitor levels of short selling. Competent authorities need to have full access to records at all stages in the order execution process, from the initial decision to trade, through to its execution. Therefore, investment firms should keep records of all their orders and all their transactions in financial instruments, and operators of platforms are required to keep records of all orders submitted to their systems. ESMA should coordinate the exchange of information among competent authorities to ensure that they have access to all records of transactions and orders, including those entered on platforms that operate outside their territory, in financial instruments under their supervision.</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FC4ED1">
        <w:trPr>
          <w:jc w:val="center"/>
        </w:trPr>
        <w:tc>
          <w:tcPr>
            <w:tcW w:w="818" w:type="dxa"/>
          </w:tcPr>
          <w:p w:rsidR="00BC3CE5" w:rsidRPr="0021706D" w:rsidRDefault="00DF1DF8" w:rsidP="00D53846">
            <w:pPr>
              <w:spacing w:before="60" w:afterLines="60" w:after="144"/>
              <w:rPr>
                <w:rFonts w:ascii="Arial" w:hAnsi="Arial" w:cs="Arial"/>
                <w:sz w:val="16"/>
                <w:szCs w:val="16"/>
              </w:rPr>
            </w:pPr>
            <w:hyperlink r:id="rId17" w:tgtFrame="_blank" w:history="1">
              <w:r w:rsidR="00D53846" w:rsidRPr="0021706D">
                <w:rPr>
                  <w:rStyle w:val="Hyperlink"/>
                  <w:rFonts w:ascii="Arial" w:hAnsi="Arial" w:cs="Arial"/>
                  <w:color w:val="00675D"/>
                  <w:sz w:val="16"/>
                  <w:szCs w:val="16"/>
                  <w:bdr w:val="none" w:sz="0" w:space="0" w:color="auto" w:frame="1"/>
                  <w:shd w:val="clear" w:color="auto" w:fill="FFFFFF"/>
                </w:rPr>
                <w:t xml:space="preserve">MiFIR  </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25(1)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keep at the disposal of the competent authority, for five years, the relevant data relating to all orders and all transactions in financial instruments which they have carried out, whether on own account or on behalf of a client. In the case of transactions carried out on behalf of clients, the records shall contain all the information and details of the identity of the client, and the information required under Directive 2005/60/EC of the European Parliament and of the Council. ESMA may request access to that information in accordance with the procedure and under the conditions set out in Article 35 of Regulation (EU) No 1095/2010.</w:t>
            </w:r>
          </w:p>
        </w:tc>
        <w:tc>
          <w:tcPr>
            <w:tcW w:w="2693" w:type="dxa"/>
          </w:tcPr>
          <w:p w:rsidR="00BC3CE5" w:rsidRPr="0021706D" w:rsidRDefault="00BC3CE5" w:rsidP="00B370A8">
            <w:pPr>
              <w:spacing w:before="60" w:afterLines="60" w:after="144"/>
              <w:ind w:left="-43"/>
              <w:rPr>
                <w:rFonts w:ascii="Arial" w:hAnsi="Arial" w:cs="Arial"/>
                <w:sz w:val="16"/>
                <w:szCs w:val="16"/>
              </w:rPr>
            </w:pPr>
          </w:p>
        </w:tc>
      </w:tr>
      <w:tr w:rsidR="00BC3CE5" w:rsidRPr="0021706D" w:rsidTr="00FC4ED1">
        <w:trPr>
          <w:jc w:val="center"/>
        </w:trPr>
        <w:tc>
          <w:tcPr>
            <w:tcW w:w="818" w:type="dxa"/>
          </w:tcPr>
          <w:p w:rsidR="00BC3CE5" w:rsidRPr="0021706D" w:rsidRDefault="00DF1DF8" w:rsidP="00D53846">
            <w:pPr>
              <w:spacing w:before="60" w:afterLines="60" w:after="144"/>
              <w:rPr>
                <w:rFonts w:ascii="Arial" w:hAnsi="Arial" w:cs="Arial"/>
                <w:sz w:val="16"/>
                <w:szCs w:val="16"/>
              </w:rPr>
            </w:pPr>
            <w:hyperlink r:id="rId18" w:tgtFrame="_blank" w:history="1">
              <w:r w:rsidR="00D53846" w:rsidRPr="0021706D">
                <w:rPr>
                  <w:rStyle w:val="Hyperlink"/>
                  <w:rFonts w:ascii="Arial" w:hAnsi="Arial" w:cs="Arial"/>
                  <w:color w:val="00675D"/>
                  <w:sz w:val="16"/>
                  <w:szCs w:val="16"/>
                  <w:bdr w:val="none" w:sz="0" w:space="0" w:color="auto" w:frame="1"/>
                  <w:shd w:val="clear" w:color="auto" w:fill="FFFFFF"/>
                </w:rPr>
                <w:t xml:space="preserve">MiFIR  </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31(3)</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and market operators providing portfolio compressions shall keep complete and accurate records of all portfolio compressions which they organise or participate in. Those records shall be made available promptly to the relevant competent authority or ESMA upon request.</w:t>
            </w:r>
          </w:p>
        </w:tc>
        <w:tc>
          <w:tcPr>
            <w:tcW w:w="2693" w:type="dxa"/>
          </w:tcPr>
          <w:p w:rsidR="00BC3CE5" w:rsidRPr="0021706D" w:rsidRDefault="00BC3CE5" w:rsidP="00937B7E">
            <w:pPr>
              <w:spacing w:before="60" w:afterLines="60" w:after="144"/>
              <w:rPr>
                <w:rFonts w:ascii="Arial" w:hAnsi="Arial" w:cs="Arial"/>
                <w:sz w:val="16"/>
                <w:szCs w:val="16"/>
                <w:highlight w:val="yellow"/>
              </w:rPr>
            </w:pPr>
          </w:p>
        </w:tc>
      </w:tr>
    </w:tbl>
    <w:p w:rsidR="00C05882" w:rsidRPr="0021706D" w:rsidRDefault="00C05882">
      <w:pPr>
        <w:rPr>
          <w:rFonts w:ascii="Arial" w:hAnsi="Arial" w:cs="Arial"/>
          <w:sz w:val="16"/>
          <w:szCs w:val="16"/>
        </w:rPr>
      </w:pPr>
      <w:r w:rsidRPr="0021706D">
        <w:rPr>
          <w:rFonts w:ascii="Arial" w:hAnsi="Arial" w:cs="Arial"/>
          <w:sz w:val="16"/>
          <w:szCs w:val="16"/>
        </w:rPr>
        <w:br w:type="page"/>
      </w:r>
    </w:p>
    <w:tbl>
      <w:tblPr>
        <w:tblStyle w:val="TableGrid"/>
        <w:tblW w:w="14742" w:type="dxa"/>
        <w:jc w:val="center"/>
        <w:tblLayout w:type="fixed"/>
        <w:tblLook w:val="04A0" w:firstRow="1" w:lastRow="0" w:firstColumn="1" w:lastColumn="0" w:noHBand="0" w:noVBand="1"/>
      </w:tblPr>
      <w:tblGrid>
        <w:gridCol w:w="818"/>
        <w:gridCol w:w="1275"/>
        <w:gridCol w:w="9956"/>
        <w:gridCol w:w="2693"/>
      </w:tblGrid>
      <w:tr w:rsidR="00895797" w:rsidRPr="0021706D" w:rsidTr="00895797">
        <w:trPr>
          <w:tblHeader/>
          <w:jc w:val="center"/>
        </w:trPr>
        <w:tc>
          <w:tcPr>
            <w:tcW w:w="14742" w:type="dxa"/>
            <w:gridSpan w:val="4"/>
            <w:shd w:val="clear" w:color="auto" w:fill="32464D"/>
          </w:tcPr>
          <w:p w:rsidR="00895797" w:rsidRPr="0021706D" w:rsidRDefault="00895797" w:rsidP="00A97D79">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lastRenderedPageBreak/>
              <w:t>Direct Recordkeeping References in MiFID2 and MiFIR</w:t>
            </w:r>
          </w:p>
        </w:tc>
      </w:tr>
      <w:tr w:rsidR="00895797" w:rsidRPr="0021706D" w:rsidTr="00895797">
        <w:trPr>
          <w:tblHeader/>
          <w:jc w:val="center"/>
        </w:trPr>
        <w:tc>
          <w:tcPr>
            <w:tcW w:w="818" w:type="dxa"/>
            <w:shd w:val="clear" w:color="auto" w:fill="32464D"/>
          </w:tcPr>
          <w:p w:rsidR="00895797" w:rsidRPr="0021706D" w:rsidRDefault="00895797" w:rsidP="00A97D79">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Document</w:t>
            </w:r>
          </w:p>
        </w:tc>
        <w:tc>
          <w:tcPr>
            <w:tcW w:w="1275" w:type="dxa"/>
            <w:shd w:val="clear" w:color="auto" w:fill="32464D"/>
          </w:tcPr>
          <w:p w:rsidR="00895797" w:rsidRPr="0021706D" w:rsidRDefault="00895797" w:rsidP="00A97D79">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Location</w:t>
            </w:r>
          </w:p>
        </w:tc>
        <w:tc>
          <w:tcPr>
            <w:tcW w:w="9956" w:type="dxa"/>
            <w:shd w:val="clear" w:color="auto" w:fill="32464D"/>
          </w:tcPr>
          <w:p w:rsidR="00895797" w:rsidRPr="0021706D" w:rsidRDefault="00895797" w:rsidP="00A97D79">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Text</w:t>
            </w:r>
          </w:p>
        </w:tc>
        <w:tc>
          <w:tcPr>
            <w:tcW w:w="2693" w:type="dxa"/>
            <w:shd w:val="clear" w:color="auto" w:fill="32464D"/>
          </w:tcPr>
          <w:p w:rsidR="00895797" w:rsidRPr="0021706D" w:rsidRDefault="00895797" w:rsidP="00A97D79">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Notes</w:t>
            </w:r>
          </w:p>
        </w:tc>
      </w:tr>
      <w:tr w:rsidR="00895797" w:rsidRPr="0021706D" w:rsidTr="00895797">
        <w:trPr>
          <w:tblHeader/>
          <w:jc w:val="center"/>
        </w:trPr>
        <w:tc>
          <w:tcPr>
            <w:tcW w:w="14742" w:type="dxa"/>
            <w:gridSpan w:val="4"/>
            <w:shd w:val="clear" w:color="auto" w:fill="32464D"/>
          </w:tcPr>
          <w:p w:rsidR="00895797" w:rsidRPr="0021706D" w:rsidRDefault="00895797" w:rsidP="00895797">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 xml:space="preserve">Level </w:t>
            </w:r>
            <w:r>
              <w:rPr>
                <w:rFonts w:ascii="Arial" w:hAnsi="Arial" w:cs="Arial"/>
                <w:b/>
                <w:color w:val="FFFFFF" w:themeColor="background1"/>
                <w:sz w:val="16"/>
                <w:szCs w:val="16"/>
              </w:rPr>
              <w:t>2</w:t>
            </w:r>
          </w:p>
        </w:tc>
      </w:tr>
      <w:tr w:rsidR="00FC4ED1" w:rsidRPr="0021706D" w:rsidTr="00895797">
        <w:trPr>
          <w:jc w:val="center"/>
        </w:trPr>
        <w:tc>
          <w:tcPr>
            <w:tcW w:w="818" w:type="dxa"/>
          </w:tcPr>
          <w:p w:rsidR="00FC4ED1" w:rsidRPr="0021706D" w:rsidRDefault="00FC4ED1" w:rsidP="0021706D">
            <w:pPr>
              <w:numPr>
                <w:ilvl w:val="0"/>
                <w:numId w:val="48"/>
              </w:numPr>
              <w:shd w:val="clear" w:color="auto" w:fill="FFFFFF"/>
              <w:spacing w:line="270" w:lineRule="atLeast"/>
              <w:ind w:left="0"/>
              <w:rPr>
                <w:rFonts w:ascii="Arial" w:hAnsi="Arial" w:cs="Arial"/>
                <w:color w:val="4B5156"/>
                <w:sz w:val="16"/>
                <w:szCs w:val="16"/>
              </w:rPr>
            </w:pPr>
          </w:p>
        </w:tc>
        <w:tc>
          <w:tcPr>
            <w:tcW w:w="1275" w:type="dxa"/>
          </w:tcPr>
          <w:p w:rsidR="00FC4ED1" w:rsidRPr="0021706D" w:rsidRDefault="00FC4ED1" w:rsidP="00937B7E">
            <w:pPr>
              <w:spacing w:before="60" w:afterLines="60" w:after="144"/>
              <w:rPr>
                <w:rFonts w:ascii="Arial" w:hAnsi="Arial" w:cs="Arial"/>
                <w:sz w:val="16"/>
                <w:szCs w:val="16"/>
              </w:rPr>
            </w:pPr>
          </w:p>
        </w:tc>
        <w:tc>
          <w:tcPr>
            <w:tcW w:w="9956" w:type="dxa"/>
          </w:tcPr>
          <w:p w:rsidR="00FC4ED1" w:rsidRPr="0021706D" w:rsidRDefault="00FC4ED1" w:rsidP="00FC4ED1">
            <w:pPr>
              <w:spacing w:before="60" w:afterLines="60" w:after="144"/>
              <w:rPr>
                <w:rFonts w:ascii="Arial" w:hAnsi="Arial" w:cs="Arial"/>
                <w:sz w:val="16"/>
                <w:szCs w:val="16"/>
              </w:rPr>
            </w:pPr>
            <w:r w:rsidRPr="0021706D">
              <w:rPr>
                <w:rFonts w:ascii="Arial" w:hAnsi="Arial" w:cs="Arial"/>
                <w:sz w:val="16"/>
                <w:szCs w:val="16"/>
              </w:rPr>
              <w:t>Regulatory technical standards specifying the organisational requirements of investment firms engaged in algorithmic trading, providing direct electronic access and acting as general clearing members</w:t>
            </w:r>
          </w:p>
        </w:tc>
        <w:tc>
          <w:tcPr>
            <w:tcW w:w="2693" w:type="dxa"/>
          </w:tcPr>
          <w:p w:rsidR="00FC4ED1" w:rsidRPr="0021706D" w:rsidRDefault="00FC4ED1"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895797">
            <w:pPr>
              <w:numPr>
                <w:ilvl w:val="0"/>
                <w:numId w:val="48"/>
              </w:numPr>
              <w:shd w:val="clear" w:color="auto" w:fill="FFFFFF"/>
              <w:spacing w:line="270" w:lineRule="atLeast"/>
              <w:ind w:left="0"/>
              <w:rPr>
                <w:rFonts w:ascii="Arial" w:hAnsi="Arial" w:cs="Arial"/>
                <w:sz w:val="16"/>
                <w:szCs w:val="16"/>
              </w:rPr>
            </w:pPr>
            <w:hyperlink r:id="rId19" w:tgtFrame="_blank" w:history="1">
              <w:r w:rsidR="00FC4ED1"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FC4ED1"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Recital 19</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To ensure consistency with the general order record-keeping obligations for investment firms under Article 25(1) of Regulation (EU) No 600/2014, the time limits of the order record keeping obligation for investment firm engaging in a high frequency algorithmic trading technique should be aligned with ones prescribed under Article 25(1) of Regulation (EU) No 600/2014.</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0"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5(3)</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development and testing methodologies shall address the design and performance of the system, algorithm or strategy, the division of responsibilities, the allocation of sufficient resources, escalation procedures, recordkeeping and approval.</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1"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5(7)</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keep records of any material changes made to the software used for algorithmic trading, allowing them to accurately determine:</w:t>
            </w:r>
          </w:p>
          <w:p w:rsidR="00BC3CE5" w:rsidRPr="0021706D" w:rsidRDefault="00BC3CE5" w:rsidP="00937B7E">
            <w:pPr>
              <w:pStyle w:val="ListParagraph"/>
              <w:numPr>
                <w:ilvl w:val="0"/>
                <w:numId w:val="9"/>
              </w:numPr>
              <w:spacing w:before="60" w:afterLines="60" w:after="144"/>
              <w:rPr>
                <w:rFonts w:ascii="Arial" w:hAnsi="Arial" w:cs="Arial"/>
                <w:sz w:val="16"/>
                <w:szCs w:val="16"/>
              </w:rPr>
            </w:pPr>
            <w:r w:rsidRPr="0021706D">
              <w:rPr>
                <w:rFonts w:ascii="Arial" w:hAnsi="Arial" w:cs="Arial"/>
                <w:sz w:val="16"/>
                <w:szCs w:val="16"/>
              </w:rPr>
              <w:t>when a change was made;</w:t>
            </w:r>
          </w:p>
          <w:p w:rsidR="00BC3CE5" w:rsidRPr="0021706D" w:rsidRDefault="00BC3CE5" w:rsidP="00937B7E">
            <w:pPr>
              <w:pStyle w:val="ListParagraph"/>
              <w:numPr>
                <w:ilvl w:val="0"/>
                <w:numId w:val="9"/>
              </w:numPr>
              <w:spacing w:before="60" w:afterLines="60" w:after="144"/>
              <w:rPr>
                <w:rFonts w:ascii="Arial" w:hAnsi="Arial" w:cs="Arial"/>
                <w:sz w:val="16"/>
                <w:szCs w:val="16"/>
              </w:rPr>
            </w:pPr>
            <w:r w:rsidRPr="0021706D">
              <w:rPr>
                <w:rFonts w:ascii="Arial" w:hAnsi="Arial" w:cs="Arial"/>
                <w:sz w:val="16"/>
                <w:szCs w:val="16"/>
              </w:rPr>
              <w:t>who made the change;</w:t>
            </w:r>
          </w:p>
          <w:p w:rsidR="00BC3CE5" w:rsidRPr="0021706D" w:rsidRDefault="00BC3CE5" w:rsidP="00937B7E">
            <w:pPr>
              <w:pStyle w:val="ListParagraph"/>
              <w:numPr>
                <w:ilvl w:val="0"/>
                <w:numId w:val="9"/>
              </w:numPr>
              <w:spacing w:before="60" w:afterLines="60" w:after="144"/>
              <w:rPr>
                <w:rFonts w:ascii="Arial" w:hAnsi="Arial" w:cs="Arial"/>
                <w:sz w:val="16"/>
                <w:szCs w:val="16"/>
              </w:rPr>
            </w:pPr>
            <w:r w:rsidRPr="0021706D">
              <w:rPr>
                <w:rFonts w:ascii="Arial" w:hAnsi="Arial" w:cs="Arial"/>
                <w:sz w:val="16"/>
                <w:szCs w:val="16"/>
              </w:rPr>
              <w:t>who approved the change;</w:t>
            </w:r>
          </w:p>
          <w:p w:rsidR="00BC3CE5" w:rsidRPr="0021706D" w:rsidRDefault="00BC3CE5" w:rsidP="00937B7E">
            <w:pPr>
              <w:pStyle w:val="ListParagraph"/>
              <w:numPr>
                <w:ilvl w:val="0"/>
                <w:numId w:val="9"/>
              </w:numPr>
              <w:spacing w:before="60" w:afterLines="60" w:after="144"/>
              <w:rPr>
                <w:rFonts w:ascii="Arial" w:hAnsi="Arial" w:cs="Arial"/>
                <w:sz w:val="16"/>
                <w:szCs w:val="16"/>
              </w:rPr>
            </w:pPr>
            <w:r w:rsidRPr="0021706D">
              <w:rPr>
                <w:rFonts w:ascii="Arial" w:hAnsi="Arial" w:cs="Arial"/>
                <w:sz w:val="16"/>
                <w:szCs w:val="16"/>
              </w:rPr>
              <w:t>the nature of the change.</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2"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21(5)</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DEA providers shall record the relevant data relating to the orders submitted by their DEA clients, including modifications and cancellations, the alerts generated by their monitoring systems and the modifications made to their filtering process.</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3"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26(3)</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Clearing firms shall document such procedures in writing and maintain records of their compliance.</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4"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28(1)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that engage in a high-frequency algorithmic trading technique shall immediately record the details of each placed order set out in the second and third column of tables 2 and 3 of Annex II insofar as they pertain to the order concerned.</w:t>
            </w:r>
          </w:p>
        </w:tc>
        <w:tc>
          <w:tcPr>
            <w:tcW w:w="2693" w:type="dxa"/>
          </w:tcPr>
          <w:p w:rsidR="00BC3CE5" w:rsidRPr="0021706D" w:rsidRDefault="00BC3CE5" w:rsidP="00061396">
            <w:pPr>
              <w:spacing w:before="60" w:afterLines="60" w:after="144"/>
              <w:ind w:left="-43"/>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5"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28(2)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that engage in a high-frequency algorithmic trading technique shall maintain the information referred to in paragraph 1 in the standards and formats specified in the fourth column of tables 2 and 3 of Annex II.</w:t>
            </w:r>
          </w:p>
        </w:tc>
        <w:tc>
          <w:tcPr>
            <w:tcW w:w="2693" w:type="dxa"/>
          </w:tcPr>
          <w:p w:rsidR="00BC3CE5" w:rsidRPr="0021706D" w:rsidRDefault="00BC3CE5" w:rsidP="00061396">
            <w:pPr>
              <w:spacing w:before="60" w:afterLines="60" w:after="144"/>
              <w:ind w:left="-43"/>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26" w:tgtFrame="_blank" w:history="1">
              <w:r w:rsidR="00895797" w:rsidRPr="0021706D">
                <w:rPr>
                  <w:rStyle w:val="Hyperlink"/>
                  <w:rFonts w:ascii="Arial" w:hAnsi="Arial" w:cs="Arial"/>
                  <w:color w:val="00675D"/>
                  <w:sz w:val="16"/>
                  <w:szCs w:val="16"/>
                </w:rPr>
                <w:t xml:space="preserve">RTS 6 </w:t>
              </w:r>
              <w:r w:rsidR="00895797">
                <w:rPr>
                  <w:rStyle w:val="Hyperlink"/>
                  <w:rFonts w:ascii="Arial" w:hAnsi="Arial" w:cs="Arial"/>
                  <w:color w:val="00675D"/>
                  <w:sz w:val="16"/>
                  <w:szCs w:val="16"/>
                </w:rPr>
                <w:t>–</w:t>
              </w:r>
              <w:r w:rsidR="00895797"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29</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that engage in a high-frequency algorithmic trading technique shall keep the records required as set out in Article 28 for a period of five years as from the date of their submission to a trading venue or to another investment firm for execution.</w:t>
            </w:r>
          </w:p>
        </w:tc>
        <w:tc>
          <w:tcPr>
            <w:tcW w:w="2693" w:type="dxa"/>
          </w:tcPr>
          <w:p w:rsidR="00BC3CE5" w:rsidRPr="0021706D" w:rsidRDefault="00BC3CE5" w:rsidP="007B3D05">
            <w:pPr>
              <w:spacing w:before="60" w:afterLines="60" w:after="144"/>
              <w:rPr>
                <w:rFonts w:ascii="Arial" w:hAnsi="Arial" w:cs="Arial"/>
                <w:sz w:val="16"/>
                <w:szCs w:val="16"/>
              </w:rPr>
            </w:pPr>
          </w:p>
        </w:tc>
      </w:tr>
      <w:tr w:rsidR="00BC3CE5" w:rsidRPr="0021706D" w:rsidTr="00895797">
        <w:trPr>
          <w:jc w:val="center"/>
        </w:trPr>
        <w:tc>
          <w:tcPr>
            <w:tcW w:w="818" w:type="dxa"/>
          </w:tcPr>
          <w:p w:rsidR="0021706D" w:rsidRPr="0021706D" w:rsidRDefault="00DF1DF8" w:rsidP="0021706D">
            <w:pPr>
              <w:numPr>
                <w:ilvl w:val="0"/>
                <w:numId w:val="56"/>
              </w:numPr>
              <w:shd w:val="clear" w:color="auto" w:fill="FFFFFF"/>
              <w:spacing w:line="270" w:lineRule="atLeast"/>
              <w:ind w:left="0"/>
              <w:rPr>
                <w:rFonts w:ascii="Arial" w:hAnsi="Arial" w:cs="Arial"/>
                <w:color w:val="4B5156"/>
                <w:sz w:val="16"/>
                <w:szCs w:val="16"/>
              </w:rPr>
            </w:pPr>
            <w:hyperlink r:id="rId27" w:tgtFrame="_blank" w:history="1">
              <w:r w:rsidR="0021706D" w:rsidRPr="0021706D">
                <w:rPr>
                  <w:rStyle w:val="Hyperlink"/>
                  <w:rFonts w:ascii="Arial" w:hAnsi="Arial" w:cs="Arial"/>
                  <w:color w:val="00675D"/>
                  <w:sz w:val="16"/>
                  <w:szCs w:val="16"/>
                </w:rPr>
                <w:t xml:space="preserve">RTS 8 </w:t>
              </w:r>
              <w:r w:rsidR="00895797">
                <w:rPr>
                  <w:rStyle w:val="Hyperlink"/>
                  <w:rFonts w:ascii="Arial" w:hAnsi="Arial" w:cs="Arial"/>
                  <w:color w:val="00675D"/>
                  <w:sz w:val="16"/>
                  <w:szCs w:val="16"/>
                </w:rPr>
                <w:t>–</w:t>
              </w:r>
              <w:r w:rsidR="0021706D" w:rsidRPr="0021706D">
                <w:rPr>
                  <w:rStyle w:val="Hyperlink"/>
                  <w:rFonts w:ascii="Arial" w:hAnsi="Arial" w:cs="Arial"/>
                  <w:color w:val="00675D"/>
                  <w:sz w:val="16"/>
                  <w:szCs w:val="16"/>
                </w:rPr>
                <w:t xml:space="preserve"> </w:t>
              </w:r>
              <w:r w:rsidR="00895797">
                <w:rPr>
                  <w:rStyle w:val="Hyperlink"/>
                  <w:rFonts w:ascii="Arial" w:hAnsi="Arial" w:cs="Arial"/>
                  <w:color w:val="00675D"/>
                  <w:sz w:val="16"/>
                  <w:szCs w:val="16"/>
                </w:rPr>
                <w:t>09/15</w:t>
              </w:r>
            </w:hyperlink>
          </w:p>
          <w:p w:rsidR="00BC3CE5" w:rsidRPr="0021706D" w:rsidRDefault="00BC3CE5" w:rsidP="00937B7E">
            <w:pPr>
              <w:spacing w:before="60" w:afterLines="60" w:after="144"/>
              <w:rPr>
                <w:rFonts w:ascii="Arial" w:hAnsi="Arial" w:cs="Arial"/>
                <w:sz w:val="16"/>
                <w:szCs w:val="16"/>
              </w:rPr>
            </w:pPr>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lastRenderedPageBreak/>
              <w:t>Article 2(1)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content of a binding written agreement referred to in Article 17(3)(b) [binding written agreement with the trading venue if engaging in algo trading as a market maker] and Article 48(2) [regulated market specific requirement] of Directive 2014/65/EU shall include at least:</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lastRenderedPageBreak/>
              <w:t>…</w:t>
            </w:r>
          </w:p>
          <w:p w:rsidR="00BC3CE5" w:rsidRPr="0021706D" w:rsidRDefault="00BC3CE5" w:rsidP="00937B7E">
            <w:pPr>
              <w:pStyle w:val="ListParagraph"/>
              <w:numPr>
                <w:ilvl w:val="0"/>
                <w:numId w:val="29"/>
              </w:numPr>
              <w:spacing w:before="60" w:afterLines="60" w:after="144"/>
              <w:rPr>
                <w:rFonts w:ascii="Arial" w:hAnsi="Arial" w:cs="Arial"/>
                <w:sz w:val="16"/>
                <w:szCs w:val="16"/>
              </w:rPr>
            </w:pPr>
            <w:r w:rsidRPr="0021706D">
              <w:rPr>
                <w:rFonts w:ascii="Arial" w:hAnsi="Arial" w:cs="Arial"/>
                <w:sz w:val="16"/>
                <w:szCs w:val="16"/>
              </w:rPr>
              <w:t>the obligation to maintain records of firm quotes and transactions relating to the market making activities so that these records can be distinguished from other trading activities and be made available to the trading venue and the competent authority upon request.</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9E24D9" w:rsidRPr="0021706D" w:rsidTr="00895797">
        <w:trPr>
          <w:jc w:val="center"/>
        </w:trPr>
        <w:tc>
          <w:tcPr>
            <w:tcW w:w="818" w:type="dxa"/>
          </w:tcPr>
          <w:p w:rsidR="009E24D9" w:rsidRPr="0021706D" w:rsidRDefault="00DF1DF8" w:rsidP="00A97D79">
            <w:pPr>
              <w:spacing w:before="60" w:afterLines="60" w:after="144"/>
              <w:rPr>
                <w:rFonts w:ascii="Arial" w:hAnsi="Arial" w:cs="Arial"/>
                <w:sz w:val="16"/>
                <w:szCs w:val="16"/>
              </w:rPr>
            </w:pPr>
            <w:hyperlink r:id="rId28" w:tgtFrame="_blank" w:history="1">
              <w:r w:rsidR="009E24D9" w:rsidRPr="0021706D">
                <w:rPr>
                  <w:rStyle w:val="Hyperlink"/>
                  <w:rFonts w:ascii="Arial" w:hAnsi="Arial" w:cs="Arial"/>
                  <w:color w:val="00675D"/>
                  <w:sz w:val="16"/>
                  <w:szCs w:val="16"/>
                  <w:shd w:val="clear" w:color="auto" w:fill="FFFFFF"/>
                </w:rPr>
                <w:t>DA1 - 07 April 2016</w:t>
              </w:r>
            </w:hyperlink>
          </w:p>
        </w:tc>
        <w:tc>
          <w:tcPr>
            <w:tcW w:w="1275"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Recital 10</w:t>
            </w:r>
          </w:p>
        </w:tc>
        <w:tc>
          <w:tcPr>
            <w:tcW w:w="9956"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Prior express consent by clients should be given and recorded by investment firms in order to allow the investment firm to demonstrate clearly what the client agreed to and to help clarify the status of client assets. However, no legal requirement should be set out in respect of the form in which consent may be given, and a record should be understood as any evidence permissible under national law. Client’s consent may be given once at the start of the commercial relationship, as long as it is sufficiently clear that the client has consented to use of their securities. Where an investment firm is acting on a client instruction to lend financial instruments and where this constitutes consent to entering into the transaction, the investment firms should hold evidence to demonstrate this.</w:t>
            </w:r>
          </w:p>
        </w:tc>
        <w:tc>
          <w:tcPr>
            <w:tcW w:w="2693" w:type="dxa"/>
          </w:tcPr>
          <w:p w:rsidR="009E24D9" w:rsidRPr="0021706D" w:rsidRDefault="009E24D9" w:rsidP="00680764">
            <w:pPr>
              <w:spacing w:before="60" w:afterLines="60" w:after="144"/>
              <w:rPr>
                <w:rFonts w:ascii="Arial" w:hAnsi="Arial" w:cs="Arial"/>
                <w:sz w:val="16"/>
                <w:szCs w:val="16"/>
                <w:highlight w:val="yellow"/>
              </w:rPr>
            </w:pPr>
          </w:p>
        </w:tc>
      </w:tr>
      <w:tr w:rsidR="009E24D9" w:rsidRPr="0021706D" w:rsidTr="00895797">
        <w:trPr>
          <w:jc w:val="center"/>
        </w:trPr>
        <w:tc>
          <w:tcPr>
            <w:tcW w:w="818" w:type="dxa"/>
          </w:tcPr>
          <w:p w:rsidR="009E24D9" w:rsidRPr="0021706D" w:rsidRDefault="00DF1DF8" w:rsidP="00A97D79">
            <w:pPr>
              <w:spacing w:before="60" w:afterLines="60" w:after="144"/>
              <w:rPr>
                <w:rFonts w:ascii="Arial" w:hAnsi="Arial" w:cs="Arial"/>
                <w:sz w:val="16"/>
                <w:szCs w:val="16"/>
              </w:rPr>
            </w:pPr>
            <w:hyperlink r:id="rId29" w:tgtFrame="_blank" w:history="1">
              <w:r w:rsidR="009E24D9" w:rsidRPr="0021706D">
                <w:rPr>
                  <w:rStyle w:val="Hyperlink"/>
                  <w:rFonts w:ascii="Arial" w:hAnsi="Arial" w:cs="Arial"/>
                  <w:color w:val="00675D"/>
                  <w:sz w:val="16"/>
                  <w:szCs w:val="16"/>
                  <w:shd w:val="clear" w:color="auto" w:fill="FFFFFF"/>
                </w:rPr>
                <w:t>DA1 - 07 April 2016</w:t>
              </w:r>
            </w:hyperlink>
          </w:p>
        </w:tc>
        <w:tc>
          <w:tcPr>
            <w:tcW w:w="1275"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Article 2(1)</w:t>
            </w:r>
          </w:p>
        </w:tc>
        <w:tc>
          <w:tcPr>
            <w:tcW w:w="9956"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Member States shall require that investment firms comply with the following requirements:</w:t>
            </w:r>
          </w:p>
          <w:p w:rsidR="009E24D9" w:rsidRPr="0021706D" w:rsidRDefault="009E24D9" w:rsidP="00937B7E">
            <w:pPr>
              <w:pStyle w:val="ListParagraph"/>
              <w:numPr>
                <w:ilvl w:val="0"/>
                <w:numId w:val="10"/>
              </w:numPr>
              <w:spacing w:before="60" w:afterLines="60" w:after="144"/>
              <w:rPr>
                <w:rFonts w:ascii="Arial" w:hAnsi="Arial" w:cs="Arial"/>
                <w:sz w:val="16"/>
                <w:szCs w:val="16"/>
              </w:rPr>
            </w:pPr>
            <w:r w:rsidRPr="0021706D">
              <w:rPr>
                <w:rFonts w:ascii="Arial" w:hAnsi="Arial" w:cs="Arial"/>
                <w:sz w:val="16"/>
                <w:szCs w:val="16"/>
              </w:rPr>
              <w:t>they must keep records and accounts enabling them at any time and without delay to distinguish assets held for one client from assets held for any other client and from their own assets;</w:t>
            </w:r>
          </w:p>
          <w:p w:rsidR="009E24D9" w:rsidRPr="0021706D" w:rsidRDefault="009E24D9" w:rsidP="00937B7E">
            <w:pPr>
              <w:pStyle w:val="ListParagraph"/>
              <w:numPr>
                <w:ilvl w:val="0"/>
                <w:numId w:val="10"/>
              </w:numPr>
              <w:spacing w:before="60" w:afterLines="60" w:after="144"/>
              <w:rPr>
                <w:rFonts w:ascii="Arial" w:hAnsi="Arial" w:cs="Arial"/>
                <w:sz w:val="16"/>
                <w:szCs w:val="16"/>
              </w:rPr>
            </w:pPr>
            <w:r w:rsidRPr="0021706D">
              <w:rPr>
                <w:rFonts w:ascii="Arial" w:hAnsi="Arial" w:cs="Arial"/>
                <w:sz w:val="16"/>
                <w:szCs w:val="16"/>
              </w:rPr>
              <w:t>they must maintain their records and accounts in a way that ensures their accuracy, and in particular their correspondence to the financial instruments and funds held for clients and that they may be used as an audit trail;</w:t>
            </w:r>
          </w:p>
          <w:p w:rsidR="009E24D9" w:rsidRPr="0021706D" w:rsidRDefault="009E24D9" w:rsidP="00937B7E">
            <w:pPr>
              <w:pStyle w:val="ListParagraph"/>
              <w:numPr>
                <w:ilvl w:val="0"/>
                <w:numId w:val="10"/>
              </w:numPr>
              <w:spacing w:before="60" w:afterLines="60" w:after="144"/>
              <w:rPr>
                <w:rFonts w:ascii="Arial" w:hAnsi="Arial" w:cs="Arial"/>
                <w:sz w:val="16"/>
                <w:szCs w:val="16"/>
              </w:rPr>
            </w:pPr>
            <w:r w:rsidRPr="0021706D">
              <w:rPr>
                <w:rFonts w:ascii="Arial" w:hAnsi="Arial" w:cs="Arial"/>
                <w:sz w:val="16"/>
                <w:szCs w:val="16"/>
              </w:rPr>
              <w:t>they must conduct, on a regular basis, reconciliations between their internal accounts and records and those of any third parties by whom those assets are held;</w:t>
            </w:r>
          </w:p>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w:t>
            </w:r>
          </w:p>
          <w:p w:rsidR="009E24D9" w:rsidRPr="0021706D" w:rsidRDefault="009E24D9" w:rsidP="00937B7E">
            <w:pPr>
              <w:pStyle w:val="ListParagraph"/>
              <w:numPr>
                <w:ilvl w:val="0"/>
                <w:numId w:val="11"/>
              </w:numPr>
              <w:spacing w:before="60" w:afterLines="60" w:after="144"/>
              <w:rPr>
                <w:rFonts w:ascii="Arial" w:hAnsi="Arial" w:cs="Arial"/>
                <w:sz w:val="16"/>
                <w:szCs w:val="16"/>
              </w:rPr>
            </w:pPr>
            <w:r w:rsidRPr="0021706D">
              <w:rPr>
                <w:rFonts w:ascii="Arial" w:hAnsi="Arial" w:cs="Arial"/>
                <w:sz w:val="16"/>
                <w:szCs w:val="16"/>
              </w:rPr>
              <w:t>they must introduce adequate organisational arrangements to minimise the risk of the loss or diminution of client assets, or of rights in connection with those assets, as a result of misuse of the assets, fraud, poor administration, inadequate record-keeping or negligence.</w:t>
            </w:r>
          </w:p>
        </w:tc>
        <w:tc>
          <w:tcPr>
            <w:tcW w:w="2693" w:type="dxa"/>
          </w:tcPr>
          <w:p w:rsidR="009E24D9" w:rsidRPr="0021706D" w:rsidRDefault="009E24D9" w:rsidP="00680764">
            <w:pPr>
              <w:spacing w:before="60" w:afterLines="60" w:after="144"/>
              <w:rPr>
                <w:rFonts w:ascii="Arial" w:hAnsi="Arial" w:cs="Arial"/>
                <w:sz w:val="16"/>
                <w:szCs w:val="16"/>
                <w:highlight w:val="yellow"/>
              </w:rPr>
            </w:pPr>
          </w:p>
        </w:tc>
      </w:tr>
      <w:tr w:rsidR="009E24D9" w:rsidRPr="0021706D" w:rsidTr="00895797">
        <w:trPr>
          <w:jc w:val="center"/>
        </w:trPr>
        <w:tc>
          <w:tcPr>
            <w:tcW w:w="818" w:type="dxa"/>
          </w:tcPr>
          <w:p w:rsidR="009E24D9" w:rsidRPr="0021706D" w:rsidRDefault="00DF1DF8" w:rsidP="00A97D79">
            <w:pPr>
              <w:spacing w:before="60" w:afterLines="60" w:after="144"/>
              <w:rPr>
                <w:rFonts w:ascii="Arial" w:hAnsi="Arial" w:cs="Arial"/>
                <w:sz w:val="16"/>
                <w:szCs w:val="16"/>
              </w:rPr>
            </w:pPr>
            <w:hyperlink r:id="rId30" w:tgtFrame="_blank" w:history="1">
              <w:r w:rsidR="009E24D9" w:rsidRPr="0021706D">
                <w:rPr>
                  <w:rStyle w:val="Hyperlink"/>
                  <w:rFonts w:ascii="Arial" w:hAnsi="Arial" w:cs="Arial"/>
                  <w:color w:val="00675D"/>
                  <w:sz w:val="16"/>
                  <w:szCs w:val="16"/>
                  <w:shd w:val="clear" w:color="auto" w:fill="FFFFFF"/>
                </w:rPr>
                <w:t>DA1 - 07 April 2016</w:t>
              </w:r>
            </w:hyperlink>
          </w:p>
        </w:tc>
        <w:tc>
          <w:tcPr>
            <w:tcW w:w="1275"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Article 2(4)</w:t>
            </w:r>
          </w:p>
        </w:tc>
        <w:tc>
          <w:tcPr>
            <w:tcW w:w="9956"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Member States shall ensure that security interests, liens or rights of set-off over client financial instruments or funds enabling a third party to dispose of client’s financial instruments or funds in order to recover debts that do not relate to the client or provision of services to the client are not permitted except where this is required by applicable law in a third country jurisdiction in which the client funds or financial instruments are held.</w:t>
            </w:r>
          </w:p>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Member States shall require investment firms, where the firm is obliged to enter into agreements that create such security interests, liens or rights of set-off, to disclose that information to clients indicating to them the risks associated with those arrangements.</w:t>
            </w:r>
          </w:p>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Where security interests, liens or rights of set-off are granted by the firm over client financial instruments or funds, or where the firm has been informed that they are granted, they shall be recorded in client contracts and the firm’s own accounts to make the ownership status of client assets clear, such as in the event of an insolvency.</w:t>
            </w:r>
          </w:p>
        </w:tc>
        <w:tc>
          <w:tcPr>
            <w:tcW w:w="2693" w:type="dxa"/>
          </w:tcPr>
          <w:p w:rsidR="009E24D9" w:rsidRPr="0021706D" w:rsidRDefault="009E24D9" w:rsidP="00680764">
            <w:pPr>
              <w:spacing w:before="60" w:afterLines="60" w:after="144"/>
              <w:rPr>
                <w:rFonts w:ascii="Arial" w:hAnsi="Arial" w:cs="Arial"/>
                <w:sz w:val="16"/>
                <w:szCs w:val="16"/>
                <w:highlight w:val="yellow"/>
              </w:rPr>
            </w:pPr>
          </w:p>
        </w:tc>
      </w:tr>
      <w:tr w:rsidR="009E24D9" w:rsidRPr="0021706D" w:rsidTr="00895797">
        <w:trPr>
          <w:jc w:val="center"/>
        </w:trPr>
        <w:tc>
          <w:tcPr>
            <w:tcW w:w="818" w:type="dxa"/>
          </w:tcPr>
          <w:p w:rsidR="009E24D9" w:rsidRPr="0021706D" w:rsidRDefault="00DF1DF8" w:rsidP="00A97D79">
            <w:pPr>
              <w:spacing w:before="60" w:afterLines="60" w:after="144"/>
              <w:rPr>
                <w:rFonts w:ascii="Arial" w:hAnsi="Arial" w:cs="Arial"/>
                <w:sz w:val="16"/>
                <w:szCs w:val="16"/>
              </w:rPr>
            </w:pPr>
            <w:hyperlink r:id="rId31" w:tgtFrame="_blank" w:history="1">
              <w:r w:rsidR="009E24D9" w:rsidRPr="0021706D">
                <w:rPr>
                  <w:rStyle w:val="Hyperlink"/>
                  <w:rFonts w:ascii="Arial" w:hAnsi="Arial" w:cs="Arial"/>
                  <w:color w:val="00675D"/>
                  <w:sz w:val="16"/>
                  <w:szCs w:val="16"/>
                  <w:shd w:val="clear" w:color="auto" w:fill="FFFFFF"/>
                </w:rPr>
                <w:t>DA1 - 07 April 2016</w:t>
              </w:r>
            </w:hyperlink>
          </w:p>
        </w:tc>
        <w:tc>
          <w:tcPr>
            <w:tcW w:w="1275"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Article 2(5)</w:t>
            </w:r>
          </w:p>
        </w:tc>
        <w:tc>
          <w:tcPr>
            <w:tcW w:w="9956"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Member States shall require that investment firms make information pertaining to clients' financial instruments and funds readily available to the following entities: competent authorities, appointed insolvency practitioners and those responsible for the resolution of failed institutions. The information to be made available shall include the following :</w:t>
            </w:r>
          </w:p>
          <w:p w:rsidR="009E24D9" w:rsidRPr="0021706D" w:rsidRDefault="009E24D9" w:rsidP="00937B7E">
            <w:pPr>
              <w:pStyle w:val="ListParagraph"/>
              <w:numPr>
                <w:ilvl w:val="0"/>
                <w:numId w:val="12"/>
              </w:numPr>
              <w:spacing w:before="60" w:afterLines="60" w:after="144"/>
              <w:rPr>
                <w:rFonts w:ascii="Arial" w:hAnsi="Arial" w:cs="Arial"/>
                <w:sz w:val="16"/>
                <w:szCs w:val="16"/>
              </w:rPr>
            </w:pPr>
            <w:r w:rsidRPr="0021706D">
              <w:rPr>
                <w:rFonts w:ascii="Arial" w:hAnsi="Arial" w:cs="Arial"/>
                <w:sz w:val="16"/>
                <w:szCs w:val="16"/>
              </w:rPr>
              <w:t>related internal accounts and records that readily identify the balances of funds and financial instruments held for each client;</w:t>
            </w:r>
          </w:p>
          <w:p w:rsidR="009E24D9" w:rsidRPr="0021706D" w:rsidRDefault="009E24D9" w:rsidP="00937B7E">
            <w:pPr>
              <w:pStyle w:val="ListParagraph"/>
              <w:numPr>
                <w:ilvl w:val="0"/>
                <w:numId w:val="12"/>
              </w:numPr>
              <w:spacing w:before="60" w:afterLines="60" w:after="144"/>
              <w:rPr>
                <w:rFonts w:ascii="Arial" w:hAnsi="Arial" w:cs="Arial"/>
                <w:sz w:val="16"/>
                <w:szCs w:val="16"/>
              </w:rPr>
            </w:pPr>
            <w:r w:rsidRPr="0021706D">
              <w:rPr>
                <w:rFonts w:ascii="Arial" w:hAnsi="Arial" w:cs="Arial"/>
                <w:sz w:val="16"/>
                <w:szCs w:val="16"/>
              </w:rPr>
              <w:t>where client funds are held by the investment firm in accordance with Article 4, as well as details of the accounts where client funds are held and the relevant agreements with those entities;</w:t>
            </w:r>
          </w:p>
          <w:p w:rsidR="009E24D9" w:rsidRPr="0021706D" w:rsidRDefault="009E24D9" w:rsidP="00937B7E">
            <w:pPr>
              <w:pStyle w:val="ListParagraph"/>
              <w:numPr>
                <w:ilvl w:val="0"/>
                <w:numId w:val="12"/>
              </w:numPr>
              <w:spacing w:before="60" w:afterLines="60" w:after="144"/>
              <w:rPr>
                <w:rFonts w:ascii="Arial" w:hAnsi="Arial" w:cs="Arial"/>
                <w:sz w:val="16"/>
                <w:szCs w:val="16"/>
              </w:rPr>
            </w:pPr>
            <w:r w:rsidRPr="0021706D">
              <w:rPr>
                <w:rFonts w:ascii="Arial" w:hAnsi="Arial" w:cs="Arial"/>
                <w:sz w:val="16"/>
                <w:szCs w:val="16"/>
              </w:rPr>
              <w:t>where financial instruments held by the investment firm in accordance with Article 3, as well as details of accounts opened with third parties and the relevant agreements with those entities;</w:t>
            </w:r>
          </w:p>
          <w:p w:rsidR="009E24D9" w:rsidRPr="0021706D" w:rsidRDefault="009E24D9" w:rsidP="00937B7E">
            <w:pPr>
              <w:pStyle w:val="ListParagraph"/>
              <w:numPr>
                <w:ilvl w:val="0"/>
                <w:numId w:val="12"/>
              </w:numPr>
              <w:spacing w:before="60" w:afterLines="60" w:after="144"/>
              <w:rPr>
                <w:rFonts w:ascii="Arial" w:hAnsi="Arial" w:cs="Arial"/>
                <w:sz w:val="16"/>
                <w:szCs w:val="16"/>
              </w:rPr>
            </w:pPr>
            <w:r w:rsidRPr="0021706D">
              <w:rPr>
                <w:rFonts w:ascii="Arial" w:hAnsi="Arial" w:cs="Arial"/>
                <w:sz w:val="16"/>
                <w:szCs w:val="16"/>
              </w:rPr>
              <w:t>details of third parties carrying out any related (outsourced) tasks and details of any outsourced tasks</w:t>
            </w:r>
          </w:p>
          <w:p w:rsidR="009E24D9" w:rsidRPr="0021706D" w:rsidRDefault="009E24D9" w:rsidP="00937B7E">
            <w:pPr>
              <w:pStyle w:val="ListParagraph"/>
              <w:numPr>
                <w:ilvl w:val="0"/>
                <w:numId w:val="12"/>
              </w:numPr>
              <w:spacing w:before="60" w:afterLines="60" w:after="144"/>
              <w:rPr>
                <w:rFonts w:ascii="Arial" w:hAnsi="Arial" w:cs="Arial"/>
                <w:sz w:val="16"/>
                <w:szCs w:val="16"/>
              </w:rPr>
            </w:pPr>
            <w:r w:rsidRPr="0021706D">
              <w:rPr>
                <w:rFonts w:ascii="Arial" w:hAnsi="Arial" w:cs="Arial"/>
                <w:sz w:val="16"/>
                <w:szCs w:val="16"/>
              </w:rPr>
              <w:t>key individuals of the firm involved in related processes, including those responsible for oversight of the firm’s requirements in relation to the safeguarding of client assets; and</w:t>
            </w:r>
          </w:p>
          <w:p w:rsidR="009E24D9" w:rsidRPr="0021706D" w:rsidRDefault="009E24D9" w:rsidP="00937B7E">
            <w:pPr>
              <w:pStyle w:val="ListParagraph"/>
              <w:numPr>
                <w:ilvl w:val="0"/>
                <w:numId w:val="12"/>
              </w:numPr>
              <w:spacing w:before="60" w:afterLines="60" w:after="144"/>
              <w:rPr>
                <w:rFonts w:ascii="Arial" w:hAnsi="Arial" w:cs="Arial"/>
                <w:sz w:val="16"/>
                <w:szCs w:val="16"/>
              </w:rPr>
            </w:pPr>
            <w:r w:rsidRPr="0021706D">
              <w:rPr>
                <w:rFonts w:ascii="Arial" w:hAnsi="Arial" w:cs="Arial"/>
                <w:sz w:val="16"/>
                <w:szCs w:val="16"/>
              </w:rPr>
              <w:t>agreements relevant to establish client ownership over assets.</w:t>
            </w:r>
          </w:p>
        </w:tc>
        <w:tc>
          <w:tcPr>
            <w:tcW w:w="2693" w:type="dxa"/>
          </w:tcPr>
          <w:p w:rsidR="009E24D9" w:rsidRPr="0021706D" w:rsidRDefault="009E24D9" w:rsidP="00680764">
            <w:pPr>
              <w:spacing w:before="60" w:afterLines="60" w:after="144"/>
              <w:rPr>
                <w:rFonts w:ascii="Arial" w:hAnsi="Arial" w:cs="Arial"/>
                <w:sz w:val="16"/>
                <w:szCs w:val="16"/>
                <w:highlight w:val="yellow"/>
              </w:rPr>
            </w:pPr>
          </w:p>
        </w:tc>
      </w:tr>
      <w:tr w:rsidR="009E24D9" w:rsidRPr="0021706D" w:rsidTr="00895797">
        <w:trPr>
          <w:jc w:val="center"/>
        </w:trPr>
        <w:tc>
          <w:tcPr>
            <w:tcW w:w="818" w:type="dxa"/>
          </w:tcPr>
          <w:p w:rsidR="009E24D9" w:rsidRPr="0021706D" w:rsidRDefault="00DF1DF8" w:rsidP="00A97D79">
            <w:pPr>
              <w:spacing w:before="60" w:afterLines="60" w:after="144"/>
              <w:rPr>
                <w:rFonts w:ascii="Arial" w:hAnsi="Arial" w:cs="Arial"/>
                <w:sz w:val="16"/>
                <w:szCs w:val="16"/>
              </w:rPr>
            </w:pPr>
            <w:hyperlink r:id="rId32" w:tgtFrame="_blank" w:history="1">
              <w:r w:rsidR="009E24D9" w:rsidRPr="0021706D">
                <w:rPr>
                  <w:rStyle w:val="Hyperlink"/>
                  <w:rFonts w:ascii="Arial" w:hAnsi="Arial" w:cs="Arial"/>
                  <w:color w:val="00675D"/>
                  <w:sz w:val="16"/>
                  <w:szCs w:val="16"/>
                  <w:shd w:val="clear" w:color="auto" w:fill="FFFFFF"/>
                </w:rPr>
                <w:t>DA1 - 07 April 2016</w:t>
              </w:r>
            </w:hyperlink>
          </w:p>
        </w:tc>
        <w:tc>
          <w:tcPr>
            <w:tcW w:w="1275"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Article 5(2)</w:t>
            </w:r>
          </w:p>
        </w:tc>
        <w:tc>
          <w:tcPr>
            <w:tcW w:w="9956" w:type="dxa"/>
          </w:tcPr>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Member States shall not allow investment firms to enter into arrangements for securities financing transactions in respect of financial instruments which are held on behalf of a client in an omnibus account maintained by a third party, or otherwise use financial instruments held in such an account for their own account or for the account of any other person unless, in addition to the conditions set out in paragraph 1, at least one of the following conditions is met:</w:t>
            </w:r>
          </w:p>
          <w:p w:rsidR="009E24D9" w:rsidRPr="0021706D" w:rsidRDefault="009E24D9" w:rsidP="00937B7E">
            <w:pPr>
              <w:pStyle w:val="ListParagraph"/>
              <w:numPr>
                <w:ilvl w:val="0"/>
                <w:numId w:val="13"/>
              </w:numPr>
              <w:spacing w:before="60" w:afterLines="60" w:after="144"/>
              <w:rPr>
                <w:rFonts w:ascii="Arial" w:hAnsi="Arial" w:cs="Arial"/>
                <w:sz w:val="16"/>
                <w:szCs w:val="16"/>
              </w:rPr>
            </w:pPr>
            <w:r w:rsidRPr="0021706D">
              <w:rPr>
                <w:rFonts w:ascii="Arial" w:hAnsi="Arial" w:cs="Arial"/>
                <w:sz w:val="16"/>
                <w:szCs w:val="16"/>
              </w:rPr>
              <w:t>each client whose financial instruments are held together in an omnibus account must have given prior express consent in accordance with point (a) of paragraph 1;</w:t>
            </w:r>
          </w:p>
          <w:p w:rsidR="009E24D9" w:rsidRPr="0021706D" w:rsidRDefault="009E24D9" w:rsidP="00937B7E">
            <w:pPr>
              <w:pStyle w:val="ListParagraph"/>
              <w:numPr>
                <w:ilvl w:val="0"/>
                <w:numId w:val="13"/>
              </w:numPr>
              <w:spacing w:before="60" w:afterLines="60" w:after="144"/>
              <w:rPr>
                <w:rFonts w:ascii="Arial" w:hAnsi="Arial" w:cs="Arial"/>
                <w:sz w:val="16"/>
                <w:szCs w:val="16"/>
              </w:rPr>
            </w:pPr>
            <w:r w:rsidRPr="0021706D">
              <w:rPr>
                <w:rFonts w:ascii="Arial" w:hAnsi="Arial" w:cs="Arial"/>
                <w:sz w:val="16"/>
                <w:szCs w:val="16"/>
              </w:rPr>
              <w:t>the investment firm must have in place systems and controls which ensure that only financial instruments belonging to clients who have given prior express consent in accordance with point (a) of paragraph 1 are so used.</w:t>
            </w:r>
          </w:p>
          <w:p w:rsidR="009E24D9" w:rsidRPr="0021706D" w:rsidRDefault="009E24D9" w:rsidP="00937B7E">
            <w:pPr>
              <w:spacing w:before="60" w:afterLines="60" w:after="144"/>
              <w:rPr>
                <w:rFonts w:ascii="Arial" w:hAnsi="Arial" w:cs="Arial"/>
                <w:sz w:val="16"/>
                <w:szCs w:val="16"/>
              </w:rPr>
            </w:pPr>
            <w:r w:rsidRPr="0021706D">
              <w:rPr>
                <w:rFonts w:ascii="Arial" w:hAnsi="Arial" w:cs="Arial"/>
                <w:sz w:val="16"/>
                <w:szCs w:val="16"/>
              </w:rPr>
              <w:t>The records of the investment firm shall include details of the client on whose instructions the use of the financial instruments has been effected, as well as the number of financial instruments used belonging to each client who has given his consent, so as to enable the correct allocation of any loss.</w:t>
            </w:r>
          </w:p>
        </w:tc>
        <w:tc>
          <w:tcPr>
            <w:tcW w:w="2693" w:type="dxa"/>
          </w:tcPr>
          <w:p w:rsidR="009E24D9" w:rsidRPr="0021706D" w:rsidRDefault="009E24D9"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E24D9">
            <w:pPr>
              <w:spacing w:before="60" w:afterLines="60" w:after="144"/>
              <w:rPr>
                <w:rFonts w:ascii="Arial" w:hAnsi="Arial" w:cs="Arial"/>
                <w:sz w:val="16"/>
                <w:szCs w:val="16"/>
              </w:rPr>
            </w:pPr>
            <w:hyperlink r:id="rId33" w:tgtFrame="_blank" w:history="1">
              <w:r w:rsidR="00C05882" w:rsidRPr="0021706D">
                <w:rPr>
                  <w:rStyle w:val="Hyperlink"/>
                  <w:rFonts w:ascii="Arial" w:hAnsi="Arial" w:cs="Arial"/>
                  <w:color w:val="00675D"/>
                  <w:sz w:val="16"/>
                  <w:szCs w:val="16"/>
                  <w:shd w:val="clear" w:color="auto" w:fill="FFFFFF"/>
                </w:rPr>
                <w:t>DA1 - 07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11(4)</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hold evidence that any fees, commissions or non-monetary benefits paid or received by the firm are designed to enhance the quality of the relevant service to the client:</w:t>
            </w:r>
          </w:p>
          <w:p w:rsidR="00BC3CE5" w:rsidRPr="0021706D" w:rsidRDefault="00BC3CE5" w:rsidP="00937B7E">
            <w:pPr>
              <w:pStyle w:val="ListParagraph"/>
              <w:numPr>
                <w:ilvl w:val="0"/>
                <w:numId w:val="14"/>
              </w:numPr>
              <w:spacing w:before="60" w:afterLines="60" w:after="144"/>
              <w:rPr>
                <w:rFonts w:ascii="Arial" w:hAnsi="Arial" w:cs="Arial"/>
                <w:sz w:val="16"/>
                <w:szCs w:val="16"/>
              </w:rPr>
            </w:pPr>
            <w:r w:rsidRPr="0021706D">
              <w:rPr>
                <w:rFonts w:ascii="Arial" w:hAnsi="Arial" w:cs="Arial"/>
                <w:sz w:val="16"/>
                <w:szCs w:val="16"/>
              </w:rPr>
              <w:t>by keeping an internal list of all fees, commissions and non-monetary benefits received by the investment firm from a third party in relation to the provision of investment or ancillary services; and</w:t>
            </w:r>
          </w:p>
          <w:p w:rsidR="00BC3CE5" w:rsidRPr="0021706D" w:rsidRDefault="00BC3CE5" w:rsidP="00937B7E">
            <w:pPr>
              <w:pStyle w:val="ListParagraph"/>
              <w:numPr>
                <w:ilvl w:val="0"/>
                <w:numId w:val="14"/>
              </w:numPr>
              <w:spacing w:before="60" w:afterLines="60" w:after="144"/>
              <w:rPr>
                <w:rFonts w:ascii="Arial" w:hAnsi="Arial" w:cs="Arial"/>
                <w:sz w:val="16"/>
                <w:szCs w:val="16"/>
              </w:rPr>
            </w:pPr>
            <w:r w:rsidRPr="0021706D">
              <w:rPr>
                <w:rFonts w:ascii="Arial" w:hAnsi="Arial" w:cs="Arial"/>
                <w:sz w:val="16"/>
                <w:szCs w:val="16"/>
              </w:rPr>
              <w:t xml:space="preserve">by recording how the fees, commissions and non-monetary benefits paid or received by the investment firm, or that it intends to use, enhance the quality of the services provided to the relevant clients and the steps taken in order not to impair the firm’s duty </w:t>
            </w:r>
            <w:r w:rsidRPr="0021706D">
              <w:rPr>
                <w:rFonts w:ascii="Arial" w:hAnsi="Arial" w:cs="Arial"/>
                <w:sz w:val="16"/>
                <w:szCs w:val="16"/>
              </w:rPr>
              <w:lastRenderedPageBreak/>
              <w:t>to act honestly, fairly and professionally in accordance with the best interests of the client.</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34"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Recital 92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records an investment firm is required to keep should be adapted to the type of business and the range of investment services and activities performed, provided that the record-keeping obligations set out in Directive 2014/65/EU, Regulation (EU) No 600/2014 of the European Parliament and of the Council, Regulation (EU) No 596/2014, Directive 2014/57/EU of the European Parliament and of the Council and this Regulation are fulfilled and that competent authorities are able to fulfil their supervisory tasks and perform enforcement actions in view of ensuring both investor protection and market integrity.</w:t>
            </w:r>
          </w:p>
        </w:tc>
        <w:tc>
          <w:tcPr>
            <w:tcW w:w="2693" w:type="dxa"/>
          </w:tcPr>
          <w:p w:rsidR="00BC3CE5" w:rsidRPr="0021706D" w:rsidRDefault="00BC3CE5" w:rsidP="00937B7E">
            <w:pPr>
              <w:spacing w:before="60" w:afterLines="60" w:after="144"/>
              <w:jc w:val="center"/>
              <w:rPr>
                <w:rFonts w:ascii="Arial" w:hAnsi="Arial" w:cs="Arial"/>
                <w:sz w:val="16"/>
                <w:szCs w:val="16"/>
              </w:rPr>
            </w:pPr>
          </w:p>
        </w:tc>
      </w:tr>
      <w:tr w:rsidR="00BC3CE5" w:rsidRPr="0021706D" w:rsidTr="00895797">
        <w:trPr>
          <w:jc w:val="center"/>
        </w:trPr>
        <w:tc>
          <w:tcPr>
            <w:tcW w:w="818" w:type="dxa"/>
            <w:shd w:val="clear" w:color="auto" w:fill="auto"/>
          </w:tcPr>
          <w:p w:rsidR="00BC3CE5" w:rsidRPr="0021706D" w:rsidRDefault="00DF1DF8" w:rsidP="00937B7E">
            <w:pPr>
              <w:spacing w:before="60" w:afterLines="60" w:after="144"/>
              <w:rPr>
                <w:rFonts w:ascii="Arial" w:hAnsi="Arial" w:cs="Arial"/>
                <w:sz w:val="16"/>
                <w:szCs w:val="16"/>
              </w:rPr>
            </w:pPr>
            <w:hyperlink r:id="rId35"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shd w:val="clear" w:color="auto" w:fill="auto"/>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3(1)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Where, for the purposes of this Regulation, information is required to be provided in a durable medium as defined in Article 4(1) point 62 of Directive 2014/65/EU investment firms shall have the right to provide that information in a durable medium other than on paper only if:</w:t>
            </w:r>
          </w:p>
          <w:p w:rsidR="00BC3CE5" w:rsidRPr="0021706D" w:rsidRDefault="00BC3CE5" w:rsidP="0021706D">
            <w:pPr>
              <w:pStyle w:val="ListParagraph"/>
              <w:numPr>
                <w:ilvl w:val="0"/>
                <w:numId w:val="38"/>
              </w:numPr>
              <w:spacing w:before="60" w:afterLines="60" w:after="144"/>
              <w:rPr>
                <w:rFonts w:ascii="Arial" w:hAnsi="Arial" w:cs="Arial"/>
                <w:sz w:val="16"/>
                <w:szCs w:val="16"/>
              </w:rPr>
            </w:pPr>
            <w:r w:rsidRPr="0021706D">
              <w:rPr>
                <w:rFonts w:ascii="Arial" w:hAnsi="Arial" w:cs="Arial"/>
                <w:sz w:val="16"/>
                <w:szCs w:val="16"/>
              </w:rPr>
              <w:t>the provision of that information in that medium is appropriate to the context in which the business between the firm and the client is, or is to be, carried on; and</w:t>
            </w:r>
          </w:p>
          <w:p w:rsidR="00BC3CE5" w:rsidRPr="0021706D" w:rsidRDefault="00BC3CE5" w:rsidP="0021706D">
            <w:pPr>
              <w:pStyle w:val="ListParagraph"/>
              <w:numPr>
                <w:ilvl w:val="0"/>
                <w:numId w:val="38"/>
              </w:numPr>
              <w:spacing w:before="60" w:afterLines="60" w:after="144"/>
              <w:rPr>
                <w:rFonts w:ascii="Arial" w:hAnsi="Arial" w:cs="Arial"/>
                <w:sz w:val="16"/>
                <w:szCs w:val="16"/>
              </w:rPr>
            </w:pPr>
            <w:r w:rsidRPr="0021706D">
              <w:rPr>
                <w:rFonts w:ascii="Arial" w:hAnsi="Arial" w:cs="Arial"/>
                <w:sz w:val="16"/>
                <w:szCs w:val="16"/>
              </w:rPr>
              <w:t>the person to whom the information is to be provided, when offered the choice between information on paper or in that other durable medium, specifically chooses the provision of the information in that other medium.</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36"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21(1)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comply with the following organisational requirements:</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w:t>
            </w:r>
          </w:p>
          <w:p w:rsidR="00BC3CE5" w:rsidRPr="0021706D" w:rsidRDefault="00BC3CE5" w:rsidP="00937B7E">
            <w:pPr>
              <w:pStyle w:val="ListParagraph"/>
              <w:numPr>
                <w:ilvl w:val="0"/>
                <w:numId w:val="15"/>
              </w:numPr>
              <w:spacing w:before="60" w:afterLines="60" w:after="144"/>
              <w:rPr>
                <w:rFonts w:ascii="Arial" w:hAnsi="Arial" w:cs="Arial"/>
                <w:sz w:val="16"/>
                <w:szCs w:val="16"/>
              </w:rPr>
            </w:pPr>
            <w:r w:rsidRPr="0021706D">
              <w:rPr>
                <w:rFonts w:ascii="Arial" w:hAnsi="Arial" w:cs="Arial"/>
                <w:sz w:val="16"/>
                <w:szCs w:val="16"/>
              </w:rPr>
              <w:t>maintain adequate and orderly records of their business and internal organisation;</w:t>
            </w:r>
          </w:p>
        </w:tc>
        <w:tc>
          <w:tcPr>
            <w:tcW w:w="2693" w:type="dxa"/>
          </w:tcPr>
          <w:p w:rsidR="00BC3CE5" w:rsidRPr="0021706D" w:rsidRDefault="00BC3CE5" w:rsidP="007B3D05">
            <w:pPr>
              <w:spacing w:before="60" w:afterLines="60" w:after="144"/>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37"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25(1)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when allocating functions internally, ensure that senior management, and, where applicable, the supervisory function, are responsible for ensuring that the firm complies with its obligations under Directive 2014/65/EU. In particular, senior management and, where applicable, the supervisory function shall be required to assess and periodically review the effectiveness of the policies, arrangements and procedures put in place to comply with the obligations under Directive 2014/65/EU and to take appropriate measures to address any deficiencies.</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allocation of significant functions among senior managers shall clearly establish who is responsible for overseeing and maintaining the firm’s organisational requirements. Records of the allocation of significant functions shall be kept up-to-date.</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38"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26(1)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establish, implement and maintain effective and transparent complaints management policies and procedures for the prompt handling of clients’ or potential clients’ complaints. Investment firms shall keep a record of the complaints received and the measures taken for their resolution.</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The complaints management policy shall provide clear, accurate and up-to-date information about the complaints-handling process. This policy shall be endorsed by the firm’s management body.</w:t>
            </w:r>
          </w:p>
        </w:tc>
        <w:tc>
          <w:tcPr>
            <w:tcW w:w="2693" w:type="dxa"/>
          </w:tcPr>
          <w:p w:rsidR="00BC3CE5" w:rsidRPr="0021706D" w:rsidRDefault="00BC3CE5" w:rsidP="00BE1E28">
            <w:pPr>
              <w:spacing w:before="60" w:afterLines="60" w:after="144"/>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39" w:tgtFrame="_blank" w:history="1">
              <w:r w:rsidR="009E24D9" w:rsidRPr="0021706D">
                <w:rPr>
                  <w:rStyle w:val="Hyperlink"/>
                  <w:rFonts w:ascii="Arial" w:hAnsi="Arial" w:cs="Arial"/>
                  <w:color w:val="00675D"/>
                  <w:sz w:val="16"/>
                  <w:szCs w:val="16"/>
                  <w:shd w:val="clear" w:color="auto" w:fill="FFFFFF"/>
                </w:rPr>
                <w:t xml:space="preserve">DR1 - 25 April </w:t>
              </w:r>
              <w:r w:rsidR="009E24D9" w:rsidRPr="0021706D">
                <w:rPr>
                  <w:rStyle w:val="Hyperlink"/>
                  <w:rFonts w:ascii="Arial" w:hAnsi="Arial" w:cs="Arial"/>
                  <w:color w:val="00675D"/>
                  <w:sz w:val="16"/>
                  <w:szCs w:val="16"/>
                  <w:shd w:val="clear" w:color="auto" w:fill="FFFFFF"/>
                </w:rPr>
                <w:lastRenderedPageBreak/>
                <w:t>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lastRenderedPageBreak/>
              <w:t>Article 29</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 xml:space="preserve">1. Investment firms shall establish, implement and maintain adequate arrangements aimed at preventing the activities set out in paragraphs 2, 3 and 4 in the case of any relevant person who is involved in activities that may give rise to a conflict of interest, or who has </w:t>
            </w:r>
            <w:r w:rsidRPr="0021706D">
              <w:rPr>
                <w:rFonts w:ascii="Arial" w:hAnsi="Arial" w:cs="Arial"/>
                <w:sz w:val="16"/>
                <w:szCs w:val="16"/>
              </w:rPr>
              <w:lastRenderedPageBreak/>
              <w:t>access to inside information within the meaning of Article 7(1) of Regulation (EU) No 596/2014 or to other confidential information relating to clients or transactions with or for clients by virtue of an activity carried out by him on behalf of the firm.</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2. Investment firms shall ensure that relevant persons do not enter into a personal transaction which meets at least one of the following criteria:</w:t>
            </w:r>
          </w:p>
          <w:p w:rsidR="00BC3CE5" w:rsidRPr="0021706D" w:rsidRDefault="00BC3CE5" w:rsidP="00937B7E">
            <w:pPr>
              <w:pStyle w:val="ListParagraph"/>
              <w:numPr>
                <w:ilvl w:val="0"/>
                <w:numId w:val="16"/>
              </w:numPr>
              <w:spacing w:before="60" w:afterLines="60" w:after="144"/>
              <w:rPr>
                <w:rFonts w:ascii="Arial" w:hAnsi="Arial" w:cs="Arial"/>
                <w:sz w:val="16"/>
                <w:szCs w:val="16"/>
              </w:rPr>
            </w:pPr>
            <w:r w:rsidRPr="0021706D">
              <w:rPr>
                <w:rFonts w:ascii="Arial" w:hAnsi="Arial" w:cs="Arial"/>
                <w:sz w:val="16"/>
                <w:szCs w:val="16"/>
              </w:rPr>
              <w:t>that person is prohibited from entering into it under Regulation (EU) No 596/2014;</w:t>
            </w:r>
          </w:p>
          <w:p w:rsidR="00BC3CE5" w:rsidRPr="0021706D" w:rsidRDefault="00BC3CE5" w:rsidP="00937B7E">
            <w:pPr>
              <w:pStyle w:val="ListParagraph"/>
              <w:numPr>
                <w:ilvl w:val="0"/>
                <w:numId w:val="16"/>
              </w:numPr>
              <w:spacing w:before="60" w:afterLines="60" w:after="144"/>
              <w:rPr>
                <w:rFonts w:ascii="Arial" w:hAnsi="Arial" w:cs="Arial"/>
                <w:sz w:val="16"/>
                <w:szCs w:val="16"/>
              </w:rPr>
            </w:pPr>
            <w:r w:rsidRPr="0021706D">
              <w:rPr>
                <w:rFonts w:ascii="Arial" w:hAnsi="Arial" w:cs="Arial"/>
                <w:sz w:val="16"/>
                <w:szCs w:val="16"/>
              </w:rPr>
              <w:t>it involves the misuse or improper disclosure of that confidential information;</w:t>
            </w:r>
          </w:p>
          <w:p w:rsidR="00BC3CE5" w:rsidRPr="0021706D" w:rsidRDefault="00BC3CE5" w:rsidP="00937B7E">
            <w:pPr>
              <w:pStyle w:val="ListParagraph"/>
              <w:numPr>
                <w:ilvl w:val="0"/>
                <w:numId w:val="16"/>
              </w:numPr>
              <w:spacing w:before="60" w:afterLines="60" w:after="144"/>
              <w:rPr>
                <w:rFonts w:ascii="Arial" w:hAnsi="Arial" w:cs="Arial"/>
                <w:sz w:val="16"/>
                <w:szCs w:val="16"/>
              </w:rPr>
            </w:pPr>
            <w:r w:rsidRPr="0021706D">
              <w:rPr>
                <w:rFonts w:ascii="Arial" w:hAnsi="Arial" w:cs="Arial"/>
                <w:sz w:val="16"/>
                <w:szCs w:val="16"/>
              </w:rPr>
              <w:t>it conflicts or is likely to conflict with an obligation of the investment firm under Directive 2014/65/EU.</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3. Investment firms shall ensure that relevant persons do not advise or recommend, other than in the proper course of employment or contract for services, any other person to enter into a transaction in financial instruments which, if it were a personal transaction of the relevant person, would be covered by paragraph 2 or Article 37(2)(a) or (b) or Article 67(3).</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4. Without prejudice to Article 10(1) of Regulation (EU) No 596/2014, investment firms shall ensure that relevant persons do not disclose, other than in the normal course of his employment or contract for services, any information or opinion to any other person where the relevant person knows, or reasonably ought to know, that as a result of that disclosure that other person will or would be likely to take either of the following steps:</w:t>
            </w:r>
          </w:p>
          <w:p w:rsidR="00BC3CE5" w:rsidRPr="0021706D" w:rsidRDefault="00BC3CE5" w:rsidP="00937B7E">
            <w:pPr>
              <w:pStyle w:val="ListParagraph"/>
              <w:numPr>
                <w:ilvl w:val="0"/>
                <w:numId w:val="17"/>
              </w:numPr>
              <w:spacing w:before="60" w:afterLines="60" w:after="144"/>
              <w:rPr>
                <w:rFonts w:ascii="Arial" w:hAnsi="Arial" w:cs="Arial"/>
                <w:sz w:val="16"/>
                <w:szCs w:val="16"/>
              </w:rPr>
            </w:pPr>
            <w:r w:rsidRPr="0021706D">
              <w:rPr>
                <w:rFonts w:ascii="Arial" w:hAnsi="Arial" w:cs="Arial"/>
                <w:sz w:val="16"/>
                <w:szCs w:val="16"/>
              </w:rPr>
              <w:t>to enter into a transaction in financial instruments which, if it were a personal transaction of the relevant person, would be covered by paragraphs 2 or 3 or Article 37(2)(a) or (b) or Article 67(3);</w:t>
            </w:r>
          </w:p>
          <w:p w:rsidR="00BC3CE5" w:rsidRPr="0021706D" w:rsidRDefault="00BC3CE5" w:rsidP="00937B7E">
            <w:pPr>
              <w:pStyle w:val="ListParagraph"/>
              <w:numPr>
                <w:ilvl w:val="0"/>
                <w:numId w:val="17"/>
              </w:numPr>
              <w:spacing w:before="60" w:afterLines="60" w:after="144"/>
              <w:rPr>
                <w:rFonts w:ascii="Arial" w:hAnsi="Arial" w:cs="Arial"/>
                <w:sz w:val="16"/>
                <w:szCs w:val="16"/>
              </w:rPr>
            </w:pPr>
            <w:r w:rsidRPr="0021706D">
              <w:rPr>
                <w:rFonts w:ascii="Arial" w:hAnsi="Arial" w:cs="Arial"/>
                <w:sz w:val="16"/>
                <w:szCs w:val="16"/>
              </w:rPr>
              <w:t>to advise or procure another person to enter into such a transaction.</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5. The arrangements required under paragraph 1 shall be designed to ensure that:</w:t>
            </w:r>
          </w:p>
          <w:p w:rsidR="00BC3CE5" w:rsidRPr="0021706D" w:rsidRDefault="00BC3CE5" w:rsidP="00937B7E">
            <w:pPr>
              <w:pStyle w:val="ListParagraph"/>
              <w:numPr>
                <w:ilvl w:val="0"/>
                <w:numId w:val="18"/>
              </w:numPr>
              <w:spacing w:before="60" w:afterLines="60" w:after="144"/>
              <w:rPr>
                <w:rFonts w:ascii="Arial" w:hAnsi="Arial" w:cs="Arial"/>
                <w:sz w:val="16"/>
                <w:szCs w:val="16"/>
              </w:rPr>
            </w:pPr>
            <w:r w:rsidRPr="0021706D">
              <w:rPr>
                <w:rFonts w:ascii="Arial" w:hAnsi="Arial" w:cs="Arial"/>
                <w:sz w:val="16"/>
                <w:szCs w:val="16"/>
              </w:rPr>
              <w:t>each relevant person covered by paragraphs 1, 2, 3 and 4 is aware of the restrictions on personal transactions, and of the measures established by the investment firm in connection with personal transactions and disclosure, in accordance with paragraphs 1, 2,3 and 4.</w:t>
            </w:r>
          </w:p>
          <w:p w:rsidR="00BC3CE5" w:rsidRPr="0021706D" w:rsidRDefault="00BC3CE5" w:rsidP="00937B7E">
            <w:pPr>
              <w:pStyle w:val="ListParagraph"/>
              <w:numPr>
                <w:ilvl w:val="0"/>
                <w:numId w:val="18"/>
              </w:numPr>
              <w:spacing w:before="60" w:afterLines="60" w:after="144"/>
              <w:rPr>
                <w:rFonts w:ascii="Arial" w:hAnsi="Arial" w:cs="Arial"/>
                <w:sz w:val="16"/>
                <w:szCs w:val="16"/>
              </w:rPr>
            </w:pPr>
            <w:r w:rsidRPr="0021706D">
              <w:rPr>
                <w:rFonts w:ascii="Arial" w:hAnsi="Arial" w:cs="Arial"/>
                <w:sz w:val="16"/>
                <w:szCs w:val="16"/>
              </w:rPr>
              <w:t>the firm is informed promptly of any personal transaction entered into by a relevant person, either by notification of that transaction or by other procedures enabling the firm to identify such transactions;</w:t>
            </w:r>
          </w:p>
          <w:p w:rsidR="00BC3CE5" w:rsidRPr="0021706D" w:rsidRDefault="00BC3CE5" w:rsidP="00937B7E">
            <w:pPr>
              <w:pStyle w:val="ListParagraph"/>
              <w:numPr>
                <w:ilvl w:val="0"/>
                <w:numId w:val="18"/>
              </w:numPr>
              <w:spacing w:before="60" w:afterLines="60" w:after="144"/>
              <w:rPr>
                <w:rFonts w:ascii="Arial" w:hAnsi="Arial" w:cs="Arial"/>
                <w:sz w:val="16"/>
                <w:szCs w:val="16"/>
              </w:rPr>
            </w:pPr>
            <w:r w:rsidRPr="0021706D">
              <w:rPr>
                <w:rFonts w:ascii="Arial" w:hAnsi="Arial" w:cs="Arial"/>
                <w:sz w:val="16"/>
                <w:szCs w:val="16"/>
              </w:rPr>
              <w:t>a record is kept of the personal transaction notified to the firm or identified by it, including any authorisation or prohibition in connection with such a transaction.</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 the case of outsourcing arrangements, the investment firm shall ensure that the firm to which the activity is outsourced maintains a record of personal transactions entered into by any relevant person and provides that information to the investment firm promptly on request.</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6. Paragraphs 1 to 5 shall not apply to the following personal transactions:</w:t>
            </w:r>
          </w:p>
          <w:p w:rsidR="00BC3CE5" w:rsidRPr="0021706D" w:rsidRDefault="00BC3CE5" w:rsidP="00937B7E">
            <w:pPr>
              <w:pStyle w:val="ListParagraph"/>
              <w:numPr>
                <w:ilvl w:val="0"/>
                <w:numId w:val="19"/>
              </w:numPr>
              <w:spacing w:before="60" w:afterLines="60" w:after="144"/>
              <w:rPr>
                <w:rFonts w:ascii="Arial" w:hAnsi="Arial" w:cs="Arial"/>
                <w:sz w:val="16"/>
                <w:szCs w:val="16"/>
              </w:rPr>
            </w:pPr>
            <w:r w:rsidRPr="0021706D">
              <w:rPr>
                <w:rFonts w:ascii="Arial" w:hAnsi="Arial" w:cs="Arial"/>
                <w:sz w:val="16"/>
                <w:szCs w:val="16"/>
              </w:rPr>
              <w:lastRenderedPageBreak/>
              <w:t>personal transactions effected under a discretionary portfolio management service where there is no prior communication in connection with the transaction between the portfolio manager and the relevant person or other person for whose account the transaction is executed;</w:t>
            </w:r>
          </w:p>
          <w:p w:rsidR="00BC3CE5" w:rsidRPr="0021706D" w:rsidRDefault="00BC3CE5" w:rsidP="00937B7E">
            <w:pPr>
              <w:pStyle w:val="ListParagraph"/>
              <w:numPr>
                <w:ilvl w:val="0"/>
                <w:numId w:val="19"/>
              </w:numPr>
              <w:spacing w:before="60" w:afterLines="60" w:after="144"/>
              <w:rPr>
                <w:rFonts w:ascii="Arial" w:hAnsi="Arial" w:cs="Arial"/>
                <w:sz w:val="16"/>
                <w:szCs w:val="16"/>
              </w:rPr>
            </w:pPr>
            <w:r w:rsidRPr="0021706D">
              <w:rPr>
                <w:rFonts w:ascii="Arial" w:hAnsi="Arial" w:cs="Arial"/>
                <w:sz w:val="16"/>
                <w:szCs w:val="16"/>
              </w:rPr>
              <w:t>personal transactions in undertakings for collective investments in transferable securities (UCITS) or AIFs that are subject to supervision under the law of a Member State which requires an equivalent level of risk spreading in their assets, where the relevant person and any other person for whose account the transactions are effected are not involved in the management of that undertaking.</w:t>
            </w:r>
          </w:p>
        </w:tc>
        <w:tc>
          <w:tcPr>
            <w:tcW w:w="2693" w:type="dxa"/>
          </w:tcPr>
          <w:p w:rsidR="00BC3CE5" w:rsidRPr="0021706D" w:rsidRDefault="00BC3CE5" w:rsidP="00937B7E">
            <w:pPr>
              <w:spacing w:before="60" w:afterLines="60" w:after="144"/>
              <w:jc w:val="center"/>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0"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35</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keep and regularly update a record of the kinds of investment or ancillary service or investment activity carried out by or on behalf of the firm in which a conflict of interest entailing a risk of damage to the interests of one or more clients has arisen or, in the case of an ongoing service or activity, may arise.</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Senior management shall receive on a frequent basis, and at least annually, written reports on situations referred to in this Article.</w:t>
            </w:r>
          </w:p>
        </w:tc>
        <w:tc>
          <w:tcPr>
            <w:tcW w:w="2693" w:type="dxa"/>
          </w:tcPr>
          <w:p w:rsidR="00BC3CE5" w:rsidRPr="0021706D" w:rsidRDefault="00BC3CE5" w:rsidP="00680764">
            <w:pPr>
              <w:spacing w:before="60" w:afterLines="60" w:after="144"/>
              <w:jc w:val="center"/>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1"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38(2)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have in place a centralised process to identify all underwriting and placing operations of the firm and record such information, including the date on which the firm was informed of potential underwriting and placing operations. Firms shall identify all potential conflicts of interest arising from other activities of the investment firm, or group, and implement appropriate management procedures. In cases where an investment firm cannot manage a conflict of interest by way of implementing appropriate procedures, the investment firm shall not engage in the operation.</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2"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43</w:t>
            </w:r>
          </w:p>
        </w:tc>
        <w:tc>
          <w:tcPr>
            <w:tcW w:w="9956" w:type="dxa"/>
          </w:tcPr>
          <w:p w:rsidR="00BC3CE5" w:rsidRPr="0021706D" w:rsidRDefault="00BC3CE5" w:rsidP="00937B7E">
            <w:pPr>
              <w:tabs>
                <w:tab w:val="left" w:pos="2775"/>
              </w:tabs>
              <w:spacing w:before="60" w:afterLines="60" w:after="144"/>
              <w:rPr>
                <w:rFonts w:ascii="Arial" w:hAnsi="Arial" w:cs="Arial"/>
                <w:sz w:val="16"/>
                <w:szCs w:val="16"/>
              </w:rPr>
            </w:pPr>
            <w:r w:rsidRPr="0021706D">
              <w:rPr>
                <w:rFonts w:ascii="Arial" w:hAnsi="Arial" w:cs="Arial"/>
                <w:sz w:val="16"/>
                <w:szCs w:val="16"/>
              </w:rPr>
              <w:t>Investment firms shall keep records of the content and timing of instructions received from clients. A record of the allocation decisions taken for each operation shall be kept to provide for a complete audit trail between the movements registered in clients' accounts and the instructions received by the investment firm. In particular, the final allocation made to each investment client shall be clearly justified and recorded. The complete audit trail of the material steps in the underwriting and placing process shall be made available to competent authorities upon request.</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3"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54(6)</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Where a client is a legal person or a group of two or more natural persons or where one or more natural persons are represented by another natural person, the investment firm shall establish and implement policy as to who should be subject to the suitability assessment and how this assessment will be done in practice, including from whom information about knowledge and experience, financial situation and investment objectives should be collected. The investment firm shall record this policy.</w:t>
            </w:r>
          </w:p>
        </w:tc>
        <w:tc>
          <w:tcPr>
            <w:tcW w:w="2693" w:type="dxa"/>
          </w:tcPr>
          <w:p w:rsidR="00BC3CE5" w:rsidRPr="0021706D" w:rsidRDefault="00BC3CE5" w:rsidP="00680764">
            <w:pPr>
              <w:spacing w:before="60" w:afterLines="60" w:after="144"/>
              <w:jc w:val="center"/>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4"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56(2)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 xml:space="preserve">Investment firms shall maintain records of the appropriateness assessments undertaken which shall include the following: </w:t>
            </w:r>
          </w:p>
          <w:p w:rsidR="00BC3CE5" w:rsidRPr="0021706D" w:rsidRDefault="00BC3CE5" w:rsidP="00937B7E">
            <w:pPr>
              <w:pStyle w:val="ListParagraph"/>
              <w:numPr>
                <w:ilvl w:val="0"/>
                <w:numId w:val="30"/>
              </w:numPr>
              <w:spacing w:before="60" w:afterLines="60" w:after="144"/>
              <w:rPr>
                <w:rFonts w:ascii="Arial" w:hAnsi="Arial" w:cs="Arial"/>
                <w:sz w:val="16"/>
                <w:szCs w:val="16"/>
              </w:rPr>
            </w:pPr>
            <w:r w:rsidRPr="0021706D">
              <w:rPr>
                <w:rFonts w:ascii="Arial" w:hAnsi="Arial" w:cs="Arial"/>
                <w:sz w:val="16"/>
                <w:szCs w:val="16"/>
              </w:rPr>
              <w:t>the result of the appropriateness assessment;</w:t>
            </w:r>
          </w:p>
          <w:p w:rsidR="00BC3CE5" w:rsidRPr="0021706D" w:rsidRDefault="00BC3CE5" w:rsidP="00937B7E">
            <w:pPr>
              <w:pStyle w:val="ListParagraph"/>
              <w:numPr>
                <w:ilvl w:val="0"/>
                <w:numId w:val="30"/>
              </w:numPr>
              <w:spacing w:before="60" w:afterLines="60" w:after="144"/>
              <w:rPr>
                <w:rFonts w:ascii="Arial" w:hAnsi="Arial" w:cs="Arial"/>
                <w:sz w:val="16"/>
                <w:szCs w:val="16"/>
              </w:rPr>
            </w:pPr>
            <w:r w:rsidRPr="0021706D">
              <w:rPr>
                <w:rFonts w:ascii="Arial" w:hAnsi="Arial" w:cs="Arial"/>
                <w:sz w:val="16"/>
                <w:szCs w:val="16"/>
              </w:rPr>
              <w:t>any warning given to the client where the investment service or product purchase was assessed as potentially inappropriate for the client, whether the client asked to proceed with the transaction despite the warning and, where applicable, whether the firm accepted the client’s request to proceed with the transaction;</w:t>
            </w:r>
          </w:p>
        </w:tc>
        <w:tc>
          <w:tcPr>
            <w:tcW w:w="2693" w:type="dxa"/>
          </w:tcPr>
          <w:p w:rsidR="00BC3CE5" w:rsidRPr="0021706D" w:rsidRDefault="00BC3CE5" w:rsidP="00680764">
            <w:pPr>
              <w:spacing w:before="60" w:afterLines="60" w:after="144"/>
              <w:jc w:val="center"/>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5"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67(1)</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satisfy the following conditions when carrying out client orders:</w:t>
            </w:r>
          </w:p>
          <w:p w:rsidR="00BC3CE5" w:rsidRPr="0021706D" w:rsidRDefault="00BC3CE5" w:rsidP="00937B7E">
            <w:pPr>
              <w:pStyle w:val="ListParagraph"/>
              <w:numPr>
                <w:ilvl w:val="0"/>
                <w:numId w:val="20"/>
              </w:numPr>
              <w:spacing w:before="60" w:afterLines="60" w:after="144"/>
              <w:rPr>
                <w:rFonts w:ascii="Arial" w:hAnsi="Arial" w:cs="Arial"/>
                <w:sz w:val="16"/>
                <w:szCs w:val="16"/>
              </w:rPr>
            </w:pPr>
            <w:r w:rsidRPr="0021706D">
              <w:rPr>
                <w:rFonts w:ascii="Arial" w:hAnsi="Arial" w:cs="Arial"/>
                <w:sz w:val="16"/>
                <w:szCs w:val="16"/>
              </w:rPr>
              <w:t>ensure that orders executed on behalf of clients are promptly and accurately recorded and allocated;</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val="restart"/>
          </w:tcPr>
          <w:p w:rsidR="00BC3CE5" w:rsidRPr="0021706D" w:rsidRDefault="00DF1DF8" w:rsidP="00937B7E">
            <w:pPr>
              <w:spacing w:before="60" w:afterLines="60" w:after="144"/>
              <w:rPr>
                <w:rFonts w:ascii="Arial" w:hAnsi="Arial" w:cs="Arial"/>
                <w:sz w:val="16"/>
                <w:szCs w:val="16"/>
              </w:rPr>
            </w:pPr>
            <w:hyperlink r:id="rId46"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vMerge w:val="restart"/>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72</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1. The records shall be retained in a medium that allows the storage of information in a way accessible for future reference by the competent authority, and in such a form and manner that the following conditions are met:</w:t>
            </w:r>
          </w:p>
          <w:p w:rsidR="00BC3CE5" w:rsidRPr="0021706D" w:rsidRDefault="00BC3CE5" w:rsidP="00937B7E">
            <w:pPr>
              <w:pStyle w:val="ListParagraph"/>
              <w:numPr>
                <w:ilvl w:val="0"/>
                <w:numId w:val="21"/>
              </w:numPr>
              <w:spacing w:before="60" w:afterLines="60" w:after="144"/>
              <w:rPr>
                <w:rFonts w:ascii="Arial" w:hAnsi="Arial" w:cs="Arial"/>
                <w:sz w:val="16"/>
                <w:szCs w:val="16"/>
              </w:rPr>
            </w:pPr>
            <w:r w:rsidRPr="0021706D">
              <w:rPr>
                <w:rFonts w:ascii="Arial" w:hAnsi="Arial" w:cs="Arial"/>
                <w:sz w:val="16"/>
                <w:szCs w:val="16"/>
              </w:rPr>
              <w:t>the competent authority is able to access them readily and to reconstitute each key stage of the processing of each transaction;</w:t>
            </w:r>
          </w:p>
          <w:p w:rsidR="00BC3CE5" w:rsidRPr="0021706D" w:rsidRDefault="00BC3CE5" w:rsidP="00937B7E">
            <w:pPr>
              <w:pStyle w:val="ListParagraph"/>
              <w:numPr>
                <w:ilvl w:val="0"/>
                <w:numId w:val="21"/>
              </w:numPr>
              <w:spacing w:before="60" w:afterLines="60" w:after="144"/>
              <w:rPr>
                <w:rFonts w:ascii="Arial" w:hAnsi="Arial" w:cs="Arial"/>
                <w:sz w:val="16"/>
                <w:szCs w:val="16"/>
              </w:rPr>
            </w:pPr>
            <w:r w:rsidRPr="0021706D">
              <w:rPr>
                <w:rFonts w:ascii="Arial" w:hAnsi="Arial" w:cs="Arial"/>
                <w:sz w:val="16"/>
                <w:szCs w:val="16"/>
              </w:rPr>
              <w:t>it is possible for any corrections or other amendments, and the contents of the records prior to such corrections or amendments, to be easily ascertained;</w:t>
            </w:r>
          </w:p>
          <w:p w:rsidR="00BC3CE5" w:rsidRPr="0021706D" w:rsidRDefault="00BC3CE5" w:rsidP="00937B7E">
            <w:pPr>
              <w:pStyle w:val="ListParagraph"/>
              <w:numPr>
                <w:ilvl w:val="0"/>
                <w:numId w:val="21"/>
              </w:numPr>
              <w:spacing w:before="60" w:afterLines="60" w:after="144"/>
              <w:rPr>
                <w:rFonts w:ascii="Arial" w:hAnsi="Arial" w:cs="Arial"/>
                <w:sz w:val="16"/>
                <w:szCs w:val="16"/>
              </w:rPr>
            </w:pPr>
            <w:r w:rsidRPr="0021706D">
              <w:rPr>
                <w:rFonts w:ascii="Arial" w:hAnsi="Arial" w:cs="Arial"/>
                <w:sz w:val="16"/>
                <w:szCs w:val="16"/>
              </w:rPr>
              <w:t>it is not possible for the records otherwise to be manipulated or altered;</w:t>
            </w:r>
          </w:p>
          <w:p w:rsidR="00BC3CE5" w:rsidRPr="0021706D" w:rsidRDefault="00BC3CE5" w:rsidP="00937B7E">
            <w:pPr>
              <w:pStyle w:val="ListParagraph"/>
              <w:numPr>
                <w:ilvl w:val="0"/>
                <w:numId w:val="21"/>
              </w:numPr>
              <w:spacing w:before="60" w:afterLines="60" w:after="144"/>
              <w:rPr>
                <w:rFonts w:ascii="Arial" w:hAnsi="Arial" w:cs="Arial"/>
                <w:sz w:val="16"/>
                <w:szCs w:val="16"/>
              </w:rPr>
            </w:pPr>
            <w:r w:rsidRPr="0021706D">
              <w:rPr>
                <w:rFonts w:ascii="Arial" w:hAnsi="Arial" w:cs="Arial"/>
                <w:sz w:val="16"/>
                <w:szCs w:val="16"/>
              </w:rPr>
              <w:t>it allows IT or any other efficient exploitation when the analysis of the data cannot be easily carried out due to the volume and the nature of the data; and</w:t>
            </w:r>
          </w:p>
          <w:p w:rsidR="00BC3CE5" w:rsidRPr="0021706D" w:rsidRDefault="00BC3CE5" w:rsidP="00937B7E">
            <w:pPr>
              <w:pStyle w:val="ListParagraph"/>
              <w:numPr>
                <w:ilvl w:val="0"/>
                <w:numId w:val="21"/>
              </w:numPr>
              <w:spacing w:before="60" w:afterLines="60" w:after="144"/>
              <w:rPr>
                <w:rFonts w:ascii="Arial" w:hAnsi="Arial" w:cs="Arial"/>
                <w:sz w:val="16"/>
                <w:szCs w:val="16"/>
              </w:rPr>
            </w:pPr>
            <w:r w:rsidRPr="0021706D">
              <w:rPr>
                <w:rFonts w:ascii="Arial" w:hAnsi="Arial" w:cs="Arial"/>
                <w:sz w:val="16"/>
                <w:szCs w:val="16"/>
              </w:rPr>
              <w:t>the firm’s arrangements comply with the record keeping requirements irrespective of the technology used.</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2. Investment firms shall keep at least the records identified in Annex I to this Regulation depending upon the nature of their activities.</w:t>
            </w:r>
          </w:p>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The list of records identified in Annex I to this Regulation is without prejudice to any other record-keeping obligations arising from other legislation.</w:t>
            </w:r>
          </w:p>
        </w:tc>
        <w:tc>
          <w:tcPr>
            <w:tcW w:w="2693" w:type="dxa"/>
          </w:tcPr>
          <w:p w:rsidR="00BC3CE5" w:rsidRPr="0021706D" w:rsidRDefault="00BC3CE5" w:rsidP="00DC3C2D">
            <w:pPr>
              <w:spacing w:before="60" w:afterLines="60" w:after="144"/>
              <w:rPr>
                <w:rFonts w:ascii="Arial" w:hAnsi="Arial" w:cs="Arial"/>
                <w:sz w:val="16"/>
                <w:szCs w:val="16"/>
                <w:highlight w:val="yellow"/>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3. Investment firms shall also keep records of any policies and procedures they are required to maintain pursuant to Directive 2014/65/EU, Regulation (EU) No 600/2014, Directive 2014/57/EU and Regulation (EU) No 596/2014 and their respective implementing measures in writing.</w:t>
            </w:r>
          </w:p>
          <w:p w:rsidR="00BC3CE5" w:rsidRPr="0021706D" w:rsidRDefault="00BC3CE5" w:rsidP="00FF7FA8">
            <w:pPr>
              <w:spacing w:before="60" w:afterLines="60" w:after="144"/>
              <w:rPr>
                <w:rFonts w:ascii="Arial" w:hAnsi="Arial" w:cs="Arial"/>
                <w:sz w:val="16"/>
                <w:szCs w:val="16"/>
              </w:rPr>
            </w:pPr>
            <w:r w:rsidRPr="0021706D">
              <w:rPr>
                <w:rFonts w:ascii="Arial" w:hAnsi="Arial" w:cs="Arial"/>
                <w:sz w:val="16"/>
                <w:szCs w:val="16"/>
              </w:rPr>
              <w:t>Competent authorities may require investment firms to keep additional records to the list identified in Annex I to this Regulation.</w:t>
            </w:r>
          </w:p>
        </w:tc>
        <w:tc>
          <w:tcPr>
            <w:tcW w:w="2693" w:type="dxa"/>
          </w:tcPr>
          <w:p w:rsidR="00BC3CE5" w:rsidRPr="0021706D" w:rsidRDefault="00BC3CE5" w:rsidP="00DC3C2D">
            <w:pPr>
              <w:spacing w:before="60" w:afterLines="60" w:after="144"/>
              <w:ind w:left="-43"/>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7"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73</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Records which set out the respective rights and obligations of the investment firm and the client under an agreement to provide services, or the terms on which the firm provides services to the client, shall be retained for at least the duration of the relationship with the client.</w:t>
            </w:r>
          </w:p>
        </w:tc>
        <w:tc>
          <w:tcPr>
            <w:tcW w:w="2693" w:type="dxa"/>
          </w:tcPr>
          <w:p w:rsidR="00BC3CE5" w:rsidRPr="0021706D" w:rsidRDefault="00BC3CE5" w:rsidP="008850C7">
            <w:pPr>
              <w:spacing w:before="60" w:afterLines="60" w:after="144"/>
              <w:ind w:left="-43"/>
              <w:rPr>
                <w:rFonts w:ascii="Arial" w:hAnsi="Arial" w:cs="Arial"/>
                <w:sz w:val="16"/>
                <w:szCs w:val="16"/>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8"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74</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An investment firm shall, in relation to every initial order received from a client and in relation to every initial decision to deal taken, immediately record and keep at the disposal of the competent authority at least the details set out in Section 1 of Annex IV to this Regulation to the extent they are applicable to the order or decision to deal in question.</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 xml:space="preserve">Where the details set out in Section 1 of Annex IV to this Regulation are also prescribed under Articles 25 and 26 of Regulation No (EU) 600/2014, these details should be maintained in a consistent way and according to the same standards prescribed under Articles 25 and </w:t>
            </w:r>
            <w:r w:rsidRPr="0021706D">
              <w:rPr>
                <w:rFonts w:ascii="Arial" w:hAnsi="Arial" w:cs="Arial"/>
                <w:sz w:val="16"/>
                <w:szCs w:val="16"/>
              </w:rPr>
              <w:lastRenderedPageBreak/>
              <w:t>26 of Regulation No (EU) 600/2014.</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49" w:tgtFrame="_blank" w:history="1">
              <w:r w:rsidR="009E24D9" w:rsidRPr="0021706D">
                <w:rPr>
                  <w:rStyle w:val="Hyperlink"/>
                  <w:rFonts w:ascii="Arial" w:hAnsi="Arial" w:cs="Arial"/>
                  <w:color w:val="00675D"/>
                  <w:sz w:val="16"/>
                  <w:szCs w:val="16"/>
                  <w:shd w:val="clear" w:color="auto" w:fill="FFFFFF"/>
                </w:rPr>
                <w:t>DR1 - 25 April 2016</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75</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Investment firms shall, immediately after receiving a client order or making a decision to deal to the extent they are applicable to the order or decision to deal in question, record and keep at the disposal of the competent authority at least the details set out in Section 2 of Annex IV. Where the details set out in Section 2 of Annex IV are also prescribed under Articles 25 and 26 of Regulation No (EU) 600/2014, they shall be maintained in a consistent way and according to the same standards prescribed under Articles 25 and 26 of Regulation (EU) No 600/2014.</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vMerge w:val="restart"/>
          </w:tcPr>
          <w:p w:rsidR="00BC3CE5" w:rsidRPr="0021706D" w:rsidRDefault="00DF1DF8" w:rsidP="009E24D9">
            <w:pPr>
              <w:spacing w:before="60" w:afterLines="60" w:after="144"/>
              <w:rPr>
                <w:rFonts w:ascii="Arial" w:hAnsi="Arial" w:cs="Arial"/>
                <w:sz w:val="16"/>
                <w:szCs w:val="16"/>
              </w:rPr>
            </w:pPr>
            <w:hyperlink r:id="rId50" w:tgtFrame="_blank" w:history="1">
              <w:r w:rsidR="00C05882" w:rsidRPr="0021706D">
                <w:rPr>
                  <w:rStyle w:val="Hyperlink"/>
                  <w:rFonts w:ascii="Arial" w:hAnsi="Arial" w:cs="Arial"/>
                  <w:color w:val="00675D"/>
                  <w:sz w:val="16"/>
                  <w:szCs w:val="16"/>
                  <w:shd w:val="clear" w:color="auto" w:fill="FFFFFF"/>
                </w:rPr>
                <w:t>DR1 - 25 April 2016</w:t>
              </w:r>
            </w:hyperlink>
          </w:p>
        </w:tc>
        <w:tc>
          <w:tcPr>
            <w:tcW w:w="1275" w:type="dxa"/>
            <w:vMerge w:val="restart"/>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Article 76</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1. Investment firms shall establish, implement and maintain an effective recording of telephone conversations and electronic communications policy, set out in writing, and appropriate to the size and organisation of the firm, and the nature, scale and complexity of its business. The policy shall include the following content:</w:t>
            </w:r>
          </w:p>
          <w:p w:rsidR="00BC3CE5" w:rsidRPr="0021706D" w:rsidRDefault="00BC3CE5" w:rsidP="00937B7E">
            <w:pPr>
              <w:pStyle w:val="ListParagraph"/>
              <w:numPr>
                <w:ilvl w:val="0"/>
                <w:numId w:val="24"/>
              </w:numPr>
              <w:spacing w:before="60" w:afterLines="60" w:after="144"/>
              <w:rPr>
                <w:rFonts w:ascii="Arial" w:hAnsi="Arial" w:cs="Arial"/>
                <w:sz w:val="16"/>
                <w:szCs w:val="16"/>
              </w:rPr>
            </w:pPr>
            <w:r w:rsidRPr="0021706D">
              <w:rPr>
                <w:rFonts w:ascii="Arial" w:hAnsi="Arial" w:cs="Arial"/>
                <w:sz w:val="16"/>
                <w:szCs w:val="16"/>
              </w:rPr>
              <w:t>the identification of the telephone conversations and electronic communications, including relevant internal telephone conversations and electronic communications, that are subject to the recording requirements in accordance with Article 16(7) of Directive 2014/65/EU; and</w:t>
            </w:r>
          </w:p>
          <w:p w:rsidR="00BC3CE5" w:rsidRPr="0021706D" w:rsidRDefault="00BC3CE5" w:rsidP="00937B7E">
            <w:pPr>
              <w:pStyle w:val="ListParagraph"/>
              <w:numPr>
                <w:ilvl w:val="0"/>
                <w:numId w:val="24"/>
              </w:numPr>
              <w:spacing w:before="60" w:afterLines="60" w:after="144"/>
              <w:rPr>
                <w:rFonts w:ascii="Arial" w:hAnsi="Arial" w:cs="Arial"/>
                <w:sz w:val="16"/>
                <w:szCs w:val="16"/>
              </w:rPr>
            </w:pPr>
            <w:r w:rsidRPr="0021706D">
              <w:rPr>
                <w:rFonts w:ascii="Arial" w:hAnsi="Arial" w:cs="Arial"/>
                <w:sz w:val="16"/>
                <w:szCs w:val="16"/>
              </w:rPr>
              <w:t>the specification of the procedures to be followed and measures to be adopted to ensure the firm’s compliance with the third and eighth subparagraphs of Article 16(7) of Directive 2014/65/EU where exceptional circumstances arise and the firm is unable to record the conversation/communication on devices issued, accepted or permitted by the firm. Evidence of such circumstances shall be retained and shall be accessible to competent authorities.</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2. Investment firms shall ensure that the management body has effective oversight and control over the policies and procedures relating to the firm’s recording of telephone conversations and electronic communications.</w:t>
            </w:r>
          </w:p>
        </w:tc>
        <w:tc>
          <w:tcPr>
            <w:tcW w:w="2693" w:type="dxa"/>
          </w:tcPr>
          <w:p w:rsidR="00BC3CE5" w:rsidRPr="0021706D" w:rsidRDefault="00BC3CE5" w:rsidP="00680764">
            <w:pPr>
              <w:spacing w:before="60" w:afterLines="60" w:after="144"/>
              <w:ind w:left="-43"/>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3. Investment firms shall ensure that the arrangements to comply with recording requirements are technology-neutral. Firms shall periodically evaluate the effectiveness of the firm’s policies and procedures and adopt any such alternative or additional measures and procedures as are necessary and appropriate. At a minimum, such adoption of alternative or additional measures shall occur when a new medium of communication is accepted or permitted for use by the firm.</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4. Investment firms shall keep and regularly update a record of those individuals who have firm devices or privately owned devices that have been approved for use by the firm.</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5. Investment firms shall educate and train employees in procedures governing the requirements in Article 16(7) of Directive 2014/65/EU.</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6. To monitor compliance with the recording and record-keeping requirements in accordance with Article 16(7) of Directive 2014/65/EU, investment firms shall periodically monitor the records of transactions and orders subject to these requirements, including relevant conversations. Such monitoring shall be risk based and proportionate.</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 xml:space="preserve">7. Investment firms shall demonstrate the policies, procedures and management oversight of the recording rules to the relevant </w:t>
            </w:r>
            <w:r w:rsidRPr="0021706D">
              <w:rPr>
                <w:rFonts w:ascii="Arial" w:hAnsi="Arial" w:cs="Arial"/>
                <w:sz w:val="16"/>
                <w:szCs w:val="16"/>
              </w:rPr>
              <w:lastRenderedPageBreak/>
              <w:t xml:space="preserve">competent authorities upon request. </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8. Before investment firms provide investment services and activities relating to the reception, transmission and execution of orders to new and existing clients, firms shall inform the client of the following:</w:t>
            </w:r>
          </w:p>
          <w:p w:rsidR="00BC3CE5" w:rsidRPr="0021706D" w:rsidRDefault="00BC3CE5" w:rsidP="00BD3222">
            <w:pPr>
              <w:numPr>
                <w:ilvl w:val="0"/>
                <w:numId w:val="23"/>
              </w:numPr>
              <w:spacing w:before="60" w:afterLines="60" w:after="144"/>
              <w:rPr>
                <w:rFonts w:ascii="Arial" w:hAnsi="Arial" w:cs="Arial"/>
                <w:sz w:val="16"/>
                <w:szCs w:val="16"/>
              </w:rPr>
            </w:pPr>
            <w:r w:rsidRPr="0021706D">
              <w:rPr>
                <w:rFonts w:ascii="Arial" w:hAnsi="Arial" w:cs="Arial"/>
                <w:sz w:val="16"/>
                <w:szCs w:val="16"/>
              </w:rPr>
              <w:t>that the conversations and communications are being recorded; and</w:t>
            </w:r>
          </w:p>
          <w:p w:rsidR="00BC3CE5" w:rsidRPr="0021706D" w:rsidRDefault="00BC3CE5" w:rsidP="00BD3222">
            <w:pPr>
              <w:numPr>
                <w:ilvl w:val="0"/>
                <w:numId w:val="23"/>
              </w:numPr>
              <w:spacing w:before="60" w:afterLines="60" w:after="144"/>
              <w:rPr>
                <w:rFonts w:ascii="Arial" w:hAnsi="Arial" w:cs="Arial"/>
                <w:sz w:val="16"/>
                <w:szCs w:val="16"/>
              </w:rPr>
            </w:pPr>
            <w:r w:rsidRPr="0021706D">
              <w:rPr>
                <w:rFonts w:ascii="Arial" w:hAnsi="Arial" w:cs="Arial"/>
                <w:sz w:val="16"/>
                <w:szCs w:val="16"/>
              </w:rPr>
              <w:t>that a copy of the recording of such conversations with the client and communications with the client will be available on request for a period of five years and, where requested by the competent authority, for a period of up to seven years.</w:t>
            </w:r>
          </w:p>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The information referred to in the first sub-paragraph shall be presented in the same language(s) as that used to provide investment services to clients</w:t>
            </w:r>
          </w:p>
        </w:tc>
        <w:tc>
          <w:tcPr>
            <w:tcW w:w="2693" w:type="dxa"/>
          </w:tcPr>
          <w:p w:rsidR="00BC3CE5" w:rsidRPr="0021706D" w:rsidRDefault="00BC3CE5" w:rsidP="00F271DA">
            <w:pPr>
              <w:spacing w:before="60" w:afterLines="60" w:after="144"/>
              <w:ind w:left="-43"/>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9. Investment firms shall record in a durable medium all relevant information related to relevant face-to-face conversations with clients. The information recorded shall include at least the following:</w:t>
            </w:r>
          </w:p>
          <w:p w:rsidR="00BC3CE5" w:rsidRPr="0021706D" w:rsidRDefault="00BC3CE5" w:rsidP="00BD3222">
            <w:pPr>
              <w:numPr>
                <w:ilvl w:val="0"/>
                <w:numId w:val="22"/>
              </w:numPr>
              <w:spacing w:before="60" w:afterLines="60" w:after="144"/>
              <w:rPr>
                <w:rFonts w:ascii="Arial" w:hAnsi="Arial" w:cs="Arial"/>
                <w:sz w:val="16"/>
                <w:szCs w:val="16"/>
              </w:rPr>
            </w:pPr>
            <w:r w:rsidRPr="0021706D">
              <w:rPr>
                <w:rFonts w:ascii="Arial" w:hAnsi="Arial" w:cs="Arial"/>
                <w:sz w:val="16"/>
                <w:szCs w:val="16"/>
              </w:rPr>
              <w:t>date and time of meetings;</w:t>
            </w:r>
          </w:p>
          <w:p w:rsidR="00BC3CE5" w:rsidRPr="0021706D" w:rsidRDefault="00BC3CE5" w:rsidP="00BD3222">
            <w:pPr>
              <w:numPr>
                <w:ilvl w:val="0"/>
                <w:numId w:val="22"/>
              </w:numPr>
              <w:spacing w:before="60" w:afterLines="60" w:after="144"/>
              <w:rPr>
                <w:rFonts w:ascii="Arial" w:hAnsi="Arial" w:cs="Arial"/>
                <w:sz w:val="16"/>
                <w:szCs w:val="16"/>
              </w:rPr>
            </w:pPr>
            <w:r w:rsidRPr="0021706D">
              <w:rPr>
                <w:rFonts w:ascii="Arial" w:hAnsi="Arial" w:cs="Arial"/>
                <w:sz w:val="16"/>
                <w:szCs w:val="16"/>
              </w:rPr>
              <w:t>location of meetings;</w:t>
            </w:r>
          </w:p>
          <w:p w:rsidR="00BC3CE5" w:rsidRPr="0021706D" w:rsidRDefault="00BC3CE5" w:rsidP="00BD3222">
            <w:pPr>
              <w:numPr>
                <w:ilvl w:val="0"/>
                <w:numId w:val="22"/>
              </w:numPr>
              <w:spacing w:before="60" w:afterLines="60" w:after="144"/>
              <w:rPr>
                <w:rFonts w:ascii="Arial" w:hAnsi="Arial" w:cs="Arial"/>
                <w:sz w:val="16"/>
                <w:szCs w:val="16"/>
              </w:rPr>
            </w:pPr>
            <w:r w:rsidRPr="0021706D">
              <w:rPr>
                <w:rFonts w:ascii="Arial" w:hAnsi="Arial" w:cs="Arial"/>
                <w:sz w:val="16"/>
                <w:szCs w:val="16"/>
              </w:rPr>
              <w:t>identity of the attendees;</w:t>
            </w:r>
          </w:p>
          <w:p w:rsidR="00BC3CE5" w:rsidRPr="0021706D" w:rsidRDefault="00BC3CE5" w:rsidP="00BD3222">
            <w:pPr>
              <w:numPr>
                <w:ilvl w:val="0"/>
                <w:numId w:val="22"/>
              </w:numPr>
              <w:spacing w:before="60" w:afterLines="60" w:after="144"/>
              <w:rPr>
                <w:rFonts w:ascii="Arial" w:hAnsi="Arial" w:cs="Arial"/>
                <w:sz w:val="16"/>
                <w:szCs w:val="16"/>
              </w:rPr>
            </w:pPr>
            <w:r w:rsidRPr="0021706D">
              <w:rPr>
                <w:rFonts w:ascii="Arial" w:hAnsi="Arial" w:cs="Arial"/>
                <w:sz w:val="16"/>
                <w:szCs w:val="16"/>
              </w:rPr>
              <w:t>initiator of the meetings; and</w:t>
            </w:r>
          </w:p>
          <w:p w:rsidR="00BC3CE5" w:rsidRPr="0021706D" w:rsidRDefault="00BC3CE5" w:rsidP="00BD3222">
            <w:pPr>
              <w:numPr>
                <w:ilvl w:val="0"/>
                <w:numId w:val="22"/>
              </w:numPr>
              <w:spacing w:before="60" w:afterLines="60" w:after="144"/>
              <w:rPr>
                <w:rFonts w:ascii="Arial" w:hAnsi="Arial" w:cs="Arial"/>
                <w:sz w:val="16"/>
                <w:szCs w:val="16"/>
              </w:rPr>
            </w:pPr>
            <w:r w:rsidRPr="0021706D">
              <w:rPr>
                <w:rFonts w:ascii="Arial" w:hAnsi="Arial" w:cs="Arial"/>
                <w:sz w:val="16"/>
                <w:szCs w:val="16"/>
              </w:rPr>
              <w:t>relevant information about the client order including the price, volume, type of order and when it shall be transmitted or executed.</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10. Records shall be stored in a durable medium, which allows them to be replayed or copied and must be retained in a format that does not allow the original record to be altered or deleted.</w:t>
            </w:r>
          </w:p>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Records shall be stored in a medium so that they are readily accessible and available to clients on request.</w:t>
            </w:r>
          </w:p>
          <w:p w:rsidR="00BC3CE5" w:rsidRPr="0021706D" w:rsidRDefault="00BC3CE5" w:rsidP="00BD3222">
            <w:pPr>
              <w:spacing w:before="60" w:afterLines="60" w:after="144"/>
              <w:rPr>
                <w:rFonts w:ascii="Arial" w:hAnsi="Arial" w:cs="Arial"/>
                <w:sz w:val="16"/>
                <w:szCs w:val="16"/>
              </w:rPr>
            </w:pPr>
            <w:r w:rsidRPr="0021706D">
              <w:rPr>
                <w:rFonts w:ascii="Arial" w:hAnsi="Arial" w:cs="Arial"/>
                <w:sz w:val="16"/>
                <w:szCs w:val="16"/>
              </w:rPr>
              <w:t>Firms shall ensure the quality, accuracy and completeness of the records of all telephone recordings and electronic communications.</w:t>
            </w:r>
          </w:p>
        </w:tc>
        <w:tc>
          <w:tcPr>
            <w:tcW w:w="2693" w:type="dxa"/>
          </w:tcPr>
          <w:p w:rsidR="00BC3CE5" w:rsidRPr="0021706D" w:rsidRDefault="00BC3CE5" w:rsidP="00F271DA">
            <w:pPr>
              <w:spacing w:before="60" w:afterLines="60" w:after="144"/>
              <w:ind w:left="-43"/>
              <w:rPr>
                <w:rFonts w:ascii="Arial" w:hAnsi="Arial" w:cs="Arial"/>
                <w:sz w:val="16"/>
                <w:szCs w:val="16"/>
              </w:rPr>
            </w:pPr>
          </w:p>
        </w:tc>
      </w:tr>
      <w:tr w:rsidR="00BC3CE5" w:rsidRPr="0021706D" w:rsidTr="00895797">
        <w:trPr>
          <w:jc w:val="center"/>
        </w:trPr>
        <w:tc>
          <w:tcPr>
            <w:tcW w:w="818" w:type="dxa"/>
            <w:vMerge/>
          </w:tcPr>
          <w:p w:rsidR="00BC3CE5" w:rsidRPr="0021706D" w:rsidRDefault="00BC3CE5" w:rsidP="00937B7E">
            <w:pPr>
              <w:spacing w:before="60" w:afterLines="60" w:after="144"/>
              <w:rPr>
                <w:rFonts w:ascii="Arial" w:hAnsi="Arial" w:cs="Arial"/>
                <w:sz w:val="16"/>
                <w:szCs w:val="16"/>
              </w:rPr>
            </w:pPr>
          </w:p>
        </w:tc>
        <w:tc>
          <w:tcPr>
            <w:tcW w:w="1275" w:type="dxa"/>
            <w:vMerge/>
          </w:tcPr>
          <w:p w:rsidR="00BC3CE5" w:rsidRPr="0021706D" w:rsidRDefault="00BC3CE5" w:rsidP="00937B7E">
            <w:pPr>
              <w:spacing w:before="60" w:afterLines="60" w:after="144"/>
              <w:rPr>
                <w:rFonts w:ascii="Arial" w:hAnsi="Arial" w:cs="Arial"/>
                <w:sz w:val="16"/>
                <w:szCs w:val="16"/>
              </w:rPr>
            </w:pP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11. The period of time for the retention of a record shall begin on the date when the record is created.</w:t>
            </w:r>
          </w:p>
        </w:tc>
        <w:tc>
          <w:tcPr>
            <w:tcW w:w="2693" w:type="dxa"/>
          </w:tcPr>
          <w:p w:rsidR="00BC3CE5" w:rsidRPr="0021706D" w:rsidRDefault="00BC3CE5" w:rsidP="00F71B46">
            <w:pPr>
              <w:pStyle w:val="ListParagraph"/>
              <w:spacing w:before="60" w:afterLines="60" w:after="144"/>
              <w:ind w:left="317"/>
              <w:rPr>
                <w:rFonts w:ascii="Arial" w:hAnsi="Arial" w:cs="Arial"/>
                <w:sz w:val="16"/>
                <w:szCs w:val="16"/>
              </w:rPr>
            </w:pPr>
          </w:p>
        </w:tc>
      </w:tr>
      <w:tr w:rsidR="00AE26B0" w:rsidRPr="0021706D" w:rsidTr="00AE26B0">
        <w:trPr>
          <w:jc w:val="center"/>
        </w:trPr>
        <w:tc>
          <w:tcPr>
            <w:tcW w:w="14742" w:type="dxa"/>
            <w:gridSpan w:val="4"/>
            <w:shd w:val="clear" w:color="auto" w:fill="32464D"/>
          </w:tcPr>
          <w:p w:rsidR="00BC3CE5" w:rsidRPr="0021706D" w:rsidRDefault="00BC3CE5" w:rsidP="00937B7E">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Level 3</w:t>
            </w:r>
          </w:p>
        </w:tc>
      </w:tr>
      <w:tr w:rsidR="00BC3CE5" w:rsidRPr="0021706D" w:rsidTr="00895797">
        <w:trPr>
          <w:jc w:val="center"/>
        </w:trPr>
        <w:tc>
          <w:tcPr>
            <w:tcW w:w="818" w:type="dxa"/>
          </w:tcPr>
          <w:p w:rsidR="00BC3CE5" w:rsidRPr="0021706D" w:rsidRDefault="00DF1DF8" w:rsidP="00937B7E">
            <w:pPr>
              <w:spacing w:before="60" w:afterLines="60" w:after="144"/>
              <w:rPr>
                <w:rFonts w:ascii="Arial" w:hAnsi="Arial" w:cs="Arial"/>
                <w:sz w:val="16"/>
                <w:szCs w:val="16"/>
              </w:rPr>
            </w:pPr>
            <w:hyperlink r:id="rId51" w:tgtFrame="_blank" w:history="1">
              <w:r w:rsidR="0021706D" w:rsidRPr="0021706D">
                <w:rPr>
                  <w:rStyle w:val="Hyperlink"/>
                  <w:rFonts w:ascii="Arial" w:hAnsi="Arial" w:cs="Arial"/>
                  <w:color w:val="00675D"/>
                  <w:sz w:val="16"/>
                  <w:szCs w:val="16"/>
                  <w:bdr w:val="none" w:sz="0" w:space="0" w:color="auto" w:frame="1"/>
                  <w:shd w:val="clear" w:color="auto" w:fill="FFFFFF"/>
                </w:rPr>
                <w:t>ESMA Final Report - Guidelin</w:t>
              </w:r>
              <w:r w:rsidR="0021706D" w:rsidRPr="0021706D">
                <w:rPr>
                  <w:rStyle w:val="Hyperlink"/>
                  <w:rFonts w:ascii="Arial" w:hAnsi="Arial" w:cs="Arial"/>
                  <w:color w:val="00675D"/>
                  <w:sz w:val="16"/>
                  <w:szCs w:val="16"/>
                  <w:bdr w:val="none" w:sz="0" w:space="0" w:color="auto" w:frame="1"/>
                  <w:shd w:val="clear" w:color="auto" w:fill="FFFFFF"/>
                </w:rPr>
                <w:lastRenderedPageBreak/>
                <w:t>es for the assessment of knowledge and competence - December 2015</w:t>
              </w:r>
            </w:hyperlink>
          </w:p>
        </w:tc>
        <w:tc>
          <w:tcPr>
            <w:tcW w:w="1275"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bCs/>
                <w:sz w:val="16"/>
                <w:szCs w:val="16"/>
              </w:rPr>
              <w:lastRenderedPageBreak/>
              <w:t xml:space="preserve">V.IV Organisational requirements for </w:t>
            </w:r>
            <w:r w:rsidRPr="0021706D">
              <w:rPr>
                <w:rFonts w:ascii="Arial" w:hAnsi="Arial" w:cs="Arial"/>
                <w:bCs/>
                <w:sz w:val="16"/>
                <w:szCs w:val="16"/>
              </w:rPr>
              <w:lastRenderedPageBreak/>
              <w:t>assessment, maintenance and updating of knowledge and competence</w:t>
            </w:r>
          </w:p>
        </w:tc>
        <w:tc>
          <w:tcPr>
            <w:tcW w:w="9956" w:type="dxa"/>
          </w:tcPr>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lastRenderedPageBreak/>
              <w:t>20. Firms should:</w:t>
            </w:r>
          </w:p>
          <w:p w:rsidR="00BC3CE5" w:rsidRPr="0021706D" w:rsidRDefault="00BC3CE5" w:rsidP="00937B7E">
            <w:pPr>
              <w:spacing w:before="60" w:afterLines="60" w:after="144"/>
              <w:rPr>
                <w:rFonts w:ascii="Arial" w:hAnsi="Arial" w:cs="Arial"/>
                <w:sz w:val="16"/>
                <w:szCs w:val="16"/>
              </w:rPr>
            </w:pPr>
            <w:r w:rsidRPr="0021706D">
              <w:rPr>
                <w:rFonts w:ascii="Arial" w:hAnsi="Arial" w:cs="Arial"/>
                <w:sz w:val="16"/>
                <w:szCs w:val="16"/>
              </w:rPr>
              <w:t>…</w:t>
            </w:r>
          </w:p>
          <w:p w:rsidR="00BC3CE5" w:rsidRPr="0021706D" w:rsidRDefault="00BC3CE5" w:rsidP="00937B7E">
            <w:pPr>
              <w:pStyle w:val="ListParagraph"/>
              <w:numPr>
                <w:ilvl w:val="0"/>
                <w:numId w:val="23"/>
              </w:numPr>
              <w:spacing w:before="60" w:afterLines="60" w:after="144"/>
              <w:rPr>
                <w:rFonts w:ascii="Arial" w:hAnsi="Arial" w:cs="Arial"/>
                <w:sz w:val="16"/>
                <w:szCs w:val="16"/>
              </w:rPr>
            </w:pPr>
            <w:r w:rsidRPr="0021706D">
              <w:rPr>
                <w:rFonts w:ascii="Arial" w:hAnsi="Arial" w:cs="Arial"/>
                <w:sz w:val="16"/>
                <w:szCs w:val="16"/>
              </w:rPr>
              <w:lastRenderedPageBreak/>
              <w:t>ensure that they submit to their CA, on request, records concerning knowledge and competence of staff providing relevant services to clients. These records shall contain information that enables the CA to assess and verify compliance with these guidelines;</w:t>
            </w:r>
          </w:p>
        </w:tc>
        <w:tc>
          <w:tcPr>
            <w:tcW w:w="2693" w:type="dxa"/>
          </w:tcPr>
          <w:p w:rsidR="00BC3CE5" w:rsidRPr="0021706D" w:rsidRDefault="00BC3CE5" w:rsidP="00680764">
            <w:pPr>
              <w:spacing w:before="60" w:afterLines="60" w:after="144"/>
              <w:rPr>
                <w:rFonts w:ascii="Arial" w:hAnsi="Arial" w:cs="Arial"/>
                <w:sz w:val="16"/>
                <w:szCs w:val="16"/>
                <w:highlight w:val="yellow"/>
              </w:rPr>
            </w:pPr>
          </w:p>
        </w:tc>
      </w:tr>
    </w:tbl>
    <w:p w:rsidR="00B17E70" w:rsidRPr="0021706D" w:rsidRDefault="00B17E70">
      <w:pPr>
        <w:rPr>
          <w:rFonts w:ascii="Arial" w:eastAsiaTheme="majorEastAsia" w:hAnsi="Arial" w:cs="Arial"/>
          <w:b/>
          <w:bCs/>
          <w:caps/>
          <w:color w:val="000000" w:themeColor="text1"/>
          <w:sz w:val="16"/>
          <w:szCs w:val="16"/>
          <w:u w:val="single"/>
        </w:rPr>
      </w:pPr>
      <w:bookmarkStart w:id="1" w:name="_Appendix_A"/>
      <w:bookmarkEnd w:id="1"/>
      <w:r w:rsidRPr="0021706D">
        <w:rPr>
          <w:rFonts w:ascii="Arial" w:hAnsi="Arial" w:cs="Arial"/>
          <w:sz w:val="16"/>
          <w:szCs w:val="16"/>
        </w:rPr>
        <w:br w:type="page"/>
      </w:r>
    </w:p>
    <w:p w:rsidR="00B17E70" w:rsidRPr="0021706D" w:rsidRDefault="00B17E70" w:rsidP="00B17E70">
      <w:pPr>
        <w:pStyle w:val="Heading1"/>
        <w:numPr>
          <w:ilvl w:val="0"/>
          <w:numId w:val="0"/>
        </w:numPr>
        <w:ind w:left="360" w:hanging="360"/>
        <w:jc w:val="center"/>
        <w:rPr>
          <w:rFonts w:cs="Arial"/>
          <w:sz w:val="16"/>
          <w:szCs w:val="16"/>
        </w:rPr>
      </w:pPr>
      <w:bookmarkStart w:id="2" w:name="_Appendix_B_Examples"/>
      <w:bookmarkEnd w:id="2"/>
      <w:r w:rsidRPr="0021706D">
        <w:rPr>
          <w:rFonts w:cs="Arial"/>
          <w:sz w:val="16"/>
          <w:szCs w:val="16"/>
        </w:rPr>
        <w:lastRenderedPageBreak/>
        <w:t>Appendix</w:t>
      </w:r>
      <w:r w:rsidRPr="0021706D">
        <w:rPr>
          <w:rFonts w:cs="Arial"/>
          <w:sz w:val="16"/>
          <w:szCs w:val="16"/>
        </w:rPr>
        <w:br/>
        <w:t>Examples of Services and Activities</w:t>
      </w:r>
    </w:p>
    <w:p w:rsidR="003D3994" w:rsidRPr="0021706D" w:rsidRDefault="003D3994" w:rsidP="003D3994">
      <w:pPr>
        <w:pStyle w:val="BodyText"/>
        <w:rPr>
          <w:rFonts w:cs="Arial"/>
          <w:sz w:val="16"/>
          <w:szCs w:val="16"/>
        </w:rPr>
      </w:pPr>
      <w:r w:rsidRPr="0021706D">
        <w:rPr>
          <w:rFonts w:cs="Arial"/>
          <w:sz w:val="16"/>
          <w:szCs w:val="16"/>
        </w:rPr>
        <w:t>MiFID 2 Article 16(6) contains a broad requirement to keep records of all services, activities and transactions undertaken in order for the FCA to sufficiently fulfil its supervisory tasks and to perform the enforcement actions in connection with MiFID 2, MiFIR</w:t>
      </w:r>
      <w:r w:rsidR="00680764" w:rsidRPr="0021706D">
        <w:rPr>
          <w:rFonts w:cs="Arial"/>
          <w:sz w:val="16"/>
          <w:szCs w:val="16"/>
        </w:rPr>
        <w:t xml:space="preserve">, MAD and MAR. Given these directives and regulations impose </w:t>
      </w:r>
      <w:r w:rsidRPr="0021706D">
        <w:rPr>
          <w:rFonts w:cs="Arial"/>
          <w:sz w:val="16"/>
          <w:szCs w:val="16"/>
        </w:rPr>
        <w:t xml:space="preserve">many </w:t>
      </w:r>
      <w:r w:rsidR="00680764" w:rsidRPr="0021706D">
        <w:rPr>
          <w:rFonts w:cs="Arial"/>
          <w:sz w:val="16"/>
          <w:szCs w:val="16"/>
        </w:rPr>
        <w:t>r</w:t>
      </w:r>
      <w:r w:rsidRPr="0021706D">
        <w:rPr>
          <w:rFonts w:cs="Arial"/>
          <w:sz w:val="16"/>
          <w:szCs w:val="16"/>
        </w:rPr>
        <w:t>equirements, each requirement needs to be reviewed for any information produced, received and/or disclosed in connection with a regulatory requirement.</w:t>
      </w:r>
      <w:r w:rsidR="00680764" w:rsidRPr="0021706D">
        <w:rPr>
          <w:rFonts w:cs="Arial"/>
          <w:sz w:val="16"/>
          <w:szCs w:val="16"/>
        </w:rPr>
        <w:t xml:space="preserve">  Generally, these will take the form of:</w:t>
      </w:r>
    </w:p>
    <w:p w:rsidR="00680764" w:rsidRPr="0021706D" w:rsidRDefault="00680764" w:rsidP="00680764">
      <w:pPr>
        <w:pStyle w:val="ListNumber"/>
        <w:rPr>
          <w:rFonts w:cs="Arial"/>
          <w:sz w:val="16"/>
          <w:szCs w:val="16"/>
        </w:rPr>
      </w:pPr>
      <w:r w:rsidRPr="0021706D">
        <w:rPr>
          <w:rFonts w:cs="Arial"/>
          <w:sz w:val="16"/>
          <w:szCs w:val="16"/>
        </w:rPr>
        <w:t>Policies &amp; Procedures</w:t>
      </w:r>
    </w:p>
    <w:p w:rsidR="008E5D40" w:rsidRPr="0021706D" w:rsidRDefault="008E5D40" w:rsidP="00680764">
      <w:pPr>
        <w:pStyle w:val="ListNumber"/>
        <w:rPr>
          <w:rFonts w:cs="Arial"/>
          <w:sz w:val="16"/>
          <w:szCs w:val="16"/>
        </w:rPr>
      </w:pPr>
      <w:r w:rsidRPr="0021706D">
        <w:rPr>
          <w:rFonts w:cs="Arial"/>
          <w:sz w:val="16"/>
          <w:szCs w:val="16"/>
        </w:rPr>
        <w:t>Client information procurement</w:t>
      </w:r>
    </w:p>
    <w:p w:rsidR="00680764" w:rsidRPr="0021706D" w:rsidRDefault="008E5D40" w:rsidP="00680764">
      <w:pPr>
        <w:pStyle w:val="ListNumber"/>
        <w:rPr>
          <w:rFonts w:cs="Arial"/>
          <w:sz w:val="16"/>
          <w:szCs w:val="16"/>
        </w:rPr>
      </w:pPr>
      <w:r w:rsidRPr="0021706D">
        <w:rPr>
          <w:rFonts w:cs="Arial"/>
          <w:sz w:val="16"/>
          <w:szCs w:val="16"/>
        </w:rPr>
        <w:t>Client communications,</w:t>
      </w:r>
      <w:r w:rsidR="00680764" w:rsidRPr="0021706D">
        <w:rPr>
          <w:rFonts w:cs="Arial"/>
          <w:sz w:val="16"/>
          <w:szCs w:val="16"/>
        </w:rPr>
        <w:t xml:space="preserve"> disclosures</w:t>
      </w:r>
      <w:r w:rsidRPr="0021706D">
        <w:rPr>
          <w:rFonts w:cs="Arial"/>
          <w:sz w:val="16"/>
          <w:szCs w:val="16"/>
        </w:rPr>
        <w:t xml:space="preserve"> &amp; reporting</w:t>
      </w:r>
    </w:p>
    <w:p w:rsidR="00680764" w:rsidRPr="0021706D" w:rsidRDefault="00680764" w:rsidP="00680764">
      <w:pPr>
        <w:pStyle w:val="ListNumber"/>
        <w:rPr>
          <w:rFonts w:cs="Arial"/>
          <w:sz w:val="16"/>
          <w:szCs w:val="16"/>
        </w:rPr>
      </w:pPr>
      <w:r w:rsidRPr="0021706D">
        <w:rPr>
          <w:rFonts w:cs="Arial"/>
          <w:sz w:val="16"/>
          <w:szCs w:val="16"/>
        </w:rPr>
        <w:t>Regulator notifications &amp; disclosures</w:t>
      </w:r>
    </w:p>
    <w:p w:rsidR="00680764" w:rsidRPr="0021706D" w:rsidRDefault="00680764" w:rsidP="00680764">
      <w:pPr>
        <w:pStyle w:val="ListNumber"/>
        <w:rPr>
          <w:rFonts w:cs="Arial"/>
          <w:sz w:val="16"/>
          <w:szCs w:val="16"/>
        </w:rPr>
      </w:pPr>
      <w:r w:rsidRPr="0021706D">
        <w:rPr>
          <w:rFonts w:cs="Arial"/>
          <w:sz w:val="16"/>
          <w:szCs w:val="16"/>
        </w:rPr>
        <w:t>Market notifications &amp; disclosures</w:t>
      </w:r>
    </w:p>
    <w:p w:rsidR="00680764" w:rsidRPr="0021706D" w:rsidRDefault="00680764" w:rsidP="00680764">
      <w:pPr>
        <w:pStyle w:val="ListNumber"/>
        <w:rPr>
          <w:rFonts w:cs="Arial"/>
          <w:sz w:val="16"/>
          <w:szCs w:val="16"/>
        </w:rPr>
      </w:pPr>
      <w:r w:rsidRPr="0021706D">
        <w:rPr>
          <w:rFonts w:cs="Arial"/>
          <w:sz w:val="16"/>
          <w:szCs w:val="16"/>
        </w:rPr>
        <w:t xml:space="preserve">Transaction reporting </w:t>
      </w:r>
      <w:r w:rsidR="008E5D40" w:rsidRPr="0021706D">
        <w:rPr>
          <w:rFonts w:cs="Arial"/>
          <w:sz w:val="16"/>
          <w:szCs w:val="16"/>
        </w:rPr>
        <w:t>&amp;</w:t>
      </w:r>
      <w:r w:rsidRPr="0021706D">
        <w:rPr>
          <w:rFonts w:cs="Arial"/>
          <w:sz w:val="16"/>
          <w:szCs w:val="16"/>
        </w:rPr>
        <w:t xml:space="preserve"> transparency disclosure requirements</w:t>
      </w:r>
    </w:p>
    <w:p w:rsidR="00680764" w:rsidRPr="0021706D" w:rsidRDefault="00680764" w:rsidP="00680764">
      <w:pPr>
        <w:pStyle w:val="ListNumber"/>
        <w:rPr>
          <w:rFonts w:cs="Arial"/>
          <w:sz w:val="16"/>
          <w:szCs w:val="16"/>
        </w:rPr>
      </w:pPr>
      <w:r w:rsidRPr="0021706D">
        <w:rPr>
          <w:rFonts w:cs="Arial"/>
          <w:sz w:val="16"/>
          <w:szCs w:val="16"/>
        </w:rPr>
        <w:t>Outsourcing agreements</w:t>
      </w:r>
    </w:p>
    <w:p w:rsidR="00680764" w:rsidRPr="0021706D" w:rsidRDefault="00680764" w:rsidP="00680764">
      <w:pPr>
        <w:pStyle w:val="ListNumber"/>
        <w:rPr>
          <w:rFonts w:cs="Arial"/>
          <w:sz w:val="16"/>
          <w:szCs w:val="16"/>
        </w:rPr>
      </w:pPr>
      <w:r w:rsidRPr="0021706D">
        <w:rPr>
          <w:rFonts w:cs="Arial"/>
          <w:sz w:val="16"/>
          <w:szCs w:val="16"/>
        </w:rPr>
        <w:t xml:space="preserve">Organisational </w:t>
      </w:r>
      <w:r w:rsidR="008E5D40" w:rsidRPr="0021706D">
        <w:rPr>
          <w:rFonts w:cs="Arial"/>
          <w:sz w:val="16"/>
          <w:szCs w:val="16"/>
        </w:rPr>
        <w:t>&amp;</w:t>
      </w:r>
      <w:r w:rsidRPr="0021706D">
        <w:rPr>
          <w:rFonts w:cs="Arial"/>
          <w:sz w:val="16"/>
          <w:szCs w:val="16"/>
        </w:rPr>
        <w:t xml:space="preserve"> administrative </w:t>
      </w:r>
      <w:r w:rsidR="008E5D40" w:rsidRPr="0021706D">
        <w:rPr>
          <w:rFonts w:cs="Arial"/>
          <w:sz w:val="16"/>
          <w:szCs w:val="16"/>
        </w:rPr>
        <w:t>arrangements</w:t>
      </w:r>
    </w:p>
    <w:p w:rsidR="008E5D40" w:rsidRPr="0021706D" w:rsidRDefault="008E5D40" w:rsidP="00680764">
      <w:pPr>
        <w:pStyle w:val="ListNumber"/>
        <w:rPr>
          <w:rFonts w:cs="Arial"/>
          <w:sz w:val="16"/>
          <w:szCs w:val="16"/>
        </w:rPr>
      </w:pPr>
      <w:r w:rsidRPr="0021706D">
        <w:rPr>
          <w:rFonts w:cs="Arial"/>
          <w:sz w:val="16"/>
          <w:szCs w:val="16"/>
        </w:rPr>
        <w:t xml:space="preserve">Ongoing monitoring &amp; reviews by internal and external control/oversight functions </w:t>
      </w:r>
    </w:p>
    <w:p w:rsidR="00680764" w:rsidRPr="0021706D" w:rsidRDefault="00680764" w:rsidP="003D3994">
      <w:pPr>
        <w:pStyle w:val="BodyText"/>
        <w:rPr>
          <w:rFonts w:cs="Arial"/>
          <w:sz w:val="16"/>
          <w:szCs w:val="16"/>
        </w:rPr>
      </w:pPr>
      <w:r w:rsidRPr="0021706D">
        <w:rPr>
          <w:rFonts w:cs="Arial"/>
          <w:sz w:val="16"/>
          <w:szCs w:val="16"/>
        </w:rPr>
        <w:t xml:space="preserve">Often, these documents will already be recorded in order to demonstrate to internal control functions, external auditors, and regulators as evidence of compliance. </w:t>
      </w:r>
    </w:p>
    <w:p w:rsidR="008E5D40" w:rsidRPr="0021706D" w:rsidRDefault="00680764" w:rsidP="003D3994">
      <w:pPr>
        <w:pStyle w:val="BodyText"/>
        <w:rPr>
          <w:rFonts w:cs="Arial"/>
          <w:sz w:val="16"/>
          <w:szCs w:val="16"/>
        </w:rPr>
      </w:pPr>
      <w:r w:rsidRPr="0021706D">
        <w:rPr>
          <w:rFonts w:cs="Arial"/>
          <w:sz w:val="16"/>
          <w:szCs w:val="16"/>
        </w:rPr>
        <w:t>Below is an illustrative chart of some MiFID 2 requirements.  This chart is not meant to cover all of the MiFID 2/MiFIR requirements nor any of the MAD/MAR requirements.</w:t>
      </w:r>
    </w:p>
    <w:p w:rsidR="008E5D40" w:rsidRPr="0021706D" w:rsidRDefault="008E5D40">
      <w:pPr>
        <w:rPr>
          <w:rFonts w:ascii="Arial" w:hAnsi="Arial" w:cs="Arial"/>
          <w:sz w:val="16"/>
          <w:szCs w:val="16"/>
        </w:rPr>
      </w:pPr>
      <w:r w:rsidRPr="0021706D">
        <w:rPr>
          <w:rFonts w:ascii="Arial" w:hAnsi="Arial" w:cs="Arial"/>
          <w:sz w:val="16"/>
          <w:szCs w:val="16"/>
        </w:rPr>
        <w:br w:type="page"/>
      </w:r>
    </w:p>
    <w:tbl>
      <w:tblPr>
        <w:tblStyle w:val="TableGrid"/>
        <w:tblW w:w="14742" w:type="dxa"/>
        <w:jc w:val="center"/>
        <w:tblLayout w:type="fixed"/>
        <w:tblLook w:val="04A0" w:firstRow="1" w:lastRow="0" w:firstColumn="1" w:lastColumn="0" w:noHBand="0" w:noVBand="1"/>
      </w:tblPr>
      <w:tblGrid>
        <w:gridCol w:w="1276"/>
        <w:gridCol w:w="1276"/>
        <w:gridCol w:w="9497"/>
        <w:gridCol w:w="2693"/>
      </w:tblGrid>
      <w:tr w:rsidR="00AE26B0" w:rsidRPr="0021706D" w:rsidTr="00AE26B0">
        <w:trPr>
          <w:tblHeader/>
          <w:jc w:val="center"/>
        </w:trPr>
        <w:tc>
          <w:tcPr>
            <w:tcW w:w="14742" w:type="dxa"/>
            <w:gridSpan w:val="4"/>
            <w:shd w:val="clear" w:color="auto" w:fill="32464D"/>
          </w:tcPr>
          <w:p w:rsidR="003D3994" w:rsidRPr="0021706D" w:rsidRDefault="00680764" w:rsidP="00680764">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lastRenderedPageBreak/>
              <w:t>Illustrative Chart</w:t>
            </w:r>
          </w:p>
        </w:tc>
      </w:tr>
      <w:tr w:rsidR="00AE26B0" w:rsidRPr="0021706D" w:rsidTr="00AE26B0">
        <w:trPr>
          <w:tblHeader/>
          <w:jc w:val="center"/>
        </w:trPr>
        <w:tc>
          <w:tcPr>
            <w:tcW w:w="1276" w:type="dxa"/>
            <w:shd w:val="clear" w:color="auto" w:fill="32464D"/>
          </w:tcPr>
          <w:p w:rsidR="003D3994" w:rsidRPr="0021706D" w:rsidRDefault="003D3994" w:rsidP="00680764">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Document</w:t>
            </w:r>
          </w:p>
        </w:tc>
        <w:tc>
          <w:tcPr>
            <w:tcW w:w="1276" w:type="dxa"/>
            <w:shd w:val="clear" w:color="auto" w:fill="32464D"/>
          </w:tcPr>
          <w:p w:rsidR="003D3994" w:rsidRPr="0021706D" w:rsidRDefault="003D3994" w:rsidP="00680764">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Location</w:t>
            </w:r>
          </w:p>
        </w:tc>
        <w:tc>
          <w:tcPr>
            <w:tcW w:w="9497" w:type="dxa"/>
            <w:shd w:val="clear" w:color="auto" w:fill="32464D"/>
          </w:tcPr>
          <w:p w:rsidR="003D3994" w:rsidRPr="0021706D" w:rsidRDefault="003D3994" w:rsidP="00680764">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Text</w:t>
            </w:r>
          </w:p>
        </w:tc>
        <w:tc>
          <w:tcPr>
            <w:tcW w:w="2693" w:type="dxa"/>
            <w:shd w:val="clear" w:color="auto" w:fill="32464D"/>
          </w:tcPr>
          <w:p w:rsidR="003D3994" w:rsidRPr="0021706D" w:rsidRDefault="003D3994" w:rsidP="00680764">
            <w:pPr>
              <w:spacing w:before="60" w:afterLines="60" w:after="144"/>
              <w:jc w:val="center"/>
              <w:rPr>
                <w:rFonts w:ascii="Arial" w:hAnsi="Arial" w:cs="Arial"/>
                <w:b/>
                <w:color w:val="FFFFFF" w:themeColor="background1"/>
                <w:sz w:val="16"/>
                <w:szCs w:val="16"/>
              </w:rPr>
            </w:pPr>
          </w:p>
        </w:tc>
      </w:tr>
      <w:tr w:rsidR="00AE26B0" w:rsidRPr="0021706D" w:rsidTr="00AE26B0">
        <w:trPr>
          <w:jc w:val="center"/>
        </w:trPr>
        <w:tc>
          <w:tcPr>
            <w:tcW w:w="14742" w:type="dxa"/>
            <w:gridSpan w:val="4"/>
            <w:shd w:val="clear" w:color="auto" w:fill="32464D"/>
          </w:tcPr>
          <w:p w:rsidR="003D3994" w:rsidRPr="0021706D" w:rsidRDefault="003D3994" w:rsidP="00680764">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Level 1</w:t>
            </w: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MiFIR</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Recital 82</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When providing investment advice, the investment firm should specify in a written statement on suitability how the advice given meets the preferences, needs and other characteristics of the retail client. The statement should be provided in a durable medium including in an electronic form. The responsibility to undertake the suitability assessment and to provide an accurate suitability report to the client lies with the investment firm and appropriate safeguards should be in place to ensure that the client does not incur a loss out as a result of the report presenting in an inaccurate or unfair manner the personal recommendation, including how the recommendation provided is suitable for the client and the disadvantages of the recommended course of action.</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16(2)</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shall establish adequate policies and procedures sufficient to ensure compliance of the firm including its managers, employees and tied agents with its obligations under this Directive as well as appropriate rules governing personal transactions by such persons.</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16(3)</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shall maintain and operate effective organisational and administrative arrangements with a view to taking all reasonable steps designed to prevent conflicts of interest as defined in Article 23 from adversely affecting the interests of its clients.</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which manufactures financial instruments for sale to clients shall maintain, operate and review a process for the approval of each financial instrument and significant adaptations of existing financial instruments before it is marketed or distributed to clients.</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The product approval process shall specify an identified target market of end clients within the relevant category of clients for each financial instrument and shall ensure that all relevant risks to such identified target market are assessed and that the intended distribution strategy is consistent with the identified target market.</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shall also regularly review financial instruments it offers or markets, taking into account any event that could materially affect the potential risk to the identified target market, to assess at least whether the financial instrument remains consistent with the needs of the identified target market and whether the intended distribution strategy remains appropriate.</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which manufactures financial instruments shall make available to any distributor all appropriate information on the financial instrument and the product approval process, including the identified target market of the financial instrument.</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an investment firm offers or recommends financial instruments which it does not manufacture, it shall have in place adequate arrangements to obtain the information referred to in the fifth subparagraph and to understand the characteristics and identified target market of each financial instrument.</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The policies, processes and arrangements referred to in this paragraph shall be without prejudice to all other requirements under this Directive and Regulation (EU) No 600/2014, including those relating to disclosure, suitability or appropriateness, identification and management of conflicts of interests, and inducements.</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16(4)</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shall take reasonable steps to ensure continuity and regularity in the performance of investment services and activities. To that end the investment firm shall employ appropriate and proportionate systems, resources and procedures.</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lastRenderedPageBreak/>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16(5)</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shall ensure, when relying on a third party for the performance of operational functions which are critical for the provision of continuous and satisfactory service to clients and the performance of investment activities on a continuous and satisfactory basis, that it takes reasonable steps to avoid undue additional operational risk.  Outsourcing of important operational functions may not be undertaken in such a way as to impair materially the quality of its internal control and the ability of the supervisor to monitor the firm’s compliance with all obligations.</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An investment firm shall have sound administrative and accounting procedures, internal control mechanisms, effective procedures for risk assessment, and effective control and safeguard arrangements for information processing systems.</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Without prejudice to the ability of competent authorities to require access to communications in accordance with this Directive and Regulation (EU) No 600/2014, an investment firm shall have sound security mechanisms in place to guarantee the security and authentication of the means of transfer of information, minimise the risk of data corruption and unauthorised access and to prevent information leakage maintaining the confidentiality of the data at all times.</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23(2) &amp; (3)</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2. Where organisational or administrative arrangements made by the investment firm in accordance with Article 16(3) to prevent conflicts of interest from adversely affecting the interest of its client are not sufficient to ensure, with reasonable confidence, that risks of damage to client interests will be prevented, the investment firm shall clearly disclose to the client the general nature and/or sources of conflicts of interest and the steps taken to mitigate those risks before undertaking business on its behalf.</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3. The disclosure referred to in paragraph 2 shall:</w:t>
            </w:r>
          </w:p>
          <w:p w:rsidR="003D3994" w:rsidRPr="0021706D" w:rsidRDefault="003D3994" w:rsidP="0021706D">
            <w:pPr>
              <w:pStyle w:val="ListParagraph"/>
              <w:numPr>
                <w:ilvl w:val="0"/>
                <w:numId w:val="37"/>
              </w:numPr>
              <w:spacing w:before="60" w:afterLines="60" w:after="144"/>
              <w:rPr>
                <w:rFonts w:ascii="Arial" w:hAnsi="Arial" w:cs="Arial"/>
                <w:sz w:val="16"/>
                <w:szCs w:val="16"/>
              </w:rPr>
            </w:pPr>
            <w:r w:rsidRPr="0021706D">
              <w:rPr>
                <w:rFonts w:ascii="Arial" w:hAnsi="Arial" w:cs="Arial"/>
                <w:sz w:val="16"/>
                <w:szCs w:val="16"/>
              </w:rPr>
              <w:t>be made in a durable medium; and</w:t>
            </w:r>
          </w:p>
          <w:p w:rsidR="003D3994" w:rsidRPr="0021706D" w:rsidRDefault="003D3994" w:rsidP="0021706D">
            <w:pPr>
              <w:pStyle w:val="ListParagraph"/>
              <w:numPr>
                <w:ilvl w:val="0"/>
                <w:numId w:val="37"/>
              </w:numPr>
              <w:spacing w:before="60" w:afterLines="60" w:after="144"/>
              <w:rPr>
                <w:rFonts w:ascii="Arial" w:hAnsi="Arial" w:cs="Arial"/>
                <w:sz w:val="16"/>
                <w:szCs w:val="16"/>
              </w:rPr>
            </w:pPr>
            <w:r w:rsidRPr="0021706D">
              <w:rPr>
                <w:rFonts w:ascii="Arial" w:hAnsi="Arial" w:cs="Arial"/>
                <w:sz w:val="16"/>
                <w:szCs w:val="16"/>
              </w:rPr>
              <w:t>include sufficient detail, taking into account the nature of the client, to enable that client to take an informed decision with respect to the service in the context of which the conflict of interest arises.</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24(4)</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Appropriate information shall be provided in good time to clients or potential clients with regard to the investment firm and its services, the financial instruments and proposed investment strategies, execution venues and all costs and related charges. That information shall include the following:</w:t>
            </w:r>
          </w:p>
          <w:p w:rsidR="003D3994" w:rsidRPr="0021706D" w:rsidRDefault="003D3994" w:rsidP="00680764">
            <w:pPr>
              <w:pStyle w:val="ListParagraph"/>
              <w:numPr>
                <w:ilvl w:val="0"/>
                <w:numId w:val="31"/>
              </w:numPr>
              <w:spacing w:before="60" w:afterLines="60" w:after="144"/>
              <w:rPr>
                <w:rFonts w:ascii="Arial" w:hAnsi="Arial" w:cs="Arial"/>
                <w:sz w:val="16"/>
                <w:szCs w:val="16"/>
              </w:rPr>
            </w:pPr>
            <w:r w:rsidRPr="0021706D">
              <w:rPr>
                <w:rFonts w:ascii="Arial" w:hAnsi="Arial" w:cs="Arial"/>
                <w:sz w:val="16"/>
                <w:szCs w:val="16"/>
              </w:rPr>
              <w:t>when investment advice is provided, the investment firm must, in good time before it provides investment advice, inform the client:</w:t>
            </w:r>
          </w:p>
          <w:p w:rsidR="003D3994" w:rsidRPr="0021706D" w:rsidRDefault="003D3994" w:rsidP="00680764">
            <w:pPr>
              <w:pStyle w:val="ListParagraph"/>
              <w:numPr>
                <w:ilvl w:val="0"/>
                <w:numId w:val="32"/>
              </w:numPr>
              <w:spacing w:before="60" w:afterLines="60" w:after="144"/>
              <w:ind w:left="1055" w:hanging="295"/>
              <w:rPr>
                <w:rFonts w:ascii="Arial" w:hAnsi="Arial" w:cs="Arial"/>
                <w:sz w:val="16"/>
                <w:szCs w:val="16"/>
              </w:rPr>
            </w:pPr>
            <w:r w:rsidRPr="0021706D">
              <w:rPr>
                <w:rFonts w:ascii="Arial" w:hAnsi="Arial" w:cs="Arial"/>
                <w:sz w:val="16"/>
                <w:szCs w:val="16"/>
              </w:rPr>
              <w:t>whether or not the advice is provided on an independent basis;</w:t>
            </w:r>
          </w:p>
          <w:p w:rsidR="003D3994" w:rsidRPr="0021706D" w:rsidRDefault="003D3994" w:rsidP="00680764">
            <w:pPr>
              <w:pStyle w:val="ListParagraph"/>
              <w:numPr>
                <w:ilvl w:val="0"/>
                <w:numId w:val="32"/>
              </w:numPr>
              <w:spacing w:before="60" w:afterLines="60" w:after="144"/>
              <w:ind w:left="1055" w:hanging="295"/>
              <w:rPr>
                <w:rFonts w:ascii="Arial" w:hAnsi="Arial" w:cs="Arial"/>
                <w:sz w:val="16"/>
                <w:szCs w:val="16"/>
              </w:rPr>
            </w:pPr>
            <w:r w:rsidRPr="0021706D">
              <w:rPr>
                <w:rFonts w:ascii="Arial" w:hAnsi="Arial" w:cs="Arial"/>
                <w:sz w:val="16"/>
                <w:szCs w:val="16"/>
              </w:rPr>
              <w:t>whether the advice is based on a broad or on a more restricted analysis of different types of financial instruments and, in particular, whether the range is limited to financial instruments issued or provided by entities having close links with the investment firm or any other legal or economic relationships, such as contractual relationships, so close as to pose a risk of impairing the independent basis of the advice provided;</w:t>
            </w:r>
          </w:p>
          <w:p w:rsidR="003D3994" w:rsidRPr="0021706D" w:rsidRDefault="003D3994" w:rsidP="00680764">
            <w:pPr>
              <w:pStyle w:val="ListParagraph"/>
              <w:numPr>
                <w:ilvl w:val="0"/>
                <w:numId w:val="32"/>
              </w:numPr>
              <w:spacing w:before="60" w:afterLines="60" w:after="144"/>
              <w:ind w:left="1055" w:hanging="295"/>
              <w:rPr>
                <w:rFonts w:ascii="Arial" w:hAnsi="Arial" w:cs="Arial"/>
                <w:sz w:val="16"/>
                <w:szCs w:val="16"/>
              </w:rPr>
            </w:pPr>
            <w:r w:rsidRPr="0021706D">
              <w:rPr>
                <w:rFonts w:ascii="Arial" w:hAnsi="Arial" w:cs="Arial"/>
                <w:sz w:val="16"/>
                <w:szCs w:val="16"/>
              </w:rPr>
              <w:t>whether the investment firm will provide the client with a periodic assessment of the suitability of the financial instruments recommended to that client;</w:t>
            </w:r>
          </w:p>
          <w:p w:rsidR="003D3994" w:rsidRPr="0021706D" w:rsidRDefault="003D3994" w:rsidP="00680764">
            <w:pPr>
              <w:pStyle w:val="ListParagraph"/>
              <w:numPr>
                <w:ilvl w:val="0"/>
                <w:numId w:val="31"/>
              </w:numPr>
              <w:spacing w:before="60" w:afterLines="60" w:after="144"/>
              <w:rPr>
                <w:rFonts w:ascii="Arial" w:hAnsi="Arial" w:cs="Arial"/>
                <w:sz w:val="16"/>
                <w:szCs w:val="16"/>
              </w:rPr>
            </w:pPr>
            <w:r w:rsidRPr="0021706D">
              <w:rPr>
                <w:rFonts w:ascii="Arial" w:hAnsi="Arial" w:cs="Arial"/>
                <w:sz w:val="16"/>
                <w:szCs w:val="16"/>
              </w:rPr>
              <w:t xml:space="preserve">the information on financial instruments and proposed investment strategies must include appropriate guidance on and warnings of the risks associated with investments in those instruments or in respect of particular investment strategies </w:t>
            </w:r>
            <w:r w:rsidRPr="0021706D">
              <w:rPr>
                <w:rFonts w:ascii="Arial" w:hAnsi="Arial" w:cs="Arial"/>
                <w:sz w:val="16"/>
                <w:szCs w:val="16"/>
              </w:rPr>
              <w:lastRenderedPageBreak/>
              <w:t>and whether the financial instrument is intended for retail or professional clients, taking account of the identified target market in accordance with paragraph 2;</w:t>
            </w:r>
          </w:p>
          <w:p w:rsidR="003D3994" w:rsidRPr="0021706D" w:rsidRDefault="003D3994" w:rsidP="00680764">
            <w:pPr>
              <w:pStyle w:val="ListParagraph"/>
              <w:numPr>
                <w:ilvl w:val="0"/>
                <w:numId w:val="31"/>
              </w:numPr>
              <w:spacing w:before="60" w:afterLines="60" w:after="144"/>
              <w:rPr>
                <w:rFonts w:ascii="Arial" w:hAnsi="Arial" w:cs="Arial"/>
                <w:sz w:val="16"/>
                <w:szCs w:val="16"/>
              </w:rPr>
            </w:pPr>
            <w:r w:rsidRPr="0021706D">
              <w:rPr>
                <w:rFonts w:ascii="Arial" w:hAnsi="Arial" w:cs="Arial"/>
                <w:sz w:val="16"/>
                <w:szCs w:val="16"/>
              </w:rPr>
              <w:t>the information on all costs and associated charges must include information relating to both investment and ancillary services, including the cost of advice, where relevant, the cost of the financial instrument recommended or marketed to the client and how the client may pay for it, also encompassing any third-party payments.</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24(7)</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an investment firm informs the client that investment advice is provided on an independent basis, that investment firm shall:</w:t>
            </w:r>
          </w:p>
          <w:p w:rsidR="003D3994" w:rsidRPr="0021706D" w:rsidRDefault="003D3994" w:rsidP="00680764">
            <w:pPr>
              <w:pStyle w:val="ListParagraph"/>
              <w:numPr>
                <w:ilvl w:val="0"/>
                <w:numId w:val="33"/>
              </w:numPr>
              <w:spacing w:before="60" w:afterLines="60" w:after="144"/>
              <w:rPr>
                <w:rFonts w:ascii="Arial" w:hAnsi="Arial" w:cs="Arial"/>
                <w:sz w:val="16"/>
                <w:szCs w:val="16"/>
              </w:rPr>
            </w:pPr>
            <w:r w:rsidRPr="0021706D">
              <w:rPr>
                <w:rFonts w:ascii="Arial" w:hAnsi="Arial" w:cs="Arial"/>
                <w:sz w:val="16"/>
                <w:szCs w:val="16"/>
              </w:rPr>
              <w:t>assess a sufficient range of financial instruments available on the market which must be sufficiently diverse with regard to their type and issuers or product providers to ensure that the client’s investment objectives can be suitably met and must not be limited to financial instruments issued or provided by:</w:t>
            </w:r>
          </w:p>
          <w:p w:rsidR="003D3994" w:rsidRPr="0021706D" w:rsidRDefault="003D3994" w:rsidP="00680764">
            <w:pPr>
              <w:pStyle w:val="ListParagraph"/>
              <w:numPr>
                <w:ilvl w:val="0"/>
                <w:numId w:val="34"/>
              </w:numPr>
              <w:spacing w:before="60" w:afterLines="60" w:after="144"/>
              <w:ind w:left="1197" w:hanging="412"/>
              <w:rPr>
                <w:rFonts w:ascii="Arial" w:hAnsi="Arial" w:cs="Arial"/>
                <w:sz w:val="16"/>
                <w:szCs w:val="16"/>
              </w:rPr>
            </w:pPr>
            <w:r w:rsidRPr="0021706D">
              <w:rPr>
                <w:rFonts w:ascii="Arial" w:hAnsi="Arial" w:cs="Arial"/>
                <w:sz w:val="16"/>
                <w:szCs w:val="16"/>
              </w:rPr>
              <w:t>the investment firm itself or by entities having close links with the investment firm; or</w:t>
            </w:r>
          </w:p>
          <w:p w:rsidR="003D3994" w:rsidRPr="0021706D" w:rsidRDefault="003D3994" w:rsidP="00680764">
            <w:pPr>
              <w:pStyle w:val="ListParagraph"/>
              <w:numPr>
                <w:ilvl w:val="0"/>
                <w:numId w:val="34"/>
              </w:numPr>
              <w:spacing w:before="60" w:afterLines="60" w:after="144"/>
              <w:ind w:left="1197" w:hanging="412"/>
              <w:rPr>
                <w:rFonts w:ascii="Arial" w:hAnsi="Arial" w:cs="Arial"/>
                <w:sz w:val="16"/>
                <w:szCs w:val="16"/>
              </w:rPr>
            </w:pPr>
            <w:r w:rsidRPr="0021706D">
              <w:rPr>
                <w:rFonts w:ascii="Arial" w:hAnsi="Arial" w:cs="Arial"/>
                <w:sz w:val="16"/>
                <w:szCs w:val="16"/>
              </w:rPr>
              <w:t>other entities with which the investment firm has such close legal or economic relationships, such as contractual relationships, as to pose a risk of impairing the independent basis of the advice provided;</w:t>
            </w:r>
          </w:p>
          <w:p w:rsidR="003D3994" w:rsidRPr="0021706D" w:rsidRDefault="003D3994" w:rsidP="00680764">
            <w:pPr>
              <w:pStyle w:val="ListParagraph"/>
              <w:numPr>
                <w:ilvl w:val="0"/>
                <w:numId w:val="33"/>
              </w:numPr>
              <w:spacing w:before="60" w:afterLines="60" w:after="144"/>
              <w:rPr>
                <w:rFonts w:ascii="Arial" w:hAnsi="Arial" w:cs="Arial"/>
                <w:sz w:val="16"/>
                <w:szCs w:val="16"/>
              </w:rPr>
            </w:pPr>
            <w:r w:rsidRPr="0021706D">
              <w:rPr>
                <w:rFonts w:ascii="Arial" w:hAnsi="Arial" w:cs="Arial"/>
                <w:sz w:val="16"/>
                <w:szCs w:val="16"/>
              </w:rPr>
              <w:t>not accept and retain fees, commissions or any monetary or non-monetary benefits paid or provided by any third party or a person acting on behalf of a third party in relation to the provision of the service to clients. Minor nonmonetary benefits that are capable of enhancing the quality of service provided to a client and are of a scale and nature such that they could not be judged to impair compliance with the investment firm’s duty to act in the best interest of the client must be clearly disclosed and are excluded from this point.</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24(11)</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 xml:space="preserve">When an investment service is offered together with another service or product as part of a package or as a condition for the same agreement or package, the investment firm shall inform the client whether it is possible to buy the different components separately and shall provide for a separate evidence of the costs and charges of each component. </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the risks resulting from such an agreement or package offered to a retail client are likely to be different from the risks associated with the components taken separately, the investment firm shall provide an adequate description of the different components of the agreement or package and the way in which its interaction modifies the risks.</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ESMA, in cooperation with EBA and EIOPA, shall develop by 3 January 2016, and update periodically, guidelines for the assessment and the supervision of cross-selling practices indicating, in particular, situations in which cross-selling practices are not compliant with obligations laid down in paragraph 1.</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25(2)</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When providing investment advice or portfolio management the investment firm shall obtain the necessary information regarding the client’s or potential client’s knowledge and experience in the investment field relevant to the specific type of product or service, that person’s financial situation including his ability to bear losses, and his investment objectives including his risk tolerance so as to enable the investment firm to recommend to the client or potential client the investment services and financial instruments that are suitable for him and, in particular, are in accordance with his risk tolerance and ability to bear losses.</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Member States shall ensure that where an investment firm provides investment advice recommending a package of services or products bundled pursuant to Article 24(11), the overall bundled package is suitable.</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lastRenderedPageBreak/>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25(3)</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Member States shall ensure that investment firms, when providing investment services other than those referred to in paragraph 2, ask the client or potential client to provide information regarding that person’s knowledge and experience in the investment field relevant to the specific type of product or service offered or demanded so as to enable the investment firm to assess whether the investment service or product envisaged is appropriate for the client. Where a bundle of services or products is envisaged pursuant to Article 24(11), the assessment shall consider whether the overall bundled package is appropriate.</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the investment firm considers, on the basis of the information received under the first subparagraph, that the product or service is not appropriate to the client or potential client, the investment firm shall warn the client or potential client. That warning may be provided in a standardised format.</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clients or potential clients do not provide the information referred to under the first subparagraph, or where they provide insufficient information regarding their knowledge and experience, the investment firm shall warn them that the investment firm is not in a position to determine whether the service or product envisaged is appropriate for them. That warning may be provided in a standardised format.</w:t>
            </w:r>
          </w:p>
        </w:tc>
        <w:tc>
          <w:tcPr>
            <w:tcW w:w="2693" w:type="dxa"/>
          </w:tcPr>
          <w:p w:rsidR="003D3994" w:rsidRPr="0021706D" w:rsidRDefault="003D3994"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25(6)</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The investment firm shall provide the client with adequate reports on the service provided in a durable medium. Those reports shall include periodic communications to clients, taking into account the type and the complexity of financial instruments involved and the nature of the service provided to the client and shall include, where applicable, the costs associated with the transactions and services undertaken on behalf of the client.</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When providing investment advice, the investment firm shall, before the transaction is made, provide the client with a statement on suitability in a durable medium specifying the advice given and how that advice meets the preferences, objectives and other characteristics of the retail client.</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the agreement to buy or sell a financial instrument is concluded using a means of distance communication which prevents the prior delivery of the suitability statement, the investment firm may provide the written statement on suitability in a durable medium immediately after the client is bound by any agreement, provided both the following conditions are met:</w:t>
            </w:r>
          </w:p>
          <w:p w:rsidR="003D3994" w:rsidRPr="0021706D" w:rsidRDefault="003D3994"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the client has consented to receiving the suitability statement without undue delay after the conclusion of the transaction; and</w:t>
            </w:r>
          </w:p>
          <w:p w:rsidR="003D3994" w:rsidRPr="0021706D" w:rsidRDefault="003D3994"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the investment firm has given the client the option of delaying the transaction in order to receive the statement on suitability in advance.</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Where an investment firm provides portfolio management or has informed the client that it will carry out a periodic assessment of suitability, the periodic report shall contain an updated statement of how the investment meets the client’s preferences, objectives and other characteristics of the retail client.</w:t>
            </w:r>
          </w:p>
        </w:tc>
        <w:tc>
          <w:tcPr>
            <w:tcW w:w="2693" w:type="dxa"/>
          </w:tcPr>
          <w:p w:rsidR="003D3994" w:rsidRPr="0021706D" w:rsidRDefault="003D3994" w:rsidP="00680764">
            <w:pPr>
              <w:spacing w:before="60" w:afterLines="60" w:after="144"/>
              <w:rPr>
                <w:rFonts w:ascii="Arial" w:hAnsi="Arial" w:cs="Arial"/>
                <w:sz w:val="16"/>
                <w:szCs w:val="16"/>
              </w:rPr>
            </w:pPr>
          </w:p>
        </w:tc>
      </w:tr>
      <w:tr w:rsidR="00A357EB" w:rsidRPr="0021706D" w:rsidTr="00CB391B">
        <w:trPr>
          <w:jc w:val="center"/>
        </w:trPr>
        <w:tc>
          <w:tcPr>
            <w:tcW w:w="1276" w:type="dxa"/>
            <w:shd w:val="clear" w:color="auto" w:fill="auto"/>
          </w:tcPr>
          <w:p w:rsidR="00A357EB" w:rsidRPr="0021706D" w:rsidRDefault="00A357EB" w:rsidP="00680764">
            <w:pPr>
              <w:spacing w:before="60" w:afterLines="60" w:after="144"/>
              <w:rPr>
                <w:rFonts w:ascii="Arial" w:hAnsi="Arial" w:cs="Arial"/>
                <w:sz w:val="16"/>
                <w:szCs w:val="16"/>
              </w:rPr>
            </w:pPr>
            <w:r w:rsidRPr="0021706D">
              <w:rPr>
                <w:rFonts w:ascii="Arial" w:hAnsi="Arial" w:cs="Arial"/>
                <w:sz w:val="16"/>
                <w:szCs w:val="16"/>
              </w:rPr>
              <w:t>MiFID</w:t>
            </w:r>
          </w:p>
        </w:tc>
        <w:tc>
          <w:tcPr>
            <w:tcW w:w="1276" w:type="dxa"/>
            <w:shd w:val="clear" w:color="auto" w:fill="auto"/>
          </w:tcPr>
          <w:p w:rsidR="00A357EB" w:rsidRPr="0021706D" w:rsidRDefault="00A357EB" w:rsidP="00680764">
            <w:pPr>
              <w:spacing w:before="60" w:afterLines="60" w:after="144"/>
              <w:rPr>
                <w:rFonts w:ascii="Arial" w:hAnsi="Arial" w:cs="Arial"/>
                <w:sz w:val="16"/>
                <w:szCs w:val="16"/>
              </w:rPr>
            </w:pPr>
            <w:r w:rsidRPr="0021706D">
              <w:rPr>
                <w:rFonts w:ascii="Arial" w:hAnsi="Arial" w:cs="Arial"/>
                <w:sz w:val="16"/>
                <w:szCs w:val="16"/>
              </w:rPr>
              <w:t>Articles 27(1) – (8)</w:t>
            </w:r>
          </w:p>
        </w:tc>
        <w:tc>
          <w:tcPr>
            <w:tcW w:w="9497" w:type="dxa"/>
          </w:tcPr>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1. Member States shall require that investment firms take all sufficient steps to obtain, when executing orders, the best possible result for their clients taking into account price, costs, speed, likelihood of execution and settlement, size, nature or any other consideration relevant to the execution of the order. Nevertheless, where there is a specific instruction from the client the investment firm shall execute the order following the specific instruction.</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 xml:space="preserve">Where an investment firm executes an order on behalf of a retail client, the best possible result shall be determined in terms of the total consideration, representing the price of the financial instrument and the costs relating to execution, which shall include all </w:t>
            </w:r>
            <w:r w:rsidRPr="0021706D">
              <w:rPr>
                <w:rFonts w:ascii="Arial" w:hAnsi="Arial" w:cs="Arial"/>
                <w:sz w:val="16"/>
                <w:szCs w:val="16"/>
              </w:rPr>
              <w:lastRenderedPageBreak/>
              <w:t>expenses incurred by the client which are directly relating to the execution of the order, including execution venue fees, clearing and settlement fees and any other fees paid to third parties involved in the execution of the order.</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For the purposes of delivering best possible result in accordance with the first subparagraph where there is more than one competing venue to execute an order for a financial instrument, in order to assess and compare the results for the client that would be achieved by executing the order on each of the execution venues listed in the investment firm’s order execution policy that is capable of executing that order, the investment firm’s own commissions and the costs for executing the order on each of the eligible execution venues shall be taken into account in that assessment.</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2. An investment firm shall not receive any remuneration, discount or non-monetary benefit for routing client orders to a particular trading venue or execution venue which would infringe the requirements on conflicts of interest or inducements set out in paragraph 1 of this Article and Article 16(3) and Articles 23 and 24.</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3. Member States shall require that for financial instruments subject to the trading obligation in Articles 23 and 28 Regulation (EU) No 600/2014 each trading venue and systematic internaliser and for other financial instruments each execution venue makes available to the public, without any charges, data relating to the quality of execution of transactions on that venue on at least an annual basis and that following execution of a transaction on behalf of a client the investment firm shall inform the client where the order was executed. Periodic reports shall include details about price, costs, speed and likelihood of execution for individual financial instruments.</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4. Member States shall require investment firms to establish and implement effective arrangements for complying with paragraph 1. In particular, Member States shall require investment firms to establish and implement an order execution policy to allow them to obtain, for their client orders, the best possible result in accordance with paragraph 1.</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5. The order execution policy shall include, in respect of each class of financial instruments, information on the different venues where the investment firm executes its client orders and the factors affecting the choice of execution venue. It shall at least include those venues that enable the investment firm to obtain on a consistent basis the best possible result for the execution of client orders.</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Member States shall require that investment firms provide appropriate information to their clients on their order execution policy. That information shall explain clearly, in sufficient detail and in a way that can be easily understood by clients, how orders will be executed by the investment firm for the client. Member States shall require that investment firms obtain the prior consent of their clients to the order execution policy.</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Member States shall require that, where the order execution policy provides for the possibility that client orders may be executed outside a trading venue, the investment firm shall, in particular, inform its clients about that possibility. Member States shall require that investment firms obtain the prior express consent of their clients before proceeding to execute their orders outside a trading venue. Investment firms may obtain such consent either in the form of a general agreement or in respect of individual transactions.</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6. Member States shall require investment firms who execute client orders to summarise and make public on an annual basis, for each class of financial instruments, the top five execution venues in terms of trading volumes where they executed client orders in the preceding year and information on the quality of execution obtained.</w:t>
            </w:r>
          </w:p>
          <w:p w:rsidR="00A357EB" w:rsidRPr="0021706D" w:rsidRDefault="00A357EB" w:rsidP="00A357EB">
            <w:pPr>
              <w:spacing w:before="60" w:afterLines="60" w:after="144"/>
              <w:rPr>
                <w:rFonts w:ascii="Arial" w:hAnsi="Arial" w:cs="Arial"/>
                <w:sz w:val="16"/>
                <w:szCs w:val="16"/>
              </w:rPr>
            </w:pPr>
            <w:r w:rsidRPr="0021706D">
              <w:rPr>
                <w:rFonts w:ascii="Arial" w:hAnsi="Arial" w:cs="Arial"/>
                <w:sz w:val="16"/>
                <w:szCs w:val="16"/>
              </w:rPr>
              <w:t xml:space="preserve">7. Member States shall require investment firms who execute client orders to monitor the effectiveness of their order execution arrangements and execution policy in order to identify and, where appropriate, correct any deficiencies. In particular, they shall assess, on a regular basis, whether the execution venues included in the order execution policy provide for the best possible result </w:t>
            </w:r>
            <w:r w:rsidRPr="0021706D">
              <w:rPr>
                <w:rFonts w:ascii="Arial" w:hAnsi="Arial" w:cs="Arial"/>
                <w:sz w:val="16"/>
                <w:szCs w:val="16"/>
              </w:rPr>
              <w:lastRenderedPageBreak/>
              <w:t>for the client or whether they need to make changes to their execution arrangements, taking account of, inter alia, the information published under paragraphs 3 and 6. Member States shall require investment firms to notify clients with whom they have an ongoing client relationship of any material changes to their order execution arrangements or execution policy.</w:t>
            </w:r>
          </w:p>
          <w:p w:rsidR="00A357EB" w:rsidRPr="0021706D" w:rsidRDefault="00A357EB" w:rsidP="00680764">
            <w:pPr>
              <w:spacing w:before="60" w:afterLines="60" w:after="144"/>
              <w:rPr>
                <w:rFonts w:ascii="Arial" w:hAnsi="Arial" w:cs="Arial"/>
                <w:sz w:val="16"/>
                <w:szCs w:val="16"/>
              </w:rPr>
            </w:pPr>
            <w:r w:rsidRPr="0021706D">
              <w:rPr>
                <w:rFonts w:ascii="Arial" w:hAnsi="Arial" w:cs="Arial"/>
                <w:sz w:val="16"/>
                <w:szCs w:val="16"/>
              </w:rPr>
              <w:t>8. Member States shall require investment firms to be able to demonstrate to their clients, at their request, that they have executed their orders in accordance with the investment firm’s execution policy and to demonstrate to the competent authority, at its request, their compliance with this Article.</w:t>
            </w:r>
          </w:p>
        </w:tc>
        <w:tc>
          <w:tcPr>
            <w:tcW w:w="2693" w:type="dxa"/>
          </w:tcPr>
          <w:p w:rsidR="00A357EB" w:rsidRPr="0021706D" w:rsidRDefault="00A357EB" w:rsidP="00680764">
            <w:pPr>
              <w:spacing w:before="60" w:afterLines="60" w:after="144"/>
              <w:rPr>
                <w:rFonts w:ascii="Arial" w:hAnsi="Arial" w:cs="Arial"/>
                <w:sz w:val="16"/>
                <w:szCs w:val="16"/>
              </w:rPr>
            </w:pPr>
          </w:p>
        </w:tc>
      </w:tr>
      <w:tr w:rsidR="003D3994" w:rsidRPr="0021706D" w:rsidTr="00CB391B">
        <w:trPr>
          <w:jc w:val="center"/>
        </w:trPr>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lastRenderedPageBreak/>
              <w:t>MiFID</w:t>
            </w:r>
          </w:p>
        </w:tc>
        <w:tc>
          <w:tcPr>
            <w:tcW w:w="1276" w:type="dxa"/>
            <w:shd w:val="clear" w:color="auto" w:fill="auto"/>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Article 28(1)</w:t>
            </w:r>
          </w:p>
        </w:tc>
        <w:tc>
          <w:tcPr>
            <w:tcW w:w="9497" w:type="dxa"/>
          </w:tcPr>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Member States shall require that investment firms authorised to execute orders on behalf of clients implement procedures and arrangements which provide for the prompt, fair and expeditious execution of client orders, relative to other client orders or the trading interests of the investment firm.</w:t>
            </w:r>
          </w:p>
          <w:p w:rsidR="003D3994" w:rsidRPr="0021706D" w:rsidRDefault="003D3994" w:rsidP="00680764">
            <w:pPr>
              <w:spacing w:before="60" w:afterLines="60" w:after="144"/>
              <w:rPr>
                <w:rFonts w:ascii="Arial" w:hAnsi="Arial" w:cs="Arial"/>
                <w:sz w:val="16"/>
                <w:szCs w:val="16"/>
              </w:rPr>
            </w:pPr>
            <w:r w:rsidRPr="0021706D">
              <w:rPr>
                <w:rFonts w:ascii="Arial" w:hAnsi="Arial" w:cs="Arial"/>
                <w:sz w:val="16"/>
                <w:szCs w:val="16"/>
              </w:rPr>
              <w:t>Those procedures or arrangements shall allow for the execution of otherwise comparable client orders in accordance with the time of their reception by the investment firm.</w:t>
            </w:r>
          </w:p>
        </w:tc>
        <w:tc>
          <w:tcPr>
            <w:tcW w:w="2693" w:type="dxa"/>
          </w:tcPr>
          <w:p w:rsidR="003D3994" w:rsidRPr="0021706D" w:rsidRDefault="003D3994" w:rsidP="00680764">
            <w:pPr>
              <w:spacing w:before="60" w:afterLines="60" w:after="144"/>
              <w:rPr>
                <w:rFonts w:ascii="Arial" w:hAnsi="Arial" w:cs="Arial"/>
                <w:sz w:val="16"/>
                <w:szCs w:val="16"/>
              </w:rPr>
            </w:pPr>
          </w:p>
        </w:tc>
      </w:tr>
      <w:tr w:rsidR="00A14563" w:rsidRPr="0021706D" w:rsidTr="00CB391B">
        <w:trPr>
          <w:jc w:val="center"/>
        </w:trPr>
        <w:tc>
          <w:tcPr>
            <w:tcW w:w="1276" w:type="dxa"/>
            <w:shd w:val="clear" w:color="auto" w:fill="auto"/>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MiFIR</w:t>
            </w:r>
          </w:p>
        </w:tc>
        <w:tc>
          <w:tcPr>
            <w:tcW w:w="1276" w:type="dxa"/>
            <w:shd w:val="clear" w:color="auto" w:fill="auto"/>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Article</w:t>
            </w:r>
            <w:r w:rsidR="00400D79" w:rsidRPr="0021706D">
              <w:rPr>
                <w:rFonts w:ascii="Arial" w:hAnsi="Arial" w:cs="Arial"/>
                <w:sz w:val="16"/>
                <w:szCs w:val="16"/>
              </w:rPr>
              <w:t>s</w:t>
            </w:r>
            <w:r w:rsidRPr="0021706D">
              <w:rPr>
                <w:rFonts w:ascii="Arial" w:hAnsi="Arial" w:cs="Arial"/>
                <w:sz w:val="16"/>
                <w:szCs w:val="16"/>
              </w:rPr>
              <w:t xml:space="preserve"> 20</w:t>
            </w:r>
            <w:r w:rsidR="00400D79" w:rsidRPr="0021706D">
              <w:rPr>
                <w:rFonts w:ascii="Arial" w:hAnsi="Arial" w:cs="Arial"/>
                <w:sz w:val="16"/>
                <w:szCs w:val="16"/>
              </w:rPr>
              <w:t>(1) – (2)</w:t>
            </w:r>
          </w:p>
        </w:tc>
        <w:tc>
          <w:tcPr>
            <w:tcW w:w="9497" w:type="dxa"/>
          </w:tcPr>
          <w:p w:rsidR="00400D79" w:rsidRPr="0021706D" w:rsidRDefault="00400D79" w:rsidP="00400D79">
            <w:pPr>
              <w:spacing w:before="60" w:afterLines="60" w:after="144"/>
              <w:rPr>
                <w:rFonts w:ascii="Arial" w:hAnsi="Arial" w:cs="Arial"/>
                <w:sz w:val="16"/>
                <w:szCs w:val="16"/>
              </w:rPr>
            </w:pPr>
            <w:r w:rsidRPr="0021706D">
              <w:rPr>
                <w:rFonts w:ascii="Arial" w:hAnsi="Arial" w:cs="Arial"/>
                <w:sz w:val="16"/>
                <w:szCs w:val="16"/>
              </w:rPr>
              <w:t>1. Investment firms which, either on own account or on behalf of clients, conclude transactions in shares, depositary receipts, ETFs, certificates and other similar financial instruments traded on a trading venue, shall make public the volume and price of those transactions and the time at which they were concluded. That information shall be made public through an APA.</w:t>
            </w:r>
          </w:p>
          <w:p w:rsidR="00A14563" w:rsidRPr="0021706D" w:rsidRDefault="00400D79" w:rsidP="00400D79">
            <w:pPr>
              <w:spacing w:before="60" w:afterLines="60" w:after="144"/>
              <w:rPr>
                <w:rFonts w:ascii="Arial" w:hAnsi="Arial" w:cs="Arial"/>
                <w:sz w:val="16"/>
                <w:szCs w:val="16"/>
              </w:rPr>
            </w:pPr>
            <w:r w:rsidRPr="0021706D">
              <w:rPr>
                <w:rFonts w:ascii="Arial" w:hAnsi="Arial" w:cs="Arial"/>
                <w:sz w:val="16"/>
                <w:szCs w:val="16"/>
              </w:rPr>
              <w:t>2. The information which is made public in accordance with paragraph 1 of this Article and the time-limits within which it is published shall comply with the requirements adopted pursuant to Article 6, including the regulatory technical standards adopted in accordance with Article 7(2)(a). Where the measures adopted pursuant to Article 7 provide for deferred publication for certain categories of transaction in shares, depositary receipts, ETFs, certificates and other similar financial instruments traded on a trading venue, that possibility shall also apply to those transactions when undertaken outside trading venues.</w:t>
            </w:r>
          </w:p>
        </w:tc>
        <w:tc>
          <w:tcPr>
            <w:tcW w:w="2693" w:type="dxa"/>
          </w:tcPr>
          <w:p w:rsidR="00A14563" w:rsidRPr="0021706D" w:rsidRDefault="00A14563" w:rsidP="00680764">
            <w:pPr>
              <w:spacing w:before="60" w:afterLines="60" w:after="144"/>
              <w:rPr>
                <w:rFonts w:ascii="Arial" w:hAnsi="Arial" w:cs="Arial"/>
                <w:sz w:val="16"/>
                <w:szCs w:val="16"/>
              </w:rPr>
            </w:pPr>
          </w:p>
        </w:tc>
      </w:tr>
      <w:tr w:rsidR="00A14563" w:rsidRPr="0021706D" w:rsidTr="00CB391B">
        <w:trPr>
          <w:jc w:val="center"/>
        </w:trPr>
        <w:tc>
          <w:tcPr>
            <w:tcW w:w="1276" w:type="dxa"/>
            <w:shd w:val="clear" w:color="auto" w:fill="auto"/>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MiFIR</w:t>
            </w:r>
          </w:p>
        </w:tc>
        <w:tc>
          <w:tcPr>
            <w:tcW w:w="1276" w:type="dxa"/>
            <w:shd w:val="clear" w:color="auto" w:fill="auto"/>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Article</w:t>
            </w:r>
            <w:r w:rsidR="00400D79" w:rsidRPr="0021706D">
              <w:rPr>
                <w:rFonts w:ascii="Arial" w:hAnsi="Arial" w:cs="Arial"/>
                <w:sz w:val="16"/>
                <w:szCs w:val="16"/>
              </w:rPr>
              <w:t>s</w:t>
            </w:r>
            <w:r w:rsidRPr="0021706D">
              <w:rPr>
                <w:rFonts w:ascii="Arial" w:hAnsi="Arial" w:cs="Arial"/>
                <w:sz w:val="16"/>
                <w:szCs w:val="16"/>
              </w:rPr>
              <w:t xml:space="preserve"> 21</w:t>
            </w:r>
            <w:r w:rsidR="00400D79" w:rsidRPr="0021706D">
              <w:rPr>
                <w:rFonts w:ascii="Arial" w:hAnsi="Arial" w:cs="Arial"/>
                <w:sz w:val="16"/>
                <w:szCs w:val="16"/>
              </w:rPr>
              <w:t>(1) – (4)</w:t>
            </w:r>
          </w:p>
        </w:tc>
        <w:tc>
          <w:tcPr>
            <w:tcW w:w="9497" w:type="dxa"/>
          </w:tcPr>
          <w:p w:rsidR="00400D79" w:rsidRPr="0021706D" w:rsidRDefault="00400D79" w:rsidP="00400D79">
            <w:pPr>
              <w:spacing w:before="60" w:afterLines="60" w:after="144"/>
              <w:rPr>
                <w:rFonts w:ascii="Arial" w:hAnsi="Arial" w:cs="Arial"/>
                <w:sz w:val="16"/>
                <w:szCs w:val="16"/>
              </w:rPr>
            </w:pPr>
            <w:r w:rsidRPr="0021706D">
              <w:rPr>
                <w:rFonts w:ascii="Arial" w:hAnsi="Arial" w:cs="Arial"/>
                <w:sz w:val="16"/>
                <w:szCs w:val="16"/>
              </w:rPr>
              <w:t>1. Investment firms which, either on own account or on behalf of clients, conclude transactions in bonds, structured finance products, emission allowances and derivatives traded on a trading venue shall make public the volume and price of those transactions and the time at which they were concluded. That information shall be made public through an APA.</w:t>
            </w:r>
          </w:p>
          <w:p w:rsidR="00400D79" w:rsidRPr="0021706D" w:rsidRDefault="00400D79" w:rsidP="00400D79">
            <w:pPr>
              <w:spacing w:before="60" w:afterLines="60" w:after="144"/>
              <w:rPr>
                <w:rFonts w:ascii="Arial" w:hAnsi="Arial" w:cs="Arial"/>
                <w:sz w:val="16"/>
                <w:szCs w:val="16"/>
              </w:rPr>
            </w:pPr>
            <w:r w:rsidRPr="0021706D">
              <w:rPr>
                <w:rFonts w:ascii="Arial" w:hAnsi="Arial" w:cs="Arial"/>
                <w:sz w:val="16"/>
                <w:szCs w:val="16"/>
              </w:rPr>
              <w:t>2. Each individual transaction shall be made public once through a single APA.</w:t>
            </w:r>
          </w:p>
          <w:p w:rsidR="00400D79" w:rsidRPr="0021706D" w:rsidRDefault="00400D79" w:rsidP="00400D79">
            <w:pPr>
              <w:spacing w:before="60" w:afterLines="60" w:after="144"/>
              <w:rPr>
                <w:rFonts w:ascii="Arial" w:hAnsi="Arial" w:cs="Arial"/>
                <w:sz w:val="16"/>
                <w:szCs w:val="16"/>
              </w:rPr>
            </w:pPr>
            <w:r w:rsidRPr="0021706D">
              <w:rPr>
                <w:rFonts w:ascii="Arial" w:hAnsi="Arial" w:cs="Arial"/>
                <w:sz w:val="16"/>
                <w:szCs w:val="16"/>
              </w:rPr>
              <w:t>3. The information which is made public in accordance with paragraph 1 and the time-limits within which it is published shall comply with the requirements adopted pursuant to Article 10, including the regulatory technical standards adopted in accordance with Article 11(4)(a) and (b).</w:t>
            </w:r>
          </w:p>
          <w:p w:rsidR="00400D79" w:rsidRPr="0021706D" w:rsidRDefault="00400D79" w:rsidP="00400D79">
            <w:pPr>
              <w:spacing w:before="60" w:afterLines="60" w:after="144"/>
              <w:rPr>
                <w:rFonts w:ascii="Arial" w:hAnsi="Arial" w:cs="Arial"/>
                <w:sz w:val="16"/>
                <w:szCs w:val="16"/>
              </w:rPr>
            </w:pPr>
            <w:r w:rsidRPr="0021706D">
              <w:rPr>
                <w:rFonts w:ascii="Arial" w:hAnsi="Arial" w:cs="Arial"/>
                <w:sz w:val="16"/>
                <w:szCs w:val="16"/>
              </w:rPr>
              <w:t>4. Competent authorities shall be able to authorise investment firms to provide for deferred publication, or may request the publication of limited details of a transaction or details of several transactions in an aggregated form, or a combination thereof, during the time period of the deferral or may allow the omission of the publication of the volume for individual transactions during an extended time period of deferral, or in the case of non-equity financial instruments that are not sovereign debt, may allow the publication of several transactions in an aggregated form during an extended time period of deferral, or in the case of sovereign debt instruments may allow the publication of several transactions in an aggregated form for an indefinite period of time, and may temporarily suspend the obligations referred to in paragraph 1 on the same conditions as laid down in Article 11.</w:t>
            </w:r>
          </w:p>
          <w:p w:rsidR="00A14563" w:rsidRPr="0021706D" w:rsidRDefault="00400D79" w:rsidP="00680764">
            <w:pPr>
              <w:spacing w:before="60" w:afterLines="60" w:after="144"/>
              <w:rPr>
                <w:rFonts w:ascii="Arial" w:hAnsi="Arial" w:cs="Arial"/>
                <w:sz w:val="16"/>
                <w:szCs w:val="16"/>
              </w:rPr>
            </w:pPr>
            <w:r w:rsidRPr="0021706D">
              <w:rPr>
                <w:rFonts w:ascii="Arial" w:hAnsi="Arial" w:cs="Arial"/>
                <w:sz w:val="16"/>
                <w:szCs w:val="16"/>
              </w:rPr>
              <w:t xml:space="preserve">Where the measures adopted pursuant to Article 11 provide for deferred publication and publication of limited details or details in an aggregated form, or a combination thereof, or for omission of the publication of the volume for certain categories of transactions </w:t>
            </w:r>
            <w:r w:rsidRPr="0021706D">
              <w:rPr>
                <w:rFonts w:ascii="Arial" w:hAnsi="Arial" w:cs="Arial"/>
                <w:sz w:val="16"/>
                <w:szCs w:val="16"/>
              </w:rPr>
              <w:lastRenderedPageBreak/>
              <w:t>in bonds, structured finance products, emission allowances and derivatives traded on a trading venue, that possibility shall also apply to those transactions when undertaken outside trading venues.</w:t>
            </w:r>
          </w:p>
        </w:tc>
        <w:tc>
          <w:tcPr>
            <w:tcW w:w="2693" w:type="dxa"/>
          </w:tcPr>
          <w:p w:rsidR="00A14563" w:rsidRPr="0021706D" w:rsidRDefault="00A14563" w:rsidP="00680764">
            <w:pPr>
              <w:spacing w:before="60" w:afterLines="60" w:after="144"/>
              <w:rPr>
                <w:rFonts w:ascii="Arial" w:hAnsi="Arial" w:cs="Arial"/>
                <w:sz w:val="16"/>
                <w:szCs w:val="16"/>
              </w:rPr>
            </w:pPr>
          </w:p>
        </w:tc>
      </w:tr>
      <w:tr w:rsidR="00A14563" w:rsidRPr="0021706D" w:rsidTr="00CB391B">
        <w:trPr>
          <w:jc w:val="center"/>
        </w:trPr>
        <w:tc>
          <w:tcPr>
            <w:tcW w:w="1276" w:type="dxa"/>
            <w:shd w:val="clear" w:color="auto" w:fill="auto"/>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MiFIR</w:t>
            </w:r>
          </w:p>
        </w:tc>
        <w:tc>
          <w:tcPr>
            <w:tcW w:w="1276" w:type="dxa"/>
            <w:shd w:val="clear" w:color="auto" w:fill="auto"/>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Article</w:t>
            </w:r>
            <w:r w:rsidR="00400D79" w:rsidRPr="0021706D">
              <w:rPr>
                <w:rFonts w:ascii="Arial" w:hAnsi="Arial" w:cs="Arial"/>
                <w:sz w:val="16"/>
                <w:szCs w:val="16"/>
              </w:rPr>
              <w:t>s</w:t>
            </w:r>
            <w:r w:rsidRPr="0021706D">
              <w:rPr>
                <w:rFonts w:ascii="Arial" w:hAnsi="Arial" w:cs="Arial"/>
                <w:sz w:val="16"/>
                <w:szCs w:val="16"/>
              </w:rPr>
              <w:t xml:space="preserve"> 26</w:t>
            </w:r>
            <w:r w:rsidR="00400D79" w:rsidRPr="0021706D">
              <w:rPr>
                <w:rFonts w:ascii="Arial" w:hAnsi="Arial" w:cs="Arial"/>
                <w:sz w:val="16"/>
                <w:szCs w:val="16"/>
              </w:rPr>
              <w:t>(1) – (8)</w:t>
            </w:r>
          </w:p>
        </w:tc>
        <w:tc>
          <w:tcPr>
            <w:tcW w:w="9497" w:type="dxa"/>
          </w:tcPr>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1. Investment firms which execute transactions in financial instruments shall report complete and accurate details of such transactions to the competent authority as quickly as possible, and no later than the close of the following working day.</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The competent authorities shall, in accordance with Article 85 of Directive 2014/65/EU, establish the necessary arrangements in order to ensure that the competent authority of the most relevant market in terms of liquidity for those financial instruments also receives that information.</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The competent authorities shall make available to ESMA, upon request, any information reported in accordance with this Article.</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2. The obligation laid down in paragraph 1 shall apply to:</w:t>
            </w:r>
          </w:p>
          <w:p w:rsidR="00A14563" w:rsidRPr="0021706D" w:rsidRDefault="00A14563" w:rsidP="0021706D">
            <w:pPr>
              <w:numPr>
                <w:ilvl w:val="0"/>
                <w:numId w:val="47"/>
              </w:numPr>
              <w:spacing w:before="60" w:afterLines="60" w:after="144"/>
              <w:rPr>
                <w:rFonts w:ascii="Arial" w:hAnsi="Arial" w:cs="Arial"/>
                <w:sz w:val="16"/>
                <w:szCs w:val="16"/>
              </w:rPr>
            </w:pPr>
            <w:r w:rsidRPr="0021706D">
              <w:rPr>
                <w:rFonts w:ascii="Arial" w:hAnsi="Arial" w:cs="Arial"/>
                <w:sz w:val="16"/>
                <w:szCs w:val="16"/>
              </w:rPr>
              <w:t>financial instruments which are admitted to trading or traded on a trading venue or for which a request for admission to trading has been made;</w:t>
            </w:r>
          </w:p>
          <w:p w:rsidR="00A14563" w:rsidRPr="0021706D" w:rsidRDefault="00A14563" w:rsidP="0021706D">
            <w:pPr>
              <w:numPr>
                <w:ilvl w:val="0"/>
                <w:numId w:val="47"/>
              </w:numPr>
              <w:spacing w:before="60" w:afterLines="60" w:after="144"/>
              <w:rPr>
                <w:rFonts w:ascii="Arial" w:hAnsi="Arial" w:cs="Arial"/>
                <w:sz w:val="16"/>
                <w:szCs w:val="16"/>
              </w:rPr>
            </w:pPr>
            <w:r w:rsidRPr="0021706D">
              <w:rPr>
                <w:rFonts w:ascii="Arial" w:hAnsi="Arial" w:cs="Arial"/>
                <w:sz w:val="16"/>
                <w:szCs w:val="16"/>
              </w:rPr>
              <w:t>financial instruments where the underlying is a financial instrument traded on a trading venue; and</w:t>
            </w:r>
          </w:p>
          <w:p w:rsidR="00A14563" w:rsidRPr="0021706D" w:rsidRDefault="00A14563" w:rsidP="0021706D">
            <w:pPr>
              <w:numPr>
                <w:ilvl w:val="0"/>
                <w:numId w:val="47"/>
              </w:numPr>
              <w:spacing w:before="60" w:afterLines="60" w:after="144"/>
              <w:rPr>
                <w:rFonts w:ascii="Arial" w:hAnsi="Arial" w:cs="Arial"/>
                <w:sz w:val="16"/>
                <w:szCs w:val="16"/>
              </w:rPr>
            </w:pPr>
            <w:r w:rsidRPr="0021706D">
              <w:rPr>
                <w:rFonts w:ascii="Arial" w:hAnsi="Arial" w:cs="Arial"/>
                <w:sz w:val="16"/>
                <w:szCs w:val="16"/>
              </w:rPr>
              <w:t>financial instruments where the underlying is an index or a basket composed of financial instruments traded on a trading venue</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The obligation shall apply to transactions in financial instruments referred to in points (a) to (c) irrespective of whether or not such transactions are carried out on the trading venue.</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3. The reports shall, in particular, include details of the names and numbers of the financial instruments bought or sold, the quantity, the dates and times of execution, the transaction prices, a designation to identify the clients on whose behalf the investment firm has executed that transaction, a designation to identify the persons and the computer algorithms within the investment firm responsible for the investment decision and the execution of the transaction, a designation to identify the applicable waiver under which the trade has taken place, means of identifying the investment firms concerned, and a designation to identify a short sale as defined in Article 2(1)(b) of Regulation (EU) No 236/2012 in respect of any shares and sovereign debt within the scope of Articles 12, 13 and 17 of that Regulation. For transactions not carried out on a trading venue, the reports shall include a designation identifying the types of transactions in accordance with the measures to be adopted pursuant to Article 20(3)(a) and Article 21(5)(a). For commodity derivatives, the reports shall indicate whether the transaction reduces risk in an objectively measurable way in accordance with Article 57 of Directive 2014/65/EU.</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4. Investment firms which transmit orders shall include in the transmission of that order all the details as specified in paragraphs 1 and 3. Instead of including the mentioned details when transmitting orders, an investment firm may choose to report the transmitted order, if it is executed, as a transaction in accordance with the requirements under paragraph 1. In that case, the transaction report by the investment firm shall state that it pertains to a transmitted order.</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5. The operator of a trading venue shall report details of transactions in financial instruments traded on its platform which are executed through its systems by a firm which is not subject to this Regulation in accordance with paragraphs 1 and 3.</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 xml:space="preserve">6. In reporting the designation to identify the clients as required under paragraphs 3 and 4, investment firms shall use a legal entity </w:t>
            </w:r>
            <w:r w:rsidRPr="0021706D">
              <w:rPr>
                <w:rFonts w:ascii="Arial" w:hAnsi="Arial" w:cs="Arial"/>
                <w:sz w:val="16"/>
                <w:szCs w:val="16"/>
              </w:rPr>
              <w:lastRenderedPageBreak/>
              <w:t xml:space="preserve">identifier established to identify clients that are legal persons. </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ESMA shall develop by 3 January 2016 guidelines in accordance with Article 16 of Regulation (EU) No 1095/2010 to ensure that the application of legal entity identifiers within the Union complies with international standards, in particular those established by the Financial Stability Board.</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7. The reports shall be made to the competent authority either by the investment firm itself, an ARM acting on its behalf or by the trading venue through whose system the transaction was completed, in accordance with paragraphs 1, 3 and 9.</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Investment firms shall have responsibility for the completeness, accuracy and timely submission of the reports which are submitted to the competent authority.</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By way of derogation from that responsibility, where an investment firm reports details of those transactions through an ARM which is acting on its behalf or a trading venue, the investment firm shall not be responsible for failures in the completeness, accuracy or timely submission of the reports which are attributable to the ARM or trading venue. In those cases and subject to Article 66(4) of Directive 2014/65/EU the ARM or trading venue shall be responsible for those failures.</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Investment firms must nevertheless take reasonable steps to verify the completeness, accuracy and timeliness of the transaction reports which were submitted on their behalf.</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The home Member State shall require the trading venue, when making reports on behalf of the investment firm, to have sound security mechanisms in place designed to guarantee the security and authentication of the means of transfer of information, to minimise the risk of data corruption and unauthorised access and to prevent information leakage maintaining the confidentiality of the data at all times. The home Member State shall require the trading venue to maintain adequate resources and have back-up facilities in place in order to offer and maintain its services at all times.</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Trade-matching or reporting systems, including trade repositories registered or recognised in accordance with Title VI of Regulation (EU) No 648/2012, may be approved by the competent authority as an ARM in order to transmit transaction reports to the competent authority in accordance with paragraphs 1, 3 and 9.</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Where transactions have been reported to a trade repository in accordance with Article 9 of Regulation (EU) No 648/2012 which is approved as an ARM and where those reports contain the details required under paragraphs 1, 3 and 9 and are transmitted to the competent authority by the trade repository within the time limit set in paragraph 1, the obligation on the investment firm laid down in paragraph 1 shall be considered to have been complied with.</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Where there are errors or omissions in the transaction reports, the ARM, investment firm or trading venue reporting the transaction shall correct the information and submit a corrected report to the competent authority.</w:t>
            </w:r>
          </w:p>
          <w:p w:rsidR="00A14563" w:rsidRPr="0021706D" w:rsidRDefault="00A14563" w:rsidP="001F57B2">
            <w:pPr>
              <w:spacing w:before="60" w:afterLines="60" w:after="144"/>
              <w:rPr>
                <w:rFonts w:ascii="Arial" w:hAnsi="Arial" w:cs="Arial"/>
                <w:sz w:val="16"/>
                <w:szCs w:val="16"/>
              </w:rPr>
            </w:pPr>
            <w:r w:rsidRPr="0021706D">
              <w:rPr>
                <w:rFonts w:ascii="Arial" w:hAnsi="Arial" w:cs="Arial"/>
                <w:sz w:val="16"/>
                <w:szCs w:val="16"/>
              </w:rPr>
              <w:t>8. When, in accordance with Article 35(8) of Directive 2014/65/EU, reports provided for under this Article are transmitted to the competent authority of the host Member State, it shall transmit that information to the competent authorities of the home Member State of the investment firm, unless the competent authorities of the home Member State decide that they do not want to receive that information.</w:t>
            </w:r>
          </w:p>
        </w:tc>
        <w:tc>
          <w:tcPr>
            <w:tcW w:w="2693" w:type="dxa"/>
          </w:tcPr>
          <w:p w:rsidR="00A14563" w:rsidRPr="0021706D" w:rsidRDefault="00A14563" w:rsidP="00680764">
            <w:pPr>
              <w:spacing w:before="60" w:afterLines="60" w:after="144"/>
              <w:rPr>
                <w:rFonts w:ascii="Arial" w:hAnsi="Arial" w:cs="Arial"/>
                <w:sz w:val="16"/>
                <w:szCs w:val="16"/>
              </w:rPr>
            </w:pPr>
          </w:p>
        </w:tc>
      </w:tr>
      <w:tr w:rsidR="00AE26B0" w:rsidRPr="0021706D" w:rsidTr="00AE26B0">
        <w:trPr>
          <w:jc w:val="center"/>
        </w:trPr>
        <w:tc>
          <w:tcPr>
            <w:tcW w:w="14742" w:type="dxa"/>
            <w:gridSpan w:val="4"/>
            <w:shd w:val="clear" w:color="auto" w:fill="32464D"/>
          </w:tcPr>
          <w:p w:rsidR="00A14563" w:rsidRPr="0021706D" w:rsidRDefault="00A14563" w:rsidP="00CB391B">
            <w:pPr>
              <w:spacing w:before="60" w:afterLines="60" w:after="144"/>
              <w:jc w:val="center"/>
              <w:rPr>
                <w:rFonts w:ascii="Arial" w:hAnsi="Arial" w:cs="Arial"/>
                <w:b/>
                <w:color w:val="FFFFFF" w:themeColor="background1"/>
                <w:sz w:val="16"/>
                <w:szCs w:val="16"/>
              </w:rPr>
            </w:pPr>
            <w:r w:rsidRPr="0021706D">
              <w:rPr>
                <w:rFonts w:ascii="Arial" w:hAnsi="Arial" w:cs="Arial"/>
                <w:b/>
                <w:color w:val="FFFFFF" w:themeColor="background1"/>
                <w:sz w:val="16"/>
                <w:szCs w:val="16"/>
              </w:rPr>
              <w:t>Level 2</w:t>
            </w:r>
          </w:p>
        </w:tc>
      </w:tr>
      <w:tr w:rsidR="00A14563" w:rsidRPr="0021706D" w:rsidTr="00CB391B">
        <w:trPr>
          <w:jc w:val="center"/>
        </w:trPr>
        <w:tc>
          <w:tcPr>
            <w:tcW w:w="1276" w:type="dxa"/>
            <w:shd w:val="clear" w:color="auto" w:fill="auto"/>
          </w:tcPr>
          <w:p w:rsidR="00A14563" w:rsidRPr="0021706D" w:rsidRDefault="00A14563" w:rsidP="00680764">
            <w:pPr>
              <w:spacing w:before="60" w:afterLines="60" w:after="144"/>
              <w:rPr>
                <w:rFonts w:ascii="Arial" w:hAnsi="Arial" w:cs="Arial"/>
                <w:sz w:val="16"/>
                <w:szCs w:val="16"/>
              </w:rPr>
            </w:pPr>
            <w:r w:rsidRPr="0021706D">
              <w:rPr>
                <w:rFonts w:ascii="Arial" w:hAnsi="Arial" w:cs="Arial"/>
                <w:sz w:val="16"/>
                <w:szCs w:val="16"/>
              </w:rPr>
              <w:lastRenderedPageBreak/>
              <w:t>RTS 6</w:t>
            </w:r>
          </w:p>
        </w:tc>
        <w:tc>
          <w:tcPr>
            <w:tcW w:w="1276" w:type="dxa"/>
            <w:shd w:val="clear" w:color="auto" w:fill="auto"/>
          </w:tcPr>
          <w:p w:rsidR="00A14563" w:rsidRPr="0021706D" w:rsidRDefault="00A14563" w:rsidP="00680764">
            <w:pPr>
              <w:spacing w:before="60" w:afterLines="60" w:after="144"/>
              <w:rPr>
                <w:rFonts w:ascii="Arial" w:hAnsi="Arial" w:cs="Arial"/>
                <w:sz w:val="16"/>
                <w:szCs w:val="16"/>
              </w:rPr>
            </w:pPr>
            <w:r w:rsidRPr="0021706D">
              <w:rPr>
                <w:rFonts w:ascii="Arial" w:hAnsi="Arial" w:cs="Arial"/>
                <w:sz w:val="16"/>
                <w:szCs w:val="16"/>
              </w:rPr>
              <w:t>Article 14(1)</w:t>
            </w:r>
          </w:p>
        </w:tc>
        <w:tc>
          <w:tcPr>
            <w:tcW w:w="9497" w:type="dxa"/>
          </w:tcPr>
          <w:p w:rsidR="00A14563" w:rsidRPr="0021706D" w:rsidRDefault="00A14563" w:rsidP="00680764">
            <w:pPr>
              <w:spacing w:before="60" w:afterLines="60" w:after="144"/>
              <w:rPr>
                <w:rFonts w:ascii="Arial" w:hAnsi="Arial" w:cs="Arial"/>
                <w:sz w:val="16"/>
                <w:szCs w:val="16"/>
              </w:rPr>
            </w:pPr>
            <w:r w:rsidRPr="0021706D">
              <w:rPr>
                <w:rFonts w:ascii="Arial" w:hAnsi="Arial" w:cs="Arial"/>
                <w:sz w:val="16"/>
                <w:szCs w:val="16"/>
              </w:rPr>
              <w:t>Investment firms shall have business continuity arrangements in place with respect to their algorithmic trading systems which are appropriate to the nature, scale and complexity of their business. Those arrangements shall be documented in writing or any other durable medium.</w:t>
            </w:r>
          </w:p>
        </w:tc>
        <w:tc>
          <w:tcPr>
            <w:tcW w:w="2693" w:type="dxa"/>
          </w:tcPr>
          <w:p w:rsidR="00A14563" w:rsidRPr="0021706D" w:rsidRDefault="00A14563"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2"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23(1)</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Investment firms shall take the following actions relating to risk management: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establish, implement and maintain adequate risk management policies and procedures which identify the risks relating to the firm's activities, processes and systems, and where appropriate, set the level of risk tolerated by the firm;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adopt effective arrangements, processes and mechanisms to manage the risks relating to the firm's activities, processes and systems, in light of that level of risk tolerance;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3"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24</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Investment firms shall, where appropriate and proportionate in view of the nature, scale and complexity of their business and the nature and range of investment services and activities undertaken in the course of that business, establish and maintain an internal audit function which is separate and independent from the other functions and activities of the investment firm and which has the following responsibilities: </w:t>
            </w:r>
          </w:p>
          <w:p w:rsidR="00196FBD" w:rsidRPr="0021706D" w:rsidRDefault="00196FBD" w:rsidP="0021706D">
            <w:pPr>
              <w:pStyle w:val="ListParagraph"/>
              <w:numPr>
                <w:ilvl w:val="0"/>
                <w:numId w:val="36"/>
              </w:numPr>
              <w:spacing w:before="60" w:afterLines="60" w:after="144"/>
              <w:rPr>
                <w:rFonts w:ascii="Arial" w:hAnsi="Arial" w:cs="Arial"/>
                <w:sz w:val="16"/>
                <w:szCs w:val="16"/>
              </w:rPr>
            </w:pPr>
            <w:r w:rsidRPr="0021706D">
              <w:rPr>
                <w:rFonts w:ascii="Arial" w:hAnsi="Arial" w:cs="Arial"/>
                <w:sz w:val="16"/>
                <w:szCs w:val="16"/>
              </w:rPr>
              <w:t xml:space="preserve">establish, implement and maintain an audit plan to examine and evaluate the adequacy and effectiveness of the investment firm's systems, internal control mechanisms and arrangements; </w:t>
            </w:r>
          </w:p>
          <w:p w:rsidR="00196FBD" w:rsidRPr="0021706D" w:rsidRDefault="00196FBD" w:rsidP="0021706D">
            <w:pPr>
              <w:pStyle w:val="ListParagraph"/>
              <w:numPr>
                <w:ilvl w:val="0"/>
                <w:numId w:val="36"/>
              </w:numPr>
              <w:spacing w:before="60" w:afterLines="60" w:after="144"/>
              <w:rPr>
                <w:rFonts w:ascii="Arial" w:hAnsi="Arial" w:cs="Arial"/>
                <w:sz w:val="16"/>
                <w:szCs w:val="16"/>
              </w:rPr>
            </w:pPr>
            <w:r w:rsidRPr="0021706D">
              <w:rPr>
                <w:rFonts w:ascii="Arial" w:hAnsi="Arial" w:cs="Arial"/>
                <w:sz w:val="16"/>
                <w:szCs w:val="16"/>
              </w:rPr>
              <w:t xml:space="preserve">issue recommendations based on the result of work carried out in accordance with point (a) and verify compliance with those recommendations; </w:t>
            </w:r>
          </w:p>
          <w:p w:rsidR="00196FBD" w:rsidRPr="0021706D" w:rsidRDefault="00196FBD" w:rsidP="0021706D">
            <w:pPr>
              <w:pStyle w:val="ListParagraph"/>
              <w:numPr>
                <w:ilvl w:val="0"/>
                <w:numId w:val="36"/>
              </w:numPr>
              <w:spacing w:before="60" w:afterLines="60" w:after="144"/>
              <w:rPr>
                <w:rFonts w:ascii="Arial" w:hAnsi="Arial" w:cs="Arial"/>
                <w:sz w:val="16"/>
                <w:szCs w:val="16"/>
              </w:rPr>
            </w:pPr>
            <w:r w:rsidRPr="0021706D">
              <w:rPr>
                <w:rFonts w:ascii="Arial" w:hAnsi="Arial" w:cs="Arial"/>
                <w:sz w:val="16"/>
                <w:szCs w:val="16"/>
              </w:rPr>
              <w:t xml:space="preserve">report in relation to internal audit matters in accordance with Article 25(2). </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4"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25(2)</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Investment firms shall ensure that their senior management receive on a frequent basis, and at least annually, written reports on the matters covered by Articles 22, 23 and 24 indicating in particular whether the appropriate remedial measures have been taken in the event of any deficiencies.</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5"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37(1)</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Investment firms which produce, or arrange for the production of, investment research that is intended or likely to be subsequently disseminated to clients of the firm or to the public, under their own responsibility or that of a member of their group, shall ensure the implementation of all the measures set out in Article 34(3) in relation to the financial analysts involved in the production of the investment research and other relevant persons whose responsibilities or business interests may conflict with the interests of the persons to whom the investment research is disseminated.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obligations in the first subparagraph shall also apply in relation to recommendations referred to in Article 36(2).</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6"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39(2)</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 xml:space="preserve">Investment firms shall provide clients with information about how the recommendation as to the price of the offering and the timings involved is determined. In particular, the firm shall inform and engage with the issuer client about any hedging or stabilisation strategies it intends to undertake with respect to the offering, including how these strategies may impact the issuer clients' interests. During the offering process, firms shall also take all reasonable steps to keep the issuer client informed about </w:t>
            </w:r>
            <w:r w:rsidRPr="0021706D">
              <w:rPr>
                <w:rFonts w:ascii="Arial" w:hAnsi="Arial" w:cs="Arial"/>
                <w:sz w:val="16"/>
                <w:szCs w:val="16"/>
              </w:rPr>
              <w:lastRenderedPageBreak/>
              <w:t>developments with respect to the pricing of the issue.</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7"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40(2)</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Investment firms shall establish, implement and maintain effective internal arrangements to prevent or manage conflicts of interests that arise where persons responsible for providing services to the firm's investment clients are directly involved in decisions about recommendations to the issuer client on allocation.</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8"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40(4)</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Investment firms shall establish, implement and maintain an allocation policy that sets out the process for developing allocation recommendations. The allocation policy shall be provided to the issuer client before agreeing to undertake any placing services. The policy shall set out relevant information that is available at that stage, about the proposed allocation methodology for the issue.</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59"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40(5)</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Investment firms shall involve the issuer client in discussions about the placing process in order for the firm to be able to understand and take into account the client's interests and objectives. The investment firm shall obtain the issuer client's agreement to its proposed allocation per type of client for the transaction in accordance with the allocation policy.</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0"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41(2)</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Investment firms engaging in the placement of financial instruments issued by themselves or by entities within the same group, to their own clients, including their existing depositor clients in the case of credit institutions, or investment funds managed by entities of their group, shall establish, implement and maintain clear and effective arrangements for the identification, prevention or management of the potential conflicts of interest that arise in relation to this type of activity. Such arrangements shall include consideration of refraining from engaging in the activity, where conflicts of interest cannot be appropriately managed so as to prevent any adverse effects on clients.</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1"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41(4)</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Investment firms engaging in the offering of financial instruments issued by themselves or other group entities to their clients and those instruments are included in the calculation of prudential requirements specified in Regulation (EU) No 575/2013 of the European Parliament and of the Council 20, Directive 2013/36/EU of the European Parliament and of the Council or Directive 2014/59/EU of the European Parliament and of the Council, shall provide such clients with additional information explaining the differences between the financial instrument and bank deposits in terms of yield, risk, liquidity and any protection provided in accordance with Directive 2014/49/EU of the European Parliament and of the Council.</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2"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42</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 xml:space="preserve">1. Where any previous lending or credit to the issuer client by an investment firm, or an entity within the same group, may be repaid with the proceeds of an issue, the investment firm shall have arrangements in place to identify and prevent or manage any conflicts of interest that may arise as a result. </w:t>
            </w:r>
          </w:p>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 xml:space="preserve">2. Where the arrangements taken to manage conflicts of interest prove insufficient to ensure that the risk of damage to the issuer client would be prevented, investment firms shall disclose to the issuer client the specific conflicts of interest that have arisen in relation to their, or group entities’, activities in a capacity of credit provider, and their activities related to the securities offering. </w:t>
            </w:r>
          </w:p>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3. Investment firms’ conflict of interest policy shall require the sharing of information about the issuer’s financial situation with group entities acting as credit providers, provided this would not breach information barriers set up by the firm to protect the interests of a client.</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3"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45(1)</w:t>
            </w:r>
          </w:p>
        </w:tc>
        <w:tc>
          <w:tcPr>
            <w:tcW w:w="9497" w:type="dxa"/>
          </w:tcPr>
          <w:p w:rsidR="00196FBD" w:rsidRPr="0021706D" w:rsidRDefault="00196FBD" w:rsidP="00680764">
            <w:pPr>
              <w:tabs>
                <w:tab w:val="left" w:pos="2775"/>
              </w:tabs>
              <w:spacing w:before="60" w:afterLines="60" w:after="144"/>
              <w:rPr>
                <w:rFonts w:ascii="Arial" w:hAnsi="Arial" w:cs="Arial"/>
                <w:sz w:val="16"/>
                <w:szCs w:val="16"/>
              </w:rPr>
            </w:pPr>
            <w:r w:rsidRPr="0021706D">
              <w:rPr>
                <w:rFonts w:ascii="Arial" w:hAnsi="Arial" w:cs="Arial"/>
                <w:sz w:val="16"/>
                <w:szCs w:val="16"/>
              </w:rPr>
              <w:t xml:space="preserve">Investment firms shall notify new clients, and existing clients that the investment firm has newly categorised as required by Directive 2014/65/EU, of their categorisation as a retail client, a professional client or an eligible counterparty in accordance with </w:t>
            </w:r>
            <w:r w:rsidRPr="0021706D">
              <w:rPr>
                <w:rFonts w:ascii="Arial" w:hAnsi="Arial" w:cs="Arial"/>
                <w:sz w:val="16"/>
                <w:szCs w:val="16"/>
              </w:rPr>
              <w:lastRenderedPageBreak/>
              <w:t>that Directive.</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4"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45(2)</w:t>
            </w:r>
          </w:p>
        </w:tc>
        <w:tc>
          <w:tcPr>
            <w:tcW w:w="9497" w:type="dxa"/>
          </w:tcPr>
          <w:p w:rsidR="00196FBD" w:rsidRPr="0021706D" w:rsidRDefault="00196FBD" w:rsidP="00680764">
            <w:pPr>
              <w:tabs>
                <w:tab w:val="left" w:pos="1890"/>
              </w:tabs>
              <w:spacing w:before="60" w:afterLines="60" w:after="144"/>
              <w:rPr>
                <w:rFonts w:ascii="Arial" w:hAnsi="Arial" w:cs="Arial"/>
                <w:sz w:val="16"/>
                <w:szCs w:val="16"/>
              </w:rPr>
            </w:pPr>
            <w:r w:rsidRPr="0021706D">
              <w:rPr>
                <w:rFonts w:ascii="Arial" w:hAnsi="Arial" w:cs="Arial"/>
                <w:sz w:val="16"/>
                <w:szCs w:val="16"/>
              </w:rPr>
              <w:t>Investment firms shall inform clients in a durable medium about any right that client has to request a different categorisation and about any limitations to the level of client protection that a different categorisation would entail.</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5"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Articles 46(1) – (4)</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1. Investment firms shall, in good time before a client or potential client is bound by any agreement for the provision of investment services or ancillary services or before the provision of those services, whichever is the earlier to provide that client or potential client with the following information: </w:t>
            </w:r>
          </w:p>
          <w:p w:rsidR="00196FBD" w:rsidRPr="0021706D" w:rsidRDefault="00196FBD" w:rsidP="00680764">
            <w:pPr>
              <w:pStyle w:val="ListParagraph"/>
              <w:numPr>
                <w:ilvl w:val="1"/>
                <w:numId w:val="32"/>
              </w:numPr>
              <w:spacing w:before="60" w:afterLines="60" w:after="144"/>
              <w:ind w:left="772"/>
              <w:rPr>
                <w:rFonts w:ascii="Arial" w:hAnsi="Arial" w:cs="Arial"/>
                <w:sz w:val="16"/>
                <w:szCs w:val="16"/>
              </w:rPr>
            </w:pPr>
            <w:r w:rsidRPr="0021706D">
              <w:rPr>
                <w:rFonts w:ascii="Arial" w:hAnsi="Arial" w:cs="Arial"/>
                <w:sz w:val="16"/>
                <w:szCs w:val="16"/>
              </w:rPr>
              <w:t xml:space="preserve">the terms of any such agreement; </w:t>
            </w:r>
          </w:p>
          <w:p w:rsidR="00196FBD" w:rsidRPr="0021706D" w:rsidRDefault="00196FBD" w:rsidP="00680764">
            <w:pPr>
              <w:pStyle w:val="ListParagraph"/>
              <w:numPr>
                <w:ilvl w:val="1"/>
                <w:numId w:val="32"/>
              </w:numPr>
              <w:spacing w:before="60" w:afterLines="60" w:after="144"/>
              <w:ind w:left="772"/>
              <w:rPr>
                <w:rFonts w:ascii="Arial" w:hAnsi="Arial" w:cs="Arial"/>
                <w:sz w:val="16"/>
                <w:szCs w:val="16"/>
              </w:rPr>
            </w:pPr>
            <w:r w:rsidRPr="0021706D">
              <w:rPr>
                <w:rFonts w:ascii="Arial" w:hAnsi="Arial" w:cs="Arial"/>
                <w:sz w:val="16"/>
                <w:szCs w:val="16"/>
              </w:rPr>
              <w:t xml:space="preserve">the information required by Article 47 relating to that agreement or to those investment or ancillary services.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2. Investment firms shall, in good time before the provision of investment services or ancillary services to clients or potential clients, to provide the information required under Articles 47 to 50.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3. The information referred to in paragraphs 1 and 2 shall be provided in a durable medium or by means of a website (where it does not constitute a durable medium) provided that the conditions specified in Article 3(2) are satisfied.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4. Investment firms shall notify a client in good time about any material change to the information provided under Articles 47 to 50 which is relevant to a service that the firm is providing to that client. That notification shall be given in a durable medium if the information to which it relates is given in a durable medium.</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6"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47(1)</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Investment firms shall provide clients or potential clients with the following general information, where relevant:</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t>
            </w:r>
          </w:p>
          <w:p w:rsidR="00196FBD" w:rsidRPr="0021706D" w:rsidRDefault="00196FBD" w:rsidP="0021706D">
            <w:pPr>
              <w:pStyle w:val="ListParagraph"/>
              <w:numPr>
                <w:ilvl w:val="0"/>
                <w:numId w:val="40"/>
              </w:numPr>
              <w:spacing w:before="60" w:afterLines="60" w:after="144"/>
              <w:rPr>
                <w:rFonts w:ascii="Arial" w:hAnsi="Arial" w:cs="Arial"/>
                <w:sz w:val="16"/>
                <w:szCs w:val="16"/>
              </w:rPr>
            </w:pPr>
            <w:r w:rsidRPr="0021706D">
              <w:rPr>
                <w:rFonts w:ascii="Arial" w:hAnsi="Arial" w:cs="Arial"/>
                <w:sz w:val="16"/>
                <w:szCs w:val="16"/>
              </w:rPr>
              <w:t>at the request of the client, further details of that conflicts of interest policy in a durable medium or by means of a website (where that does not constitute a durable medium) provided that the conditions set out Article 3(2) are satisfied.</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7"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49(7)</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An investment firm, before entering into securities financing transactions in relation to financial instruments held by it on behalf of a client, or before otherwise using such financial instruments for its own account or the account of another client shall in good time before the use of those instruments provide the client, in a durable medium, with clear, full and accurate information on the obligations and responsibilities of the investment firm with respect to the use of those financial instruments, including the terms for their restitution, and on the risks involved.</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8"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53(2)</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An investment firm that provides investment advice on an independent basis and that focuses on certain categories or a specified range of financial instruments shall comply with the following requirements: </w:t>
            </w:r>
          </w:p>
          <w:p w:rsidR="00196FBD" w:rsidRPr="0021706D" w:rsidRDefault="00196FBD" w:rsidP="0021706D">
            <w:pPr>
              <w:pStyle w:val="ListParagraph"/>
              <w:numPr>
                <w:ilvl w:val="0"/>
                <w:numId w:val="39"/>
              </w:numPr>
              <w:spacing w:before="60" w:afterLines="60" w:after="144"/>
              <w:rPr>
                <w:rFonts w:ascii="Arial" w:hAnsi="Arial" w:cs="Arial"/>
                <w:sz w:val="16"/>
                <w:szCs w:val="16"/>
              </w:rPr>
            </w:pPr>
            <w:r w:rsidRPr="0021706D">
              <w:rPr>
                <w:rFonts w:ascii="Arial" w:hAnsi="Arial" w:cs="Arial"/>
                <w:sz w:val="16"/>
                <w:szCs w:val="16"/>
              </w:rPr>
              <w:t xml:space="preserve">the firm shall market itself in a way that is intended only to attract clients with a preference for those categories or range of financial instruments; </w:t>
            </w:r>
          </w:p>
          <w:p w:rsidR="00196FBD" w:rsidRPr="0021706D" w:rsidRDefault="00196FBD" w:rsidP="0021706D">
            <w:pPr>
              <w:pStyle w:val="ListParagraph"/>
              <w:numPr>
                <w:ilvl w:val="0"/>
                <w:numId w:val="39"/>
              </w:numPr>
              <w:spacing w:before="60" w:afterLines="60" w:after="144"/>
              <w:rPr>
                <w:rFonts w:ascii="Arial" w:hAnsi="Arial" w:cs="Arial"/>
                <w:sz w:val="16"/>
                <w:szCs w:val="16"/>
              </w:rPr>
            </w:pPr>
            <w:r w:rsidRPr="0021706D">
              <w:rPr>
                <w:rFonts w:ascii="Arial" w:hAnsi="Arial" w:cs="Arial"/>
                <w:sz w:val="16"/>
                <w:szCs w:val="16"/>
              </w:rPr>
              <w:t xml:space="preserve">the firm shall require clients to indicate that they are only interested in investing in the specified category or range of financial instruments; and </w:t>
            </w:r>
          </w:p>
          <w:p w:rsidR="00196FBD" w:rsidRPr="0021706D" w:rsidRDefault="00196FBD" w:rsidP="0021706D">
            <w:pPr>
              <w:pStyle w:val="ListParagraph"/>
              <w:numPr>
                <w:ilvl w:val="0"/>
                <w:numId w:val="39"/>
              </w:numPr>
              <w:spacing w:before="60" w:afterLines="60" w:after="144"/>
              <w:rPr>
                <w:rFonts w:ascii="Arial" w:hAnsi="Arial" w:cs="Arial"/>
                <w:sz w:val="16"/>
                <w:szCs w:val="16"/>
              </w:rPr>
            </w:pPr>
            <w:r w:rsidRPr="0021706D">
              <w:rPr>
                <w:rFonts w:ascii="Arial" w:hAnsi="Arial" w:cs="Arial"/>
                <w:sz w:val="16"/>
                <w:szCs w:val="16"/>
              </w:rPr>
              <w:lastRenderedPageBreak/>
              <w:t xml:space="preserve">prior to the provision of the service, the firm shall ensure that its service is appropriate for each new client on the basis that its business model matches the client’s needs and objectives, and the range of financial instruments that are suitable for the client. Where this is not the case the firm shall not provide such a service to the client. </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69"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53(3)</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An investment firm offering investment advice on both an independent basis and on a non-independent basis shall comply with the following obligations: </w:t>
            </w:r>
          </w:p>
          <w:p w:rsidR="00196FBD" w:rsidRPr="0021706D" w:rsidRDefault="00196FBD" w:rsidP="00680764">
            <w:pPr>
              <w:pStyle w:val="ListParagraph"/>
              <w:numPr>
                <w:ilvl w:val="0"/>
                <w:numId w:val="35"/>
              </w:numPr>
              <w:spacing w:before="60" w:afterLines="60" w:after="144"/>
              <w:rPr>
                <w:rFonts w:ascii="Arial" w:hAnsi="Arial" w:cs="Arial"/>
                <w:sz w:val="16"/>
                <w:szCs w:val="16"/>
              </w:rPr>
            </w:pPr>
            <w:r w:rsidRPr="0021706D">
              <w:rPr>
                <w:rFonts w:ascii="Arial" w:hAnsi="Arial" w:cs="Arial"/>
                <w:sz w:val="16"/>
                <w:szCs w:val="16"/>
              </w:rPr>
              <w:t xml:space="preserve">in good time before the provision of its services, the investment firm has informed its clients, in a durable medium, whether the advice will be independent or non-independent in accordance with Article 24(4)(a) of Directive 2014/65/EU and the relevant implementing measures; </w:t>
            </w:r>
          </w:p>
          <w:p w:rsidR="00196FBD" w:rsidRPr="0021706D" w:rsidRDefault="00196FBD" w:rsidP="00680764">
            <w:pPr>
              <w:pStyle w:val="ListParagraph"/>
              <w:numPr>
                <w:ilvl w:val="0"/>
                <w:numId w:val="35"/>
              </w:numPr>
              <w:spacing w:before="60" w:afterLines="60" w:after="144"/>
              <w:rPr>
                <w:rFonts w:ascii="Arial" w:hAnsi="Arial" w:cs="Arial"/>
                <w:sz w:val="16"/>
                <w:szCs w:val="16"/>
              </w:rPr>
            </w:pPr>
            <w:r w:rsidRPr="0021706D">
              <w:rPr>
                <w:rFonts w:ascii="Arial" w:hAnsi="Arial" w:cs="Arial"/>
                <w:sz w:val="16"/>
                <w:szCs w:val="16"/>
              </w:rPr>
              <w:t xml:space="preserve">the investment firm has presented itself as independent for its business as a whole but has only done so with respect to the services for which it provides investment advice on an independent basis; and </w:t>
            </w:r>
          </w:p>
          <w:p w:rsidR="00196FBD" w:rsidRPr="0021706D" w:rsidRDefault="00196FBD" w:rsidP="00680764">
            <w:pPr>
              <w:pStyle w:val="ListParagraph"/>
              <w:numPr>
                <w:ilvl w:val="0"/>
                <w:numId w:val="35"/>
              </w:numPr>
              <w:spacing w:before="60" w:afterLines="60" w:after="144"/>
              <w:rPr>
                <w:rFonts w:ascii="Arial" w:hAnsi="Arial" w:cs="Arial"/>
                <w:sz w:val="16"/>
                <w:szCs w:val="16"/>
              </w:rPr>
            </w:pPr>
            <w:r w:rsidRPr="0021706D">
              <w:rPr>
                <w:rFonts w:ascii="Arial" w:hAnsi="Arial" w:cs="Arial"/>
                <w:sz w:val="16"/>
                <w:szCs w:val="16"/>
              </w:rPr>
              <w:t xml:space="preserve">the investment firms has adequate organisational requirements and controls in place to ensure that both types of advice services and advisers are clearly separated from each other and that clients are not likely to be confused about the type of advice that they are receiving and are given the type of advice that is appropriate for them. The investment firm shall not allow a natural person to provide both independent and non-independent advice. </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0"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58</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Investment firms providing any investment service or the ancillary service referred to in Section B(1) of Annex I to Directive 2014/65/EC to a client after the date of application of this Regulation shall enter into a written basic agreement with the client, in paper or another durable medium, with the client setting out the essential rights and obligations of the firm and the client. Investment firms providing investment advice shall comply with this obligation only where a periodic assessment of the suitability of the financial instruments or services recommended is performed.</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written agreement shall set out the essential rights and obligations of the parties, and shall include the following:</w:t>
            </w:r>
          </w:p>
          <w:p w:rsidR="00196FBD" w:rsidRPr="0021706D" w:rsidRDefault="00196FBD" w:rsidP="0021706D">
            <w:pPr>
              <w:pStyle w:val="ListParagraph"/>
              <w:numPr>
                <w:ilvl w:val="0"/>
                <w:numId w:val="41"/>
              </w:numPr>
              <w:spacing w:before="60" w:afterLines="60" w:after="144"/>
              <w:rPr>
                <w:rFonts w:ascii="Arial" w:hAnsi="Arial" w:cs="Arial"/>
                <w:sz w:val="16"/>
                <w:szCs w:val="16"/>
              </w:rPr>
            </w:pPr>
            <w:r w:rsidRPr="0021706D">
              <w:rPr>
                <w:rFonts w:ascii="Arial" w:hAnsi="Arial" w:cs="Arial"/>
                <w:sz w:val="16"/>
                <w:szCs w:val="16"/>
              </w:rPr>
              <w:t>a description of the services, and where relevant the nature and extent of the investment advice, to be provided;</w:t>
            </w:r>
          </w:p>
          <w:p w:rsidR="00196FBD" w:rsidRPr="0021706D" w:rsidRDefault="00196FBD" w:rsidP="0021706D">
            <w:pPr>
              <w:pStyle w:val="ListParagraph"/>
              <w:numPr>
                <w:ilvl w:val="0"/>
                <w:numId w:val="41"/>
              </w:numPr>
              <w:spacing w:before="60" w:afterLines="60" w:after="144"/>
              <w:rPr>
                <w:rFonts w:ascii="Arial" w:hAnsi="Arial" w:cs="Arial"/>
                <w:sz w:val="16"/>
                <w:szCs w:val="16"/>
              </w:rPr>
            </w:pPr>
            <w:r w:rsidRPr="0021706D">
              <w:rPr>
                <w:rFonts w:ascii="Arial" w:hAnsi="Arial" w:cs="Arial"/>
                <w:sz w:val="16"/>
                <w:szCs w:val="16"/>
              </w:rPr>
              <w:t xml:space="preserve">in case of portfolio management services, the types of financial instruments that may be purchased and sold and the types of transactions that may be undertaken on behalf of the client, as well as any instruments or transactions prohibited; and </w:t>
            </w:r>
          </w:p>
          <w:p w:rsidR="00196FBD" w:rsidRPr="0021706D" w:rsidRDefault="00196FBD" w:rsidP="0021706D">
            <w:pPr>
              <w:pStyle w:val="ListParagraph"/>
              <w:numPr>
                <w:ilvl w:val="0"/>
                <w:numId w:val="41"/>
              </w:numPr>
              <w:spacing w:before="60" w:afterLines="60" w:after="144"/>
              <w:rPr>
                <w:rFonts w:ascii="Arial" w:hAnsi="Arial" w:cs="Arial"/>
                <w:sz w:val="16"/>
                <w:szCs w:val="16"/>
              </w:rPr>
            </w:pPr>
            <w:r w:rsidRPr="0021706D">
              <w:rPr>
                <w:rFonts w:ascii="Arial" w:hAnsi="Arial" w:cs="Arial"/>
                <w:sz w:val="16"/>
                <w:szCs w:val="16"/>
              </w:rPr>
              <w:t>a description of the main features of any services referred to in Section B(1) of Annex I to Directive 2014/65/EC to be provided, including where applicable the role of the firm with respect to corporate actions relating to client instruments and the terms on which securities financing transactions involving client securities will generate a return for the client.</w:t>
            </w:r>
          </w:p>
        </w:tc>
        <w:tc>
          <w:tcPr>
            <w:tcW w:w="2693" w:type="dxa"/>
          </w:tcPr>
          <w:p w:rsidR="00196FBD" w:rsidRPr="0021706D" w:rsidRDefault="00196FBD" w:rsidP="00680764">
            <w:pPr>
              <w:spacing w:before="60" w:afterLines="60" w:after="144"/>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1"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59</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1. Investment firms having carried out an order on behalf of a client, other than for portfolio management, shall, in respect of that order:</w:t>
            </w:r>
          </w:p>
          <w:p w:rsidR="00196FBD" w:rsidRPr="0021706D" w:rsidRDefault="00196FBD" w:rsidP="0021706D">
            <w:pPr>
              <w:pStyle w:val="ListParagraph"/>
              <w:numPr>
                <w:ilvl w:val="0"/>
                <w:numId w:val="42"/>
              </w:numPr>
              <w:spacing w:before="60" w:afterLines="60" w:after="144"/>
              <w:rPr>
                <w:rFonts w:ascii="Arial" w:hAnsi="Arial" w:cs="Arial"/>
                <w:sz w:val="16"/>
                <w:szCs w:val="16"/>
              </w:rPr>
            </w:pPr>
            <w:r w:rsidRPr="0021706D">
              <w:rPr>
                <w:rFonts w:ascii="Arial" w:hAnsi="Arial" w:cs="Arial"/>
                <w:sz w:val="16"/>
                <w:szCs w:val="16"/>
              </w:rPr>
              <w:t>promptly provide the client, in a durable medium, with the essential information concerning the execution of that order;</w:t>
            </w:r>
          </w:p>
          <w:p w:rsidR="00196FBD" w:rsidRPr="0021706D" w:rsidRDefault="00196FBD" w:rsidP="0021706D">
            <w:pPr>
              <w:pStyle w:val="ListParagraph"/>
              <w:numPr>
                <w:ilvl w:val="0"/>
                <w:numId w:val="42"/>
              </w:numPr>
              <w:spacing w:before="60" w:afterLines="60" w:after="144"/>
              <w:rPr>
                <w:rFonts w:ascii="Arial" w:hAnsi="Arial" w:cs="Arial"/>
                <w:sz w:val="16"/>
                <w:szCs w:val="16"/>
              </w:rPr>
            </w:pPr>
            <w:r w:rsidRPr="0021706D">
              <w:rPr>
                <w:rFonts w:ascii="Arial" w:hAnsi="Arial" w:cs="Arial"/>
                <w:sz w:val="16"/>
                <w:szCs w:val="16"/>
              </w:rPr>
              <w:t xml:space="preserve">send a notice to the client in a durable medium confirming execution of the order as soon as possible and no later than the first business day following execution or, where the confirmation is received by the investment firm from a third party, </w:t>
            </w:r>
            <w:r w:rsidRPr="0021706D">
              <w:rPr>
                <w:rFonts w:ascii="Arial" w:hAnsi="Arial" w:cs="Arial"/>
                <w:sz w:val="16"/>
                <w:szCs w:val="16"/>
              </w:rPr>
              <w:lastRenderedPageBreak/>
              <w:t>no later than the first business day following receipt of the confirmation from the third party.</w:t>
            </w:r>
          </w:p>
          <w:p w:rsidR="00196FBD" w:rsidRPr="0021706D" w:rsidRDefault="00196FBD" w:rsidP="00680764">
            <w:pPr>
              <w:spacing w:before="60" w:afterLines="60" w:after="144"/>
              <w:ind w:left="720"/>
              <w:rPr>
                <w:rFonts w:ascii="Arial" w:hAnsi="Arial" w:cs="Arial"/>
                <w:sz w:val="16"/>
                <w:szCs w:val="16"/>
              </w:rPr>
            </w:pPr>
            <w:r w:rsidRPr="0021706D">
              <w:rPr>
                <w:rFonts w:ascii="Arial" w:hAnsi="Arial" w:cs="Arial"/>
                <w:sz w:val="16"/>
                <w:szCs w:val="16"/>
              </w:rPr>
              <w:t>Point (b) shall not apply where the confirmation would contain the same information as a confirmation that is to be promptly dispatched to the client by another person.</w:t>
            </w:r>
          </w:p>
          <w:p w:rsidR="00196FBD" w:rsidRPr="0021706D" w:rsidRDefault="00196FBD" w:rsidP="00680764">
            <w:pPr>
              <w:spacing w:before="60" w:afterLines="60" w:after="144"/>
              <w:ind w:left="720"/>
              <w:rPr>
                <w:rFonts w:ascii="Arial" w:hAnsi="Arial" w:cs="Arial"/>
                <w:sz w:val="16"/>
                <w:szCs w:val="16"/>
              </w:rPr>
            </w:pPr>
            <w:r w:rsidRPr="0021706D">
              <w:rPr>
                <w:rFonts w:ascii="Arial" w:hAnsi="Arial" w:cs="Arial"/>
                <w:sz w:val="16"/>
                <w:szCs w:val="16"/>
              </w:rPr>
              <w:t>Points (a) and (b) shall not apply where orders executed on behalf of clients relate to bonds funding mortgage loan agreements with the said clients, in which case the report on the transaction shall be made at the same time as the terms of the mortgage loan are communicated, but no later than one month after the execution of the order.</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2. In addition to the requirements under paragraph 1, investment firms shall supply the client, on request, with information about the status of his order.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3. In the case of client orders relating to units or shares in a collective investment undertaking which are executed periodically, investment firms shall either take the action specified in point (b) of paragraph 1 or provide the client, at least once every six months, with the information listed in paragraph 4 in respect of those transactions.</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4. The notice referred to in point (b) of paragraph 1 shall include such of the following information as is applicable and, where relevant, in accordance with the regulatory technical standards on reporting obligations adopted in accordance with Article 26 of Regulation (EU) No 600/2014:</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reporting firm identification;</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name or other designation of the client;</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trading day;</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trading time;</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type of the order;</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venue identification;</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instrument identification;</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buy/sell indicator;</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nature of the order if other than buy/sell;</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quantity;</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unit price;</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total consideration;</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a total sum of the commissions and expenses charged and, where the client so requests, an itemised breakdown including, where relevant, the amount of any mark-up or mark-down imposed where the transaction was executed by an investment firm when dealing on own account, and the investment firm owes a duty of best execution to the client;</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lastRenderedPageBreak/>
              <w:t>the rate of exchange obtained where the transaction involves a conversion of currency;</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the client's responsibilities in relation to the settlement of the transaction, including the time limit for payment or delivery as well as the appropriate account details where these details and responsibilities have not previously been notified to the client;</w:t>
            </w:r>
          </w:p>
          <w:p w:rsidR="00196FBD" w:rsidRPr="0021706D" w:rsidRDefault="00196FBD" w:rsidP="0021706D">
            <w:pPr>
              <w:pStyle w:val="ListParagraph"/>
              <w:numPr>
                <w:ilvl w:val="0"/>
                <w:numId w:val="43"/>
              </w:numPr>
              <w:spacing w:before="60" w:afterLines="60" w:after="144"/>
              <w:rPr>
                <w:rFonts w:ascii="Arial" w:hAnsi="Arial" w:cs="Arial"/>
                <w:sz w:val="16"/>
                <w:szCs w:val="16"/>
              </w:rPr>
            </w:pPr>
            <w:r w:rsidRPr="0021706D">
              <w:rPr>
                <w:rFonts w:ascii="Arial" w:hAnsi="Arial" w:cs="Arial"/>
                <w:sz w:val="16"/>
                <w:szCs w:val="16"/>
              </w:rPr>
              <w:t>where the client's counterparty was the investment firm itself or any person in the investment firm's group or another client of the investment firm, the fact that this was the case unless the order was executed through a trading system that facilitates anonymous trading.</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For the purposes of point (k), where the order is executed in tranches, the investment firm may supply the client with information about the price of each tranche or the average price. Where the average price is provided, the investment firm shall supply the client with information about the price of each tranche upon request.</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5. The investment firm may provide the client with the information referred to in paragraph 4 using standard codes if it also provides an explanation of the codes used.</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2"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60</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1. Investments firms which provide the service of portfolio management to clients shall provide each such client with a periodic statement in a durable medium of the portfolio management activities carried out on behalf of that client unless such a statement is provided by another person.</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2. The periodic statement required under paragraph 1 shall provide a fair and balanced review of the activities undertaken and of the performance of the portfolio during the reporting period and shall include, where relevant, the following information:</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the name of the investment firm;</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the name or other designation of the client's account;</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a statement of the contents and the valuation of the portfolio, including details of each financial instrument held, its market value, or fair value if market value is unavailable and the cash balance at the beginning and at the end of the reporting period, and the performance of the portfolio during the reporting period;</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the total amount of fees and charges incurred during the reporting period, itemising at least total management fees and total costs associated with execution, and including, where relevant, a statement that a more detailed breakdown will be provided on request;</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a comparison of performance during the period covered by the statement with the investment performance benchmark (if any) agreed between the investment firm and the client;</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the total amount of dividends, interest and other payments received during the reporting period in relation to the client's portfolio;</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information about other corporate actions giving rights in relation to financial instruments held in the portfolio;</w:t>
            </w:r>
          </w:p>
          <w:p w:rsidR="00196FBD" w:rsidRPr="0021706D" w:rsidRDefault="00196FBD" w:rsidP="0021706D">
            <w:pPr>
              <w:pStyle w:val="ListParagraph"/>
              <w:numPr>
                <w:ilvl w:val="0"/>
                <w:numId w:val="44"/>
              </w:numPr>
              <w:spacing w:before="60" w:afterLines="60" w:after="144"/>
              <w:rPr>
                <w:rFonts w:ascii="Arial" w:hAnsi="Arial" w:cs="Arial"/>
                <w:sz w:val="16"/>
                <w:szCs w:val="16"/>
              </w:rPr>
            </w:pPr>
            <w:r w:rsidRPr="0021706D">
              <w:rPr>
                <w:rFonts w:ascii="Arial" w:hAnsi="Arial" w:cs="Arial"/>
                <w:sz w:val="16"/>
                <w:szCs w:val="16"/>
              </w:rPr>
              <w:t xml:space="preserve">for each transaction executed during the period, the information referred to in Article 59(4)(c) to (l) where relevant, unless the client elects to receive information about executed transactions on a transaction-by-transaction basis, in which case </w:t>
            </w:r>
            <w:r w:rsidRPr="0021706D">
              <w:rPr>
                <w:rFonts w:ascii="Arial" w:hAnsi="Arial" w:cs="Arial"/>
                <w:sz w:val="16"/>
                <w:szCs w:val="16"/>
              </w:rPr>
              <w:lastRenderedPageBreak/>
              <w:t>paragraph 4 of this Article shall apply.</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3. The periodic statement referred to in paragraph 1 shall be provided once every three months, except in the following cases:</w:t>
            </w:r>
          </w:p>
          <w:p w:rsidR="00196FBD" w:rsidRPr="0021706D" w:rsidRDefault="00196FBD" w:rsidP="0021706D">
            <w:pPr>
              <w:pStyle w:val="ListParagraph"/>
              <w:numPr>
                <w:ilvl w:val="0"/>
                <w:numId w:val="45"/>
              </w:numPr>
              <w:spacing w:before="60" w:afterLines="60" w:after="144"/>
              <w:rPr>
                <w:rFonts w:ascii="Arial" w:hAnsi="Arial" w:cs="Arial"/>
                <w:sz w:val="16"/>
                <w:szCs w:val="16"/>
              </w:rPr>
            </w:pPr>
            <w:r w:rsidRPr="0021706D">
              <w:rPr>
                <w:rFonts w:ascii="Arial" w:hAnsi="Arial" w:cs="Arial"/>
                <w:sz w:val="16"/>
                <w:szCs w:val="16"/>
              </w:rPr>
              <w:t>where the investment firm provides its clients with access to an online system, which qualifies as a durable medium, where up-to-date valuations of the client’s portfolio can be accessed and where the client can easily access the information required by Article 63(2) and the firm has evidence that the client has accessed a valuation of their portfolio at least once during the relevant quarter;</w:t>
            </w:r>
          </w:p>
          <w:p w:rsidR="00196FBD" w:rsidRPr="0021706D" w:rsidRDefault="00196FBD" w:rsidP="0021706D">
            <w:pPr>
              <w:pStyle w:val="ListParagraph"/>
              <w:numPr>
                <w:ilvl w:val="0"/>
                <w:numId w:val="45"/>
              </w:numPr>
              <w:spacing w:before="60" w:afterLines="60" w:after="144"/>
              <w:rPr>
                <w:rFonts w:ascii="Arial" w:hAnsi="Arial" w:cs="Arial"/>
                <w:sz w:val="16"/>
                <w:szCs w:val="16"/>
              </w:rPr>
            </w:pPr>
            <w:r w:rsidRPr="0021706D">
              <w:rPr>
                <w:rFonts w:ascii="Arial" w:hAnsi="Arial" w:cs="Arial"/>
                <w:sz w:val="16"/>
                <w:szCs w:val="16"/>
              </w:rPr>
              <w:t>in cases where paragraph 4 applies, the periodic statement must be provided at least once every 12 months;</w:t>
            </w:r>
          </w:p>
          <w:p w:rsidR="00196FBD" w:rsidRPr="0021706D" w:rsidRDefault="00196FBD" w:rsidP="0021706D">
            <w:pPr>
              <w:pStyle w:val="ListParagraph"/>
              <w:numPr>
                <w:ilvl w:val="0"/>
                <w:numId w:val="45"/>
              </w:numPr>
              <w:spacing w:before="60" w:afterLines="60" w:after="144"/>
              <w:rPr>
                <w:rFonts w:ascii="Arial" w:hAnsi="Arial" w:cs="Arial"/>
                <w:sz w:val="16"/>
                <w:szCs w:val="16"/>
              </w:rPr>
            </w:pPr>
            <w:r w:rsidRPr="0021706D">
              <w:rPr>
                <w:rFonts w:ascii="Arial" w:hAnsi="Arial" w:cs="Arial"/>
                <w:sz w:val="16"/>
                <w:szCs w:val="16"/>
              </w:rPr>
              <w:t>where the agreement between an investment firm and a client for a portfolio management service authorises a leveraged portfolio, the periodic statement must be provided at least once a month.</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exception provided for in point (b) shall not apply in the case of transactions in financial instruments covered by Article 4(1)(44)(c) of, or any of points 4 to 11 of Section C in Annex I to Directive 2014/65/EU.</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4. Investment firms, in cases where the client elects to receive information about executed transactions on a transaction-by-transaction basis, shall provide promptly to the client, on the execution of a transaction by the portfolio manager, the essential information concerning that transaction in a durable medium.</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investment firm shall send the client a notice confirming the transaction and containing the information referred to in Article 59(4) no later than the first business day following that execution or, where the confirmation is received by the investment firm from a third party, no later than the first business day following receipt of the confirmation from the third party.</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second subparagraph shall not apply where the confirmation would contain the same information as a confirmation that is to be promptly dispatched to the client by another person.</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3"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63(1)</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Investment firms that hold client financial instruments or client funds shall send at least on a quarterly basis, to each client for whom they hold financial instruments or funds, a statement in a durable medium of those financial instruments or funds unless such a statement has been provided in any other periodic statement. Upon client request, firms shall provide such statement more frequently at a commercial cost.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first subparagraph shall not apply to a credit institution authorised under Directive 2000/12/EC in respect of deposits within the meaning of that Directive held by that institution.</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4"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63(2)</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The periodic statement of client assets referred to in paragraph 1 shall not be provided where the investment firm provides its clients with access to an online system, which qualifies as a durable medium, where up-to-date statements of client’s financial instruments or funds can be easily accessed by the client and the firm has evidence that the client has accessed this statement at least once during the relevant quarter.</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5"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Articles 65(4) – (6)</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4. Investment firms shall take all sufficient steps to obtain the best possible result for their clients taking into account the factors referred to in Article 27(1) of Directive 2014/65/EU. The relative importance of these factors shall be determined by reference to the </w:t>
            </w:r>
            <w:r w:rsidRPr="0021706D">
              <w:rPr>
                <w:rFonts w:ascii="Arial" w:hAnsi="Arial" w:cs="Arial"/>
                <w:sz w:val="16"/>
                <w:szCs w:val="16"/>
              </w:rPr>
              <w:lastRenderedPageBreak/>
              <w:t xml:space="preserve">criteria set out in Article 59(1) and, for retail clients, to the requirement under Article 27(1) of Directive 2014/65/EU.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An investment firm satisfies its obligations under paragraph 1 or 2, and is not required to take the steps mentioned in this paragraph, to the extent that it follows specific instructions from its client when placing an order with, or transmitting an order to, another entity for execution.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5. Investment firms shall establish and implement a policy that enables them to comply with the obligation in paragraph 4. The policy shall identify, in respect of each class of instruments, the entities with which the orders are placed or to which the investment firm transmits orders for execution. The entities identified shall have execution arrangements that enable the investment firm to comply with its obligations under this Article when it places or transmits orders to that entity for execution.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6. Investment firms shall provide information to their clients on the policy established in accordance with paragraph 5 and paragraphs 2 to 9 of Article 66. Investment firms shall provide clients with appropriate information about the firm and its services and the entities chosen for execution. In particular, when the investment firm select other firms to provide order execution services, it shall summarise and make public, on an annual basis, for each class of financial instruments, the top five investment firms in terms of trading volumes where it transmitted or placed client orders for execution in the preceding year and information on the quality of execution obtained. The information shall be consistent with the information published in accordance with the technical standards developed under Article 27(10)(b) of Directive 2014/65/EU.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Upon reasonable request from a client, investment firms shall provide its clients or potential clients with information about entities where the orders are transmitted or placed for execution.</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6"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66(1)</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Investment firms shall review, at least on an annual basis execution policy established pursuant to Article 27(4) of Directive 2014/65/EU, as well as their order execution arrangements.</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Such a review shall also be carried out whenever a material change as defined in Article 65(7) occurs that affects the firm's ability to continue to obtain the best possible result for the execution of its client orders on a consistent basis using the venues included in its execution policy. An investment firm shall assess whether a material change has occurred and shall consider making changes to the relative importance of the best execution factors in meeting the overarching best execution requirement.</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7"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66(3)</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Investment firms shall provide clients with the following details on their execution policy in good time prior to the provision of the service: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an account of the relative importance the investment firm assigns, in accordance with the criteria specified in Article 59(1), to the factors referred to in Article 27(1) of Directive 2014/65/EU, or the process by which the firm determines the relative importance of those factors.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a list of the execution venues on which the firm places significant reliance in meeting its obligation to take all reasonable steps to obtain on a consistent basis the best possible result for the execution of client orders and specifying which execution venues are used for each class of financial instruments, for retail client orders, professional client orders and SFTs;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a list of factors used to select an execution venue, including qualitative factors such as clearing schemes, circuit breakers, scheduled actions, or any other relevant consideration, and the relative importance of each factor; The information about the factors used to select an execution venue for execution shall be consistent with the controls used </w:t>
            </w:r>
            <w:r w:rsidRPr="0021706D">
              <w:rPr>
                <w:rFonts w:ascii="Arial" w:hAnsi="Arial" w:cs="Arial"/>
                <w:sz w:val="16"/>
                <w:szCs w:val="16"/>
              </w:rPr>
              <w:lastRenderedPageBreak/>
              <w:t xml:space="preserve">by the firm to demonstrate to clients that best execution has been achieved in a consistent basis when reviewing the adequacy of its policy and arrangements;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how the execution factors of price costs, speed, likelihood of execution and any other relevant factors are considered as part of all sufficient steps to obtain the best possible result for the client;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where applicable, information that the firm executes orders outside a trading venue, the consequences, for example counterparty risk arising from execution outside a trading venue, and upon client request, additional information about the consequences of this means of execution;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a clear and prominent warning that any specific instructions from a client may prevent the firm from taking the steps that it has designed and implemented in its execution policy to obtain the best possible result for the execution of those orders in respect of the elements covered by those instructions; </w:t>
            </w:r>
          </w:p>
          <w:p w:rsidR="00196FBD" w:rsidRPr="0021706D" w:rsidRDefault="00196FBD" w:rsidP="00680764">
            <w:pPr>
              <w:pStyle w:val="ListParagraph"/>
              <w:numPr>
                <w:ilvl w:val="1"/>
                <w:numId w:val="34"/>
              </w:numPr>
              <w:spacing w:before="60" w:afterLines="60" w:after="144"/>
              <w:ind w:left="772"/>
              <w:rPr>
                <w:rFonts w:ascii="Arial" w:hAnsi="Arial" w:cs="Arial"/>
                <w:sz w:val="16"/>
                <w:szCs w:val="16"/>
              </w:rPr>
            </w:pPr>
            <w:r w:rsidRPr="0021706D">
              <w:rPr>
                <w:rFonts w:ascii="Arial" w:hAnsi="Arial" w:cs="Arial"/>
                <w:sz w:val="16"/>
                <w:szCs w:val="16"/>
              </w:rPr>
              <w:t xml:space="preserve">a summary of the selection process for execution venues, execution strategies employed, the procedures and process used to analyse the quality of execution obtained and how the firms monitor and verify that the best possible results were obtained for clients.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That information shall be provided in a durable medium, or by means of a website (where that does not constitute a durable medium) provided that the conditions specified in Article 3(2) are satisfied.</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8"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66(4)</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Where investment firms apply different fees depending on the execution venue, the firm shall explain these differences in sufficient detail in order to allow the client to understand the advantages and the disadvantages of the choice of a single execution venue.</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79"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66(7)</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Where an investment firm charges more than one participant in a transaction, in compliance with Article 24(9) of Directive 2014/65/EC and its implementing measures, the firm shall inform its clients of the value of any monetary or non-monetary benefits received by the firm.</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80"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66(9)</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Where an investment firm executes orders for retail clients, it shall provide those clients with a summary of the relevant policy, focused on the total costs they incur. The summary shall also provide a link to the most recent execution quality data published in accordance with Article 27(3) of Directive 2014/65/EC for each execution venue listed by the investment firm in its execution policy.</w:t>
            </w:r>
          </w:p>
        </w:tc>
        <w:tc>
          <w:tcPr>
            <w:tcW w:w="2693" w:type="dxa"/>
          </w:tcPr>
          <w:p w:rsidR="00196FBD" w:rsidRPr="0021706D" w:rsidRDefault="00196FBD" w:rsidP="00680764">
            <w:pPr>
              <w:spacing w:before="60" w:afterLines="60" w:after="144"/>
              <w:jc w:val="center"/>
              <w:rPr>
                <w:rFonts w:ascii="Arial" w:hAnsi="Arial" w:cs="Arial"/>
                <w:sz w:val="16"/>
                <w:szCs w:val="16"/>
              </w:rPr>
            </w:pPr>
          </w:p>
        </w:tc>
      </w:tr>
      <w:tr w:rsidR="00196FBD" w:rsidRPr="0021706D" w:rsidTr="00CB391B">
        <w:trPr>
          <w:jc w:val="center"/>
        </w:trPr>
        <w:tc>
          <w:tcPr>
            <w:tcW w:w="1276" w:type="dxa"/>
            <w:shd w:val="clear" w:color="auto" w:fill="auto"/>
          </w:tcPr>
          <w:p w:rsidR="00196FBD" w:rsidRPr="0021706D" w:rsidRDefault="00DF1DF8" w:rsidP="00A97D79">
            <w:pPr>
              <w:spacing w:before="60" w:afterLines="60" w:after="144"/>
              <w:rPr>
                <w:rFonts w:ascii="Arial" w:hAnsi="Arial" w:cs="Arial"/>
                <w:sz w:val="16"/>
                <w:szCs w:val="16"/>
              </w:rPr>
            </w:pPr>
            <w:hyperlink r:id="rId81" w:tgtFrame="_blank" w:history="1">
              <w:r w:rsidR="00196FBD" w:rsidRPr="0021706D">
                <w:rPr>
                  <w:rStyle w:val="Hyperlink"/>
                  <w:rFonts w:ascii="Arial" w:hAnsi="Arial" w:cs="Arial"/>
                  <w:color w:val="00675D"/>
                  <w:sz w:val="16"/>
                  <w:szCs w:val="16"/>
                  <w:shd w:val="clear" w:color="auto" w:fill="FFFFFF"/>
                </w:rPr>
                <w:t>DR1 - 25 April 2016</w:t>
              </w:r>
            </w:hyperlink>
          </w:p>
        </w:tc>
        <w:tc>
          <w:tcPr>
            <w:tcW w:w="1276" w:type="dxa"/>
            <w:shd w:val="clear" w:color="auto" w:fill="auto"/>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Article 69(2)</w:t>
            </w:r>
          </w:p>
        </w:tc>
        <w:tc>
          <w:tcPr>
            <w:tcW w:w="9497" w:type="dxa"/>
          </w:tcPr>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 xml:space="preserve">Where an investment firm aggregates a client order with a transaction for own account and the aggregated order is partially executed, it shall allocate the related trades to the client in priority to the firm. </w:t>
            </w:r>
          </w:p>
          <w:p w:rsidR="00196FBD" w:rsidRPr="0021706D" w:rsidRDefault="00196FBD" w:rsidP="00680764">
            <w:pPr>
              <w:spacing w:before="60" w:afterLines="60" w:after="144"/>
              <w:rPr>
                <w:rFonts w:ascii="Arial" w:hAnsi="Arial" w:cs="Arial"/>
                <w:sz w:val="16"/>
                <w:szCs w:val="16"/>
              </w:rPr>
            </w:pPr>
            <w:r w:rsidRPr="0021706D">
              <w:rPr>
                <w:rFonts w:ascii="Arial" w:hAnsi="Arial" w:cs="Arial"/>
                <w:sz w:val="16"/>
                <w:szCs w:val="16"/>
              </w:rPr>
              <w:t>Where an investment firm is able to demonstrate on reasonable grounds that without the combination it would not have been able to carry out the order on such advantageous terms, or at all, it may allocate the transaction for own account proportionally, in accordance with its order allocation policy referred to in Article 68(1)(c).</w:t>
            </w:r>
          </w:p>
        </w:tc>
        <w:tc>
          <w:tcPr>
            <w:tcW w:w="2693" w:type="dxa"/>
          </w:tcPr>
          <w:p w:rsidR="00196FBD" w:rsidRPr="0021706D" w:rsidRDefault="00196FBD" w:rsidP="00680764">
            <w:pPr>
              <w:spacing w:before="60" w:afterLines="60" w:after="144"/>
              <w:jc w:val="center"/>
              <w:rPr>
                <w:rFonts w:ascii="Arial" w:hAnsi="Arial" w:cs="Arial"/>
                <w:sz w:val="16"/>
                <w:szCs w:val="16"/>
              </w:rPr>
            </w:pPr>
          </w:p>
        </w:tc>
      </w:tr>
    </w:tbl>
    <w:p w:rsidR="00B17E70" w:rsidRPr="0021706D" w:rsidRDefault="00B17E70" w:rsidP="003D3994">
      <w:pPr>
        <w:rPr>
          <w:rFonts w:ascii="Arial" w:hAnsi="Arial" w:cs="Arial"/>
          <w:sz w:val="16"/>
          <w:szCs w:val="16"/>
        </w:rPr>
      </w:pPr>
    </w:p>
    <w:sectPr w:rsidR="00B17E70" w:rsidRPr="0021706D" w:rsidSect="00252D07">
      <w:headerReference w:type="default" r:id="rId82"/>
      <w:footerReference w:type="default" r:id="rId8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DF8" w:rsidRDefault="00DF1DF8" w:rsidP="002A53C7">
      <w:pPr>
        <w:spacing w:after="0" w:line="240" w:lineRule="auto"/>
      </w:pPr>
      <w:r>
        <w:separator/>
      </w:r>
    </w:p>
  </w:endnote>
  <w:endnote w:type="continuationSeparator" w:id="0">
    <w:p w:rsidR="00DF1DF8" w:rsidRDefault="00DF1DF8" w:rsidP="002A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ingLiU">
    <w:altName w:val="細明體"/>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D1" w:rsidRDefault="00FC4ED1">
    <w:pPr>
      <w:pStyle w:val="Footer"/>
    </w:pPr>
    <w:r>
      <w:t>`</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7"/>
      <w:gridCol w:w="4679"/>
    </w:tblGrid>
    <w:tr w:rsidR="00FC4ED1" w:rsidRPr="002A53C7" w:rsidTr="002A53C7">
      <w:trPr>
        <w:jc w:val="center"/>
      </w:trPr>
      <w:tc>
        <w:tcPr>
          <w:tcW w:w="7360" w:type="dxa"/>
          <w:vAlign w:val="center"/>
        </w:tcPr>
        <w:p w:rsidR="00FC4ED1" w:rsidRPr="002A53C7" w:rsidRDefault="00FC4ED1" w:rsidP="002A53C7">
          <w:pPr>
            <w:pStyle w:val="Footer"/>
            <w:numPr>
              <w:ilvl w:val="0"/>
              <w:numId w:val="25"/>
            </w:numPr>
          </w:pPr>
        </w:p>
      </w:tc>
      <w:tc>
        <w:tcPr>
          <w:tcW w:w="7360" w:type="dxa"/>
          <w:vAlign w:val="center"/>
        </w:tcPr>
        <w:p w:rsidR="00FC4ED1" w:rsidRPr="00966B5C" w:rsidRDefault="00DF1DF8" w:rsidP="002A53C7">
          <w:pPr>
            <w:pStyle w:val="Footer"/>
            <w:numPr>
              <w:ilvl w:val="0"/>
              <w:numId w:val="25"/>
            </w:numPr>
            <w:jc w:val="center"/>
            <w:rPr>
              <w:rFonts w:ascii="Arial" w:hAnsi="Arial" w:cs="Arial"/>
              <w:sz w:val="16"/>
              <w:szCs w:val="16"/>
            </w:rPr>
          </w:pPr>
          <w:sdt>
            <w:sdtPr>
              <w:rPr>
                <w:rFonts w:ascii="Arial" w:hAnsi="Arial" w:cs="Arial"/>
                <w:sz w:val="16"/>
                <w:szCs w:val="16"/>
              </w:rPr>
              <w:id w:val="-456655141"/>
              <w:docPartObj>
                <w:docPartGallery w:val="Page Numbers (Top of Page)"/>
                <w:docPartUnique/>
              </w:docPartObj>
            </w:sdtPr>
            <w:sdtEndPr/>
            <w:sdtContent>
              <w:r w:rsidR="00FC4ED1" w:rsidRPr="00966B5C">
                <w:rPr>
                  <w:rFonts w:ascii="Arial" w:hAnsi="Arial" w:cs="Arial"/>
                  <w:sz w:val="16"/>
                  <w:szCs w:val="16"/>
                </w:rPr>
                <w:t xml:space="preserve">Page </w:t>
              </w:r>
              <w:r w:rsidR="00FC4ED1" w:rsidRPr="00966B5C">
                <w:rPr>
                  <w:rFonts w:ascii="Arial" w:hAnsi="Arial" w:cs="Arial"/>
                  <w:sz w:val="16"/>
                  <w:szCs w:val="16"/>
                </w:rPr>
                <w:fldChar w:fldCharType="begin"/>
              </w:r>
              <w:r w:rsidR="00FC4ED1" w:rsidRPr="00966B5C">
                <w:rPr>
                  <w:rFonts w:ascii="Arial" w:hAnsi="Arial" w:cs="Arial"/>
                  <w:sz w:val="16"/>
                  <w:szCs w:val="16"/>
                </w:rPr>
                <w:instrText xml:space="preserve"> PAGE  </w:instrText>
              </w:r>
              <w:r w:rsidR="00FC4ED1" w:rsidRPr="00966B5C">
                <w:rPr>
                  <w:rFonts w:ascii="Arial" w:hAnsi="Arial" w:cs="Arial"/>
                  <w:sz w:val="16"/>
                  <w:szCs w:val="16"/>
                </w:rPr>
                <w:fldChar w:fldCharType="separate"/>
              </w:r>
              <w:r w:rsidR="003C2EBE">
                <w:rPr>
                  <w:rFonts w:ascii="Arial" w:hAnsi="Arial" w:cs="Arial"/>
                  <w:noProof/>
                  <w:sz w:val="16"/>
                  <w:szCs w:val="16"/>
                </w:rPr>
                <w:t>1</w:t>
              </w:r>
              <w:r w:rsidR="00FC4ED1" w:rsidRPr="00966B5C">
                <w:rPr>
                  <w:rFonts w:ascii="Arial" w:hAnsi="Arial" w:cs="Arial"/>
                  <w:sz w:val="16"/>
                  <w:szCs w:val="16"/>
                </w:rPr>
                <w:fldChar w:fldCharType="end"/>
              </w:r>
              <w:r w:rsidR="00FC4ED1" w:rsidRPr="00966B5C">
                <w:rPr>
                  <w:rFonts w:ascii="Arial" w:hAnsi="Arial" w:cs="Arial"/>
                  <w:sz w:val="16"/>
                  <w:szCs w:val="16"/>
                </w:rPr>
                <w:t xml:space="preserve"> of </w:t>
              </w:r>
              <w:r w:rsidR="00FC4ED1" w:rsidRPr="00966B5C">
                <w:rPr>
                  <w:rFonts w:ascii="Arial" w:hAnsi="Arial" w:cs="Arial"/>
                  <w:sz w:val="16"/>
                  <w:szCs w:val="16"/>
                </w:rPr>
                <w:fldChar w:fldCharType="begin"/>
              </w:r>
              <w:r w:rsidR="00FC4ED1" w:rsidRPr="00966B5C">
                <w:rPr>
                  <w:rFonts w:ascii="Arial" w:hAnsi="Arial" w:cs="Arial"/>
                  <w:sz w:val="16"/>
                  <w:szCs w:val="16"/>
                </w:rPr>
                <w:instrText xml:space="preserve"> NUMPAGES  </w:instrText>
              </w:r>
              <w:r w:rsidR="00FC4ED1" w:rsidRPr="00966B5C">
                <w:rPr>
                  <w:rFonts w:ascii="Arial" w:hAnsi="Arial" w:cs="Arial"/>
                  <w:sz w:val="16"/>
                  <w:szCs w:val="16"/>
                </w:rPr>
                <w:fldChar w:fldCharType="separate"/>
              </w:r>
              <w:r w:rsidR="003C2EBE">
                <w:rPr>
                  <w:rFonts w:ascii="Arial" w:hAnsi="Arial" w:cs="Arial"/>
                  <w:noProof/>
                  <w:sz w:val="16"/>
                  <w:szCs w:val="16"/>
                </w:rPr>
                <w:t>24</w:t>
              </w:r>
              <w:r w:rsidR="00FC4ED1" w:rsidRPr="00966B5C">
                <w:rPr>
                  <w:rFonts w:ascii="Arial" w:hAnsi="Arial" w:cs="Arial"/>
                  <w:sz w:val="16"/>
                  <w:szCs w:val="16"/>
                </w:rPr>
                <w:fldChar w:fldCharType="end"/>
              </w:r>
            </w:sdtContent>
          </w:sdt>
        </w:p>
      </w:tc>
      <w:tc>
        <w:tcPr>
          <w:tcW w:w="7360" w:type="dxa"/>
          <w:vAlign w:val="center"/>
        </w:tcPr>
        <w:p w:rsidR="00FC4ED1" w:rsidRPr="002A53C7" w:rsidRDefault="00FC4ED1" w:rsidP="002A53C7">
          <w:pPr>
            <w:pStyle w:val="Footer"/>
            <w:numPr>
              <w:ilvl w:val="0"/>
              <w:numId w:val="25"/>
            </w:numPr>
            <w:jc w:val="right"/>
            <w:rPr>
              <w:rFonts w:ascii="Arial" w:hAnsi="Arial" w:cs="Arial"/>
              <w:sz w:val="16"/>
              <w:szCs w:val="16"/>
            </w:rPr>
          </w:pPr>
        </w:p>
      </w:tc>
    </w:tr>
  </w:tbl>
  <w:p w:rsidR="00FC4ED1" w:rsidRDefault="00FC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DF8" w:rsidRDefault="00DF1DF8" w:rsidP="002A53C7">
      <w:pPr>
        <w:spacing w:after="0" w:line="240" w:lineRule="auto"/>
      </w:pPr>
      <w:r>
        <w:separator/>
      </w:r>
    </w:p>
  </w:footnote>
  <w:footnote w:type="continuationSeparator" w:id="0">
    <w:p w:rsidR="00DF1DF8" w:rsidRDefault="00DF1DF8" w:rsidP="002A5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ED1" w:rsidRDefault="00FC4ED1">
    <w:pPr>
      <w:pStyle w:val="Header"/>
    </w:pPr>
    <w:r>
      <w:rPr>
        <w:noProof/>
        <w:lang w:eastAsia="en-GB"/>
      </w:rPr>
      <w:drawing>
        <wp:anchor distT="0" distB="0" distL="114300" distR="114300" simplePos="0" relativeHeight="251659264" behindDoc="0" locked="0" layoutInCell="1" allowOverlap="1" wp14:anchorId="2560C378" wp14:editId="0C379789">
          <wp:simplePos x="0" y="0"/>
          <wp:positionH relativeFrom="column">
            <wp:posOffset>7181850</wp:posOffset>
          </wp:positionH>
          <wp:positionV relativeFrom="paragraph">
            <wp:posOffset>-163830</wp:posOffset>
          </wp:positionV>
          <wp:extent cx="2505075" cy="608330"/>
          <wp:effectExtent l="0" t="0" r="952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083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BE8BEBA"/>
    <w:lvl w:ilvl="0">
      <w:start w:val="1"/>
      <w:numFmt w:val="lowerLetter"/>
      <w:pStyle w:val="ListBullet3"/>
      <w:lvlText w:val="%1)"/>
      <w:lvlJc w:val="left"/>
      <w:pPr>
        <w:tabs>
          <w:tab w:val="num" w:pos="926"/>
        </w:tabs>
        <w:ind w:left="926" w:hanging="360"/>
      </w:pPr>
      <w:rPr>
        <w:rFonts w:ascii="Arial" w:eastAsiaTheme="minorHAnsi" w:hAnsi="Arial" w:cs="Arial"/>
      </w:rPr>
    </w:lvl>
  </w:abstractNum>
  <w:abstractNum w:abstractNumId="1" w15:restartNumberingAfterBreak="0">
    <w:nsid w:val="FFFFFF83"/>
    <w:multiLevelType w:val="singleLevel"/>
    <w:tmpl w:val="967A5EE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BF4FB9"/>
    <w:multiLevelType w:val="hybridMultilevel"/>
    <w:tmpl w:val="E2BA95D2"/>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40DE5"/>
    <w:multiLevelType w:val="hybridMultilevel"/>
    <w:tmpl w:val="DAACB106"/>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D3F1D"/>
    <w:multiLevelType w:val="hybridMultilevel"/>
    <w:tmpl w:val="07D0339A"/>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FF57D6"/>
    <w:multiLevelType w:val="hybridMultilevel"/>
    <w:tmpl w:val="3FB4645C"/>
    <w:lvl w:ilvl="0" w:tplc="8B5CBA1E">
      <w:start w:val="1"/>
      <w:numFmt w:val="decimal"/>
      <w:pStyle w:val="ListNumber2"/>
      <w:lvlText w:val="%1)"/>
      <w:lvlJc w:val="left"/>
      <w:pPr>
        <w:ind w:left="1077"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647094C"/>
    <w:multiLevelType w:val="hybridMultilevel"/>
    <w:tmpl w:val="5DEA6D54"/>
    <w:lvl w:ilvl="0" w:tplc="C8562E9C">
      <w:start w:val="1"/>
      <w:numFmt w:val="lowerRoman"/>
      <w:lvlText w:val="(%1)"/>
      <w:lvlJc w:val="left"/>
      <w:pPr>
        <w:ind w:left="1080" w:hanging="720"/>
      </w:pPr>
      <w:rPr>
        <w:rFonts w:hint="default"/>
      </w:rPr>
    </w:lvl>
    <w:lvl w:ilvl="1" w:tplc="9B4408A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237383"/>
    <w:multiLevelType w:val="hybridMultilevel"/>
    <w:tmpl w:val="F9E8E3AA"/>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6F6463"/>
    <w:multiLevelType w:val="hybridMultilevel"/>
    <w:tmpl w:val="FC0E32FC"/>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DD4722"/>
    <w:multiLevelType w:val="hybridMultilevel"/>
    <w:tmpl w:val="898A0FF0"/>
    <w:lvl w:ilvl="0" w:tplc="DB0C16D8">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113626"/>
    <w:multiLevelType w:val="multilevel"/>
    <w:tmpl w:val="30B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423F4"/>
    <w:multiLevelType w:val="hybridMultilevel"/>
    <w:tmpl w:val="890CF29A"/>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EE75DB"/>
    <w:multiLevelType w:val="multilevel"/>
    <w:tmpl w:val="46E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00FA"/>
    <w:multiLevelType w:val="hybridMultilevel"/>
    <w:tmpl w:val="E2BA95D2"/>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D2EDF"/>
    <w:multiLevelType w:val="hybridMultilevel"/>
    <w:tmpl w:val="763C4AA8"/>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FA7A36"/>
    <w:multiLevelType w:val="hybridMultilevel"/>
    <w:tmpl w:val="573C2B40"/>
    <w:lvl w:ilvl="0" w:tplc="C5FE1E98">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283140"/>
    <w:multiLevelType w:val="hybridMultilevel"/>
    <w:tmpl w:val="BE5A2DA8"/>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FC5EF1"/>
    <w:multiLevelType w:val="hybridMultilevel"/>
    <w:tmpl w:val="1E4A6272"/>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0D3C79"/>
    <w:multiLevelType w:val="hybridMultilevel"/>
    <w:tmpl w:val="1BA4EAC6"/>
    <w:lvl w:ilvl="0" w:tplc="9A1CA1BC">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447628"/>
    <w:multiLevelType w:val="hybridMultilevel"/>
    <w:tmpl w:val="98B4A12C"/>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EC6EBC"/>
    <w:multiLevelType w:val="hybridMultilevel"/>
    <w:tmpl w:val="0EA04EC4"/>
    <w:lvl w:ilvl="0" w:tplc="09E86836">
      <w:start w:val="1"/>
      <w:numFmt w:val="decimal"/>
      <w:pStyle w:val="ListNumber3"/>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23407C9C"/>
    <w:multiLevelType w:val="hybridMultilevel"/>
    <w:tmpl w:val="FCD62E0E"/>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3D6ED1"/>
    <w:multiLevelType w:val="multilevel"/>
    <w:tmpl w:val="2EF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84756B"/>
    <w:multiLevelType w:val="hybridMultilevel"/>
    <w:tmpl w:val="94225F66"/>
    <w:lvl w:ilvl="0" w:tplc="DB0C16D8">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42369D"/>
    <w:multiLevelType w:val="hybridMultilevel"/>
    <w:tmpl w:val="23D06292"/>
    <w:lvl w:ilvl="0" w:tplc="C8562E9C">
      <w:start w:val="1"/>
      <w:numFmt w:val="lowerRoman"/>
      <w:lvlText w:val="(%1)"/>
      <w:lvlJc w:val="left"/>
      <w:pPr>
        <w:ind w:left="1080" w:hanging="720"/>
      </w:pPr>
      <w:rPr>
        <w:rFonts w:hint="default"/>
      </w:rPr>
    </w:lvl>
    <w:lvl w:ilvl="1" w:tplc="DAC67E5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F1675D"/>
    <w:multiLevelType w:val="hybridMultilevel"/>
    <w:tmpl w:val="EDD25138"/>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712C2B"/>
    <w:multiLevelType w:val="hybridMultilevel"/>
    <w:tmpl w:val="54023CD4"/>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136AD0"/>
    <w:multiLevelType w:val="hybridMultilevel"/>
    <w:tmpl w:val="FC0E32FC"/>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C74DFE"/>
    <w:multiLevelType w:val="hybridMultilevel"/>
    <w:tmpl w:val="E3DAAB68"/>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696CB4"/>
    <w:multiLevelType w:val="hybridMultilevel"/>
    <w:tmpl w:val="E2BA95D2"/>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5E0BB2"/>
    <w:multiLevelType w:val="multilevel"/>
    <w:tmpl w:val="54D02D98"/>
    <w:numStyleLink w:val="PartNumbering"/>
  </w:abstractNum>
  <w:abstractNum w:abstractNumId="32" w15:restartNumberingAfterBreak="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2B307B"/>
    <w:multiLevelType w:val="multilevel"/>
    <w:tmpl w:val="4A02C01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DDD7A3B"/>
    <w:multiLevelType w:val="hybridMultilevel"/>
    <w:tmpl w:val="BD7CF47E"/>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EB55FDA"/>
    <w:multiLevelType w:val="multilevel"/>
    <w:tmpl w:val="CD1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E27C84"/>
    <w:multiLevelType w:val="multilevel"/>
    <w:tmpl w:val="6D8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A3717D"/>
    <w:multiLevelType w:val="multilevel"/>
    <w:tmpl w:val="4B3C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2E3A0E"/>
    <w:multiLevelType w:val="hybridMultilevel"/>
    <w:tmpl w:val="18500D9A"/>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17224F"/>
    <w:multiLevelType w:val="hybridMultilevel"/>
    <w:tmpl w:val="536E370E"/>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082DE3"/>
    <w:multiLevelType w:val="multilevel"/>
    <w:tmpl w:val="0D50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FB24EA"/>
    <w:multiLevelType w:val="multilevel"/>
    <w:tmpl w:val="9AE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E59CA"/>
    <w:multiLevelType w:val="hybridMultilevel"/>
    <w:tmpl w:val="877E9310"/>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E100C5"/>
    <w:multiLevelType w:val="multilevel"/>
    <w:tmpl w:val="C0367554"/>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152548F"/>
    <w:multiLevelType w:val="hybridMultilevel"/>
    <w:tmpl w:val="1310A7B2"/>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EF48CA"/>
    <w:multiLevelType w:val="hybridMultilevel"/>
    <w:tmpl w:val="A27A8C08"/>
    <w:lvl w:ilvl="0" w:tplc="E42E3C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FF4C57"/>
    <w:multiLevelType w:val="hybridMultilevel"/>
    <w:tmpl w:val="8962F2BA"/>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12037D"/>
    <w:multiLevelType w:val="hybridMultilevel"/>
    <w:tmpl w:val="E752E148"/>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DD4565"/>
    <w:multiLevelType w:val="hybridMultilevel"/>
    <w:tmpl w:val="CAB4E786"/>
    <w:lvl w:ilvl="0" w:tplc="DB0C16D8">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B35503"/>
    <w:multiLevelType w:val="hybridMultilevel"/>
    <w:tmpl w:val="9154EE12"/>
    <w:lvl w:ilvl="0" w:tplc="C5FE1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9B59AD"/>
    <w:multiLevelType w:val="hybridMultilevel"/>
    <w:tmpl w:val="8A50C882"/>
    <w:lvl w:ilvl="0" w:tplc="9A1CA1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8E29CB"/>
    <w:multiLevelType w:val="multilevel"/>
    <w:tmpl w:val="06E2487A"/>
    <w:numStyleLink w:val="ScheduleNumbering"/>
  </w:abstractNum>
  <w:abstractNum w:abstractNumId="52" w15:restartNumberingAfterBreak="0">
    <w:nsid w:val="75F22977"/>
    <w:multiLevelType w:val="hybridMultilevel"/>
    <w:tmpl w:val="0638EFCC"/>
    <w:lvl w:ilvl="0" w:tplc="DB0C1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ED039F"/>
    <w:multiLevelType w:val="hybridMultilevel"/>
    <w:tmpl w:val="FAA42ADC"/>
    <w:lvl w:ilvl="0" w:tplc="6E3C888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3E57D6"/>
    <w:multiLevelType w:val="multilevel"/>
    <w:tmpl w:val="02A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3"/>
  </w:num>
  <w:num w:numId="3">
    <w:abstractNumId w:val="43"/>
  </w:num>
  <w:num w:numId="4">
    <w:abstractNumId w:val="21"/>
  </w:num>
  <w:num w:numId="5">
    <w:abstractNumId w:val="1"/>
  </w:num>
  <w:num w:numId="6">
    <w:abstractNumId w:val="0"/>
  </w:num>
  <w:num w:numId="7">
    <w:abstractNumId w:val="53"/>
  </w:num>
  <w:num w:numId="8">
    <w:abstractNumId w:val="5"/>
  </w:num>
  <w:num w:numId="9">
    <w:abstractNumId w:val="3"/>
  </w:num>
  <w:num w:numId="10">
    <w:abstractNumId w:val="38"/>
  </w:num>
  <w:num w:numId="11">
    <w:abstractNumId w:val="48"/>
  </w:num>
  <w:num w:numId="12">
    <w:abstractNumId w:val="18"/>
  </w:num>
  <w:num w:numId="13">
    <w:abstractNumId w:val="8"/>
  </w:num>
  <w:num w:numId="14">
    <w:abstractNumId w:val="28"/>
  </w:num>
  <w:num w:numId="15">
    <w:abstractNumId w:val="9"/>
  </w:num>
  <w:num w:numId="16">
    <w:abstractNumId w:val="7"/>
  </w:num>
  <w:num w:numId="17">
    <w:abstractNumId w:val="52"/>
  </w:num>
  <w:num w:numId="18">
    <w:abstractNumId w:val="46"/>
  </w:num>
  <w:num w:numId="19">
    <w:abstractNumId w:val="13"/>
  </w:num>
  <w:num w:numId="20">
    <w:abstractNumId w:val="24"/>
  </w:num>
  <w:num w:numId="21">
    <w:abstractNumId w:val="14"/>
  </w:num>
  <w:num w:numId="22">
    <w:abstractNumId w:val="42"/>
  </w:num>
  <w:num w:numId="23">
    <w:abstractNumId w:val="27"/>
  </w:num>
  <w:num w:numId="24">
    <w:abstractNumId w:val="44"/>
  </w:num>
  <w:num w:numId="25">
    <w:abstractNumId w:val="15"/>
  </w:num>
  <w:num w:numId="26">
    <w:abstractNumId w:val="31"/>
  </w:num>
  <w:num w:numId="27">
    <w:abstractNumId w:val="32"/>
  </w:num>
  <w:num w:numId="28">
    <w:abstractNumId w:val="51"/>
  </w:num>
  <w:num w:numId="29">
    <w:abstractNumId w:val="19"/>
  </w:num>
  <w:num w:numId="30">
    <w:abstractNumId w:val="50"/>
  </w:num>
  <w:num w:numId="31">
    <w:abstractNumId w:val="45"/>
  </w:num>
  <w:num w:numId="32">
    <w:abstractNumId w:val="25"/>
  </w:num>
  <w:num w:numId="33">
    <w:abstractNumId w:val="11"/>
  </w:num>
  <w:num w:numId="34">
    <w:abstractNumId w:val="6"/>
  </w:num>
  <w:num w:numId="35">
    <w:abstractNumId w:val="30"/>
  </w:num>
  <w:num w:numId="36">
    <w:abstractNumId w:val="4"/>
  </w:num>
  <w:num w:numId="37">
    <w:abstractNumId w:val="20"/>
  </w:num>
  <w:num w:numId="38">
    <w:abstractNumId w:val="22"/>
  </w:num>
  <w:num w:numId="39">
    <w:abstractNumId w:val="2"/>
  </w:num>
  <w:num w:numId="40">
    <w:abstractNumId w:val="16"/>
  </w:num>
  <w:num w:numId="41">
    <w:abstractNumId w:val="17"/>
  </w:num>
  <w:num w:numId="42">
    <w:abstractNumId w:val="47"/>
  </w:num>
  <w:num w:numId="43">
    <w:abstractNumId w:val="29"/>
  </w:num>
  <w:num w:numId="44">
    <w:abstractNumId w:val="49"/>
  </w:num>
  <w:num w:numId="45">
    <w:abstractNumId w:val="39"/>
  </w:num>
  <w:num w:numId="46">
    <w:abstractNumId w:val="34"/>
  </w:num>
  <w:num w:numId="47">
    <w:abstractNumId w:val="26"/>
  </w:num>
  <w:num w:numId="48">
    <w:abstractNumId w:val="23"/>
  </w:num>
  <w:num w:numId="49">
    <w:abstractNumId w:val="36"/>
  </w:num>
  <w:num w:numId="50">
    <w:abstractNumId w:val="12"/>
  </w:num>
  <w:num w:numId="51">
    <w:abstractNumId w:val="35"/>
  </w:num>
  <w:num w:numId="52">
    <w:abstractNumId w:val="54"/>
  </w:num>
  <w:num w:numId="53">
    <w:abstractNumId w:val="10"/>
  </w:num>
  <w:num w:numId="54">
    <w:abstractNumId w:val="37"/>
  </w:num>
  <w:num w:numId="55">
    <w:abstractNumId w:val="40"/>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07"/>
    <w:rsid w:val="0000448B"/>
    <w:rsid w:val="00005323"/>
    <w:rsid w:val="00010EBF"/>
    <w:rsid w:val="00014D25"/>
    <w:rsid w:val="000160BC"/>
    <w:rsid w:val="00017D29"/>
    <w:rsid w:val="00023350"/>
    <w:rsid w:val="000239AB"/>
    <w:rsid w:val="000250A3"/>
    <w:rsid w:val="00027BDD"/>
    <w:rsid w:val="00030850"/>
    <w:rsid w:val="000339A4"/>
    <w:rsid w:val="00047D70"/>
    <w:rsid w:val="00061396"/>
    <w:rsid w:val="000711DA"/>
    <w:rsid w:val="000717C5"/>
    <w:rsid w:val="0008254D"/>
    <w:rsid w:val="00091356"/>
    <w:rsid w:val="000A5404"/>
    <w:rsid w:val="000B6949"/>
    <w:rsid w:val="000B7BB4"/>
    <w:rsid w:val="000C7B07"/>
    <w:rsid w:val="000D0235"/>
    <w:rsid w:val="000D28AA"/>
    <w:rsid w:val="000D30E4"/>
    <w:rsid w:val="000F1980"/>
    <w:rsid w:val="000F6E6E"/>
    <w:rsid w:val="000F7B3A"/>
    <w:rsid w:val="001029D6"/>
    <w:rsid w:val="001148FD"/>
    <w:rsid w:val="001159D8"/>
    <w:rsid w:val="00116D67"/>
    <w:rsid w:val="00121A6A"/>
    <w:rsid w:val="00124FE5"/>
    <w:rsid w:val="00125F6B"/>
    <w:rsid w:val="001305C8"/>
    <w:rsid w:val="00163C92"/>
    <w:rsid w:val="00167C94"/>
    <w:rsid w:val="001944B8"/>
    <w:rsid w:val="00196FBD"/>
    <w:rsid w:val="00197EEA"/>
    <w:rsid w:val="001A18AB"/>
    <w:rsid w:val="001A20C4"/>
    <w:rsid w:val="001A488C"/>
    <w:rsid w:val="001C02B8"/>
    <w:rsid w:val="001C3136"/>
    <w:rsid w:val="001C6A4A"/>
    <w:rsid w:val="001D2475"/>
    <w:rsid w:val="001F06A6"/>
    <w:rsid w:val="001F57B2"/>
    <w:rsid w:val="00211FFA"/>
    <w:rsid w:val="0021706D"/>
    <w:rsid w:val="0022302C"/>
    <w:rsid w:val="00237E4C"/>
    <w:rsid w:val="0024601D"/>
    <w:rsid w:val="00252D07"/>
    <w:rsid w:val="002542F3"/>
    <w:rsid w:val="00255770"/>
    <w:rsid w:val="00256330"/>
    <w:rsid w:val="002570E8"/>
    <w:rsid w:val="00262910"/>
    <w:rsid w:val="00263BF4"/>
    <w:rsid w:val="00264833"/>
    <w:rsid w:val="00270F5B"/>
    <w:rsid w:val="002711A5"/>
    <w:rsid w:val="00276202"/>
    <w:rsid w:val="002819F0"/>
    <w:rsid w:val="00286A84"/>
    <w:rsid w:val="00290EC7"/>
    <w:rsid w:val="002960CA"/>
    <w:rsid w:val="00297665"/>
    <w:rsid w:val="002A53C7"/>
    <w:rsid w:val="002C5403"/>
    <w:rsid w:val="002C707C"/>
    <w:rsid w:val="002D27DB"/>
    <w:rsid w:val="002D7C52"/>
    <w:rsid w:val="002E0293"/>
    <w:rsid w:val="002E09C9"/>
    <w:rsid w:val="002E5961"/>
    <w:rsid w:val="002E69B3"/>
    <w:rsid w:val="002E7257"/>
    <w:rsid w:val="002F3EEC"/>
    <w:rsid w:val="002F568A"/>
    <w:rsid w:val="003028ED"/>
    <w:rsid w:val="003063F4"/>
    <w:rsid w:val="00310B2D"/>
    <w:rsid w:val="00317E3D"/>
    <w:rsid w:val="003302AC"/>
    <w:rsid w:val="0034409E"/>
    <w:rsid w:val="00345A49"/>
    <w:rsid w:val="00345DF2"/>
    <w:rsid w:val="00347F04"/>
    <w:rsid w:val="00353F2F"/>
    <w:rsid w:val="003611A2"/>
    <w:rsid w:val="0036142C"/>
    <w:rsid w:val="00366016"/>
    <w:rsid w:val="00372129"/>
    <w:rsid w:val="00375FAC"/>
    <w:rsid w:val="003864BA"/>
    <w:rsid w:val="00390A0A"/>
    <w:rsid w:val="00395874"/>
    <w:rsid w:val="003A6001"/>
    <w:rsid w:val="003B003D"/>
    <w:rsid w:val="003B526E"/>
    <w:rsid w:val="003B52C6"/>
    <w:rsid w:val="003B5CF1"/>
    <w:rsid w:val="003C2EBE"/>
    <w:rsid w:val="003C674F"/>
    <w:rsid w:val="003C6D00"/>
    <w:rsid w:val="003D2564"/>
    <w:rsid w:val="003D3994"/>
    <w:rsid w:val="003E7E26"/>
    <w:rsid w:val="003F6C8C"/>
    <w:rsid w:val="004006F4"/>
    <w:rsid w:val="00400D79"/>
    <w:rsid w:val="00401BA0"/>
    <w:rsid w:val="004032A2"/>
    <w:rsid w:val="0040647F"/>
    <w:rsid w:val="00406A49"/>
    <w:rsid w:val="00413E24"/>
    <w:rsid w:val="00420E6D"/>
    <w:rsid w:val="00426AD3"/>
    <w:rsid w:val="004361CF"/>
    <w:rsid w:val="00444D4F"/>
    <w:rsid w:val="0044522E"/>
    <w:rsid w:val="00453879"/>
    <w:rsid w:val="0045571C"/>
    <w:rsid w:val="00462B37"/>
    <w:rsid w:val="00464B75"/>
    <w:rsid w:val="00471291"/>
    <w:rsid w:val="00484D95"/>
    <w:rsid w:val="00486862"/>
    <w:rsid w:val="00490980"/>
    <w:rsid w:val="00490CFC"/>
    <w:rsid w:val="004936F3"/>
    <w:rsid w:val="004976A6"/>
    <w:rsid w:val="004B3665"/>
    <w:rsid w:val="004B72D0"/>
    <w:rsid w:val="004C10C0"/>
    <w:rsid w:val="004C2328"/>
    <w:rsid w:val="004E4E8C"/>
    <w:rsid w:val="004F67AD"/>
    <w:rsid w:val="00502400"/>
    <w:rsid w:val="005242DC"/>
    <w:rsid w:val="00527B71"/>
    <w:rsid w:val="00527F0C"/>
    <w:rsid w:val="00532B3A"/>
    <w:rsid w:val="00534648"/>
    <w:rsid w:val="0053674B"/>
    <w:rsid w:val="005427EF"/>
    <w:rsid w:val="00543AC6"/>
    <w:rsid w:val="0054589D"/>
    <w:rsid w:val="005479CC"/>
    <w:rsid w:val="00553326"/>
    <w:rsid w:val="00554B0B"/>
    <w:rsid w:val="005567F7"/>
    <w:rsid w:val="00556F24"/>
    <w:rsid w:val="00562BDC"/>
    <w:rsid w:val="005640F9"/>
    <w:rsid w:val="00566028"/>
    <w:rsid w:val="00572D2E"/>
    <w:rsid w:val="0057642B"/>
    <w:rsid w:val="00580545"/>
    <w:rsid w:val="00580DED"/>
    <w:rsid w:val="00597A30"/>
    <w:rsid w:val="005A18E1"/>
    <w:rsid w:val="005A26A3"/>
    <w:rsid w:val="005A5ABF"/>
    <w:rsid w:val="005B5779"/>
    <w:rsid w:val="005C3C6C"/>
    <w:rsid w:val="005D3BBA"/>
    <w:rsid w:val="005F0397"/>
    <w:rsid w:val="005F26F9"/>
    <w:rsid w:val="005F57F1"/>
    <w:rsid w:val="00600C50"/>
    <w:rsid w:val="00604155"/>
    <w:rsid w:val="006068EB"/>
    <w:rsid w:val="006143C6"/>
    <w:rsid w:val="0061749F"/>
    <w:rsid w:val="006232C7"/>
    <w:rsid w:val="0063252D"/>
    <w:rsid w:val="00632758"/>
    <w:rsid w:val="006341DD"/>
    <w:rsid w:val="00643105"/>
    <w:rsid w:val="00656B3A"/>
    <w:rsid w:val="00665B63"/>
    <w:rsid w:val="00670122"/>
    <w:rsid w:val="00680764"/>
    <w:rsid w:val="00696DD3"/>
    <w:rsid w:val="006A1121"/>
    <w:rsid w:val="006B0907"/>
    <w:rsid w:val="006B1B05"/>
    <w:rsid w:val="006B5C66"/>
    <w:rsid w:val="006C187D"/>
    <w:rsid w:val="006C1926"/>
    <w:rsid w:val="006C6456"/>
    <w:rsid w:val="006C692B"/>
    <w:rsid w:val="006C7384"/>
    <w:rsid w:val="006D3879"/>
    <w:rsid w:val="006D6D41"/>
    <w:rsid w:val="006D6F37"/>
    <w:rsid w:val="006D7F95"/>
    <w:rsid w:val="006E0036"/>
    <w:rsid w:val="006E225F"/>
    <w:rsid w:val="006E3713"/>
    <w:rsid w:val="006F1245"/>
    <w:rsid w:val="007114A8"/>
    <w:rsid w:val="00711C9A"/>
    <w:rsid w:val="00713A14"/>
    <w:rsid w:val="00714557"/>
    <w:rsid w:val="00720C64"/>
    <w:rsid w:val="00723124"/>
    <w:rsid w:val="00724328"/>
    <w:rsid w:val="00732924"/>
    <w:rsid w:val="00746E07"/>
    <w:rsid w:val="007526C7"/>
    <w:rsid w:val="00753B27"/>
    <w:rsid w:val="007578D5"/>
    <w:rsid w:val="00764A91"/>
    <w:rsid w:val="00764F93"/>
    <w:rsid w:val="00774824"/>
    <w:rsid w:val="00775E21"/>
    <w:rsid w:val="007801D0"/>
    <w:rsid w:val="0079023B"/>
    <w:rsid w:val="0079778B"/>
    <w:rsid w:val="007A3964"/>
    <w:rsid w:val="007A6143"/>
    <w:rsid w:val="007B3D05"/>
    <w:rsid w:val="007B42E0"/>
    <w:rsid w:val="007C3E57"/>
    <w:rsid w:val="007D1736"/>
    <w:rsid w:val="007D2D73"/>
    <w:rsid w:val="007D3CFE"/>
    <w:rsid w:val="007E2D97"/>
    <w:rsid w:val="007E4331"/>
    <w:rsid w:val="007F0B77"/>
    <w:rsid w:val="007F54E2"/>
    <w:rsid w:val="00800060"/>
    <w:rsid w:val="00807D78"/>
    <w:rsid w:val="00811015"/>
    <w:rsid w:val="008147E6"/>
    <w:rsid w:val="008163E2"/>
    <w:rsid w:val="00816C43"/>
    <w:rsid w:val="00817B3D"/>
    <w:rsid w:val="00823EF8"/>
    <w:rsid w:val="00825AD6"/>
    <w:rsid w:val="00826622"/>
    <w:rsid w:val="00830502"/>
    <w:rsid w:val="008441D6"/>
    <w:rsid w:val="00844CDB"/>
    <w:rsid w:val="008464CF"/>
    <w:rsid w:val="00856488"/>
    <w:rsid w:val="008564C9"/>
    <w:rsid w:val="00860ECB"/>
    <w:rsid w:val="00875A6B"/>
    <w:rsid w:val="00876E1E"/>
    <w:rsid w:val="008771C5"/>
    <w:rsid w:val="00881B3B"/>
    <w:rsid w:val="008850C7"/>
    <w:rsid w:val="00893C4C"/>
    <w:rsid w:val="008952E1"/>
    <w:rsid w:val="00895797"/>
    <w:rsid w:val="008974F4"/>
    <w:rsid w:val="008A11D5"/>
    <w:rsid w:val="008A3CE0"/>
    <w:rsid w:val="008A5177"/>
    <w:rsid w:val="008C3041"/>
    <w:rsid w:val="008C708A"/>
    <w:rsid w:val="008D288A"/>
    <w:rsid w:val="008E5D40"/>
    <w:rsid w:val="008E7FA3"/>
    <w:rsid w:val="008F3DDB"/>
    <w:rsid w:val="008F3F8A"/>
    <w:rsid w:val="008F6C55"/>
    <w:rsid w:val="0090162A"/>
    <w:rsid w:val="00912BEC"/>
    <w:rsid w:val="00914983"/>
    <w:rsid w:val="00914FAA"/>
    <w:rsid w:val="0091597F"/>
    <w:rsid w:val="00917294"/>
    <w:rsid w:val="0093467E"/>
    <w:rsid w:val="00934E6C"/>
    <w:rsid w:val="0093508F"/>
    <w:rsid w:val="00937B7E"/>
    <w:rsid w:val="00941CBE"/>
    <w:rsid w:val="00945550"/>
    <w:rsid w:val="00950DFF"/>
    <w:rsid w:val="0095105D"/>
    <w:rsid w:val="00953F84"/>
    <w:rsid w:val="0095765E"/>
    <w:rsid w:val="00957E2E"/>
    <w:rsid w:val="00966B5C"/>
    <w:rsid w:val="009749E8"/>
    <w:rsid w:val="0097794E"/>
    <w:rsid w:val="00982FBB"/>
    <w:rsid w:val="00983B88"/>
    <w:rsid w:val="00986549"/>
    <w:rsid w:val="009912AE"/>
    <w:rsid w:val="009936BC"/>
    <w:rsid w:val="00993D58"/>
    <w:rsid w:val="00995963"/>
    <w:rsid w:val="009A67C2"/>
    <w:rsid w:val="009C3983"/>
    <w:rsid w:val="009C615F"/>
    <w:rsid w:val="009C61C3"/>
    <w:rsid w:val="009C7F6D"/>
    <w:rsid w:val="009D1CAD"/>
    <w:rsid w:val="009E24D9"/>
    <w:rsid w:val="009F29C8"/>
    <w:rsid w:val="009F6340"/>
    <w:rsid w:val="00A05808"/>
    <w:rsid w:val="00A13C5F"/>
    <w:rsid w:val="00A13FE0"/>
    <w:rsid w:val="00A14563"/>
    <w:rsid w:val="00A21E77"/>
    <w:rsid w:val="00A30A9C"/>
    <w:rsid w:val="00A32AED"/>
    <w:rsid w:val="00A357EB"/>
    <w:rsid w:val="00A35E1F"/>
    <w:rsid w:val="00A556CD"/>
    <w:rsid w:val="00A70061"/>
    <w:rsid w:val="00A76BF9"/>
    <w:rsid w:val="00A777BD"/>
    <w:rsid w:val="00A900E1"/>
    <w:rsid w:val="00AA3A5F"/>
    <w:rsid w:val="00AC2CB6"/>
    <w:rsid w:val="00AC2E65"/>
    <w:rsid w:val="00AC2FB2"/>
    <w:rsid w:val="00AC6B4B"/>
    <w:rsid w:val="00AD14D4"/>
    <w:rsid w:val="00AD17B5"/>
    <w:rsid w:val="00AE0A4E"/>
    <w:rsid w:val="00AE26B0"/>
    <w:rsid w:val="00B01D27"/>
    <w:rsid w:val="00B020B4"/>
    <w:rsid w:val="00B076C1"/>
    <w:rsid w:val="00B1264A"/>
    <w:rsid w:val="00B15E31"/>
    <w:rsid w:val="00B16A05"/>
    <w:rsid w:val="00B17E70"/>
    <w:rsid w:val="00B30E05"/>
    <w:rsid w:val="00B370A8"/>
    <w:rsid w:val="00B41ED5"/>
    <w:rsid w:val="00B55738"/>
    <w:rsid w:val="00B6227E"/>
    <w:rsid w:val="00B6446D"/>
    <w:rsid w:val="00B668FB"/>
    <w:rsid w:val="00B71F17"/>
    <w:rsid w:val="00B72D67"/>
    <w:rsid w:val="00B76353"/>
    <w:rsid w:val="00B76A05"/>
    <w:rsid w:val="00B77551"/>
    <w:rsid w:val="00B825C1"/>
    <w:rsid w:val="00B82F87"/>
    <w:rsid w:val="00B83FF2"/>
    <w:rsid w:val="00B87B8A"/>
    <w:rsid w:val="00BA3278"/>
    <w:rsid w:val="00BB427E"/>
    <w:rsid w:val="00BB6E77"/>
    <w:rsid w:val="00BC1CC7"/>
    <w:rsid w:val="00BC3CE5"/>
    <w:rsid w:val="00BC63CC"/>
    <w:rsid w:val="00BD3222"/>
    <w:rsid w:val="00BD5CE5"/>
    <w:rsid w:val="00BE1E28"/>
    <w:rsid w:val="00BE3153"/>
    <w:rsid w:val="00BE49C9"/>
    <w:rsid w:val="00BF1DA3"/>
    <w:rsid w:val="00BF59FC"/>
    <w:rsid w:val="00C04A24"/>
    <w:rsid w:val="00C05882"/>
    <w:rsid w:val="00C110C4"/>
    <w:rsid w:val="00C1282E"/>
    <w:rsid w:val="00C1557F"/>
    <w:rsid w:val="00C16590"/>
    <w:rsid w:val="00C16620"/>
    <w:rsid w:val="00C306C8"/>
    <w:rsid w:val="00C31E43"/>
    <w:rsid w:val="00C44048"/>
    <w:rsid w:val="00C45C07"/>
    <w:rsid w:val="00C46947"/>
    <w:rsid w:val="00C52063"/>
    <w:rsid w:val="00C57AC8"/>
    <w:rsid w:val="00C65564"/>
    <w:rsid w:val="00C65C6D"/>
    <w:rsid w:val="00C74958"/>
    <w:rsid w:val="00C83361"/>
    <w:rsid w:val="00C836B0"/>
    <w:rsid w:val="00C86A91"/>
    <w:rsid w:val="00CA24B3"/>
    <w:rsid w:val="00CA460B"/>
    <w:rsid w:val="00CA4A3A"/>
    <w:rsid w:val="00CB2152"/>
    <w:rsid w:val="00CB391B"/>
    <w:rsid w:val="00CB51F3"/>
    <w:rsid w:val="00CC57C7"/>
    <w:rsid w:val="00CD6748"/>
    <w:rsid w:val="00CE2BFA"/>
    <w:rsid w:val="00CE61B9"/>
    <w:rsid w:val="00CE6223"/>
    <w:rsid w:val="00CE712F"/>
    <w:rsid w:val="00CF1072"/>
    <w:rsid w:val="00CF1AE0"/>
    <w:rsid w:val="00CF6CFE"/>
    <w:rsid w:val="00D1116B"/>
    <w:rsid w:val="00D20517"/>
    <w:rsid w:val="00D2269A"/>
    <w:rsid w:val="00D264DB"/>
    <w:rsid w:val="00D35D11"/>
    <w:rsid w:val="00D40AD2"/>
    <w:rsid w:val="00D4443D"/>
    <w:rsid w:val="00D4673C"/>
    <w:rsid w:val="00D475CF"/>
    <w:rsid w:val="00D507C7"/>
    <w:rsid w:val="00D52926"/>
    <w:rsid w:val="00D53846"/>
    <w:rsid w:val="00D53A20"/>
    <w:rsid w:val="00D53ACB"/>
    <w:rsid w:val="00D662A8"/>
    <w:rsid w:val="00D662B5"/>
    <w:rsid w:val="00D701ED"/>
    <w:rsid w:val="00D7194C"/>
    <w:rsid w:val="00D76D87"/>
    <w:rsid w:val="00D7724A"/>
    <w:rsid w:val="00D805E6"/>
    <w:rsid w:val="00D85FE4"/>
    <w:rsid w:val="00D93898"/>
    <w:rsid w:val="00DB7EAA"/>
    <w:rsid w:val="00DC3C2D"/>
    <w:rsid w:val="00DC3D56"/>
    <w:rsid w:val="00DC7280"/>
    <w:rsid w:val="00DD535D"/>
    <w:rsid w:val="00DD5C05"/>
    <w:rsid w:val="00DE1BEA"/>
    <w:rsid w:val="00DE1E8C"/>
    <w:rsid w:val="00DF1DF8"/>
    <w:rsid w:val="00DF5CBB"/>
    <w:rsid w:val="00DF7857"/>
    <w:rsid w:val="00DF7ED9"/>
    <w:rsid w:val="00E00E2D"/>
    <w:rsid w:val="00E126F4"/>
    <w:rsid w:val="00E220C2"/>
    <w:rsid w:val="00E22271"/>
    <w:rsid w:val="00E32927"/>
    <w:rsid w:val="00E3334C"/>
    <w:rsid w:val="00E40D8A"/>
    <w:rsid w:val="00E50382"/>
    <w:rsid w:val="00E64CCB"/>
    <w:rsid w:val="00E7319F"/>
    <w:rsid w:val="00E75FF8"/>
    <w:rsid w:val="00E76619"/>
    <w:rsid w:val="00E77B3C"/>
    <w:rsid w:val="00E77FAE"/>
    <w:rsid w:val="00E82292"/>
    <w:rsid w:val="00E82F61"/>
    <w:rsid w:val="00E94136"/>
    <w:rsid w:val="00E955D8"/>
    <w:rsid w:val="00EA10F3"/>
    <w:rsid w:val="00EB1087"/>
    <w:rsid w:val="00EB75A9"/>
    <w:rsid w:val="00EC42B6"/>
    <w:rsid w:val="00EC456B"/>
    <w:rsid w:val="00EC6721"/>
    <w:rsid w:val="00EC7D3D"/>
    <w:rsid w:val="00ED3FFF"/>
    <w:rsid w:val="00ED43BE"/>
    <w:rsid w:val="00EF5594"/>
    <w:rsid w:val="00EF5AE4"/>
    <w:rsid w:val="00EF5B8B"/>
    <w:rsid w:val="00F15AA6"/>
    <w:rsid w:val="00F25BF8"/>
    <w:rsid w:val="00F271DA"/>
    <w:rsid w:val="00F27E1D"/>
    <w:rsid w:val="00F32FC9"/>
    <w:rsid w:val="00F34891"/>
    <w:rsid w:val="00F36272"/>
    <w:rsid w:val="00F3790D"/>
    <w:rsid w:val="00F40F7B"/>
    <w:rsid w:val="00F42340"/>
    <w:rsid w:val="00F43D63"/>
    <w:rsid w:val="00F451BC"/>
    <w:rsid w:val="00F47023"/>
    <w:rsid w:val="00F47D22"/>
    <w:rsid w:val="00F5182D"/>
    <w:rsid w:val="00F543B0"/>
    <w:rsid w:val="00F647D6"/>
    <w:rsid w:val="00F71B46"/>
    <w:rsid w:val="00F743E0"/>
    <w:rsid w:val="00F7605F"/>
    <w:rsid w:val="00F83F60"/>
    <w:rsid w:val="00F9052C"/>
    <w:rsid w:val="00F90BEE"/>
    <w:rsid w:val="00F9287F"/>
    <w:rsid w:val="00FA3EF0"/>
    <w:rsid w:val="00FA4BDB"/>
    <w:rsid w:val="00FA67A5"/>
    <w:rsid w:val="00FA7ACC"/>
    <w:rsid w:val="00FB45E9"/>
    <w:rsid w:val="00FC1C3A"/>
    <w:rsid w:val="00FC4ED1"/>
    <w:rsid w:val="00FD1145"/>
    <w:rsid w:val="00FD5202"/>
    <w:rsid w:val="00FE1BA4"/>
    <w:rsid w:val="00FE4983"/>
    <w:rsid w:val="00FF1577"/>
    <w:rsid w:val="00FF3366"/>
    <w:rsid w:val="00FF43DD"/>
    <w:rsid w:val="00FF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B3A"/>
  </w:style>
  <w:style w:type="paragraph" w:styleId="Heading1">
    <w:name w:val="heading 1"/>
    <w:basedOn w:val="Normal"/>
    <w:next w:val="BodyText"/>
    <w:link w:val="Heading1Char"/>
    <w:uiPriority w:val="9"/>
    <w:qFormat/>
    <w:rsid w:val="00124FE5"/>
    <w:pPr>
      <w:keepNext/>
      <w:keepLines/>
      <w:numPr>
        <w:numId w:val="2"/>
      </w:numPr>
      <w:spacing w:before="480" w:after="240" w:line="240" w:lineRule="auto"/>
      <w:outlineLvl w:val="0"/>
    </w:pPr>
    <w:rPr>
      <w:rFonts w:ascii="Arial" w:eastAsiaTheme="majorEastAsia" w:hAnsi="Arial" w:cstheme="majorBidi"/>
      <w:b/>
      <w:bCs/>
      <w:caps/>
      <w:color w:val="000000" w:themeColor="text1"/>
      <w:sz w:val="20"/>
      <w:szCs w:val="28"/>
      <w:u w:val="single"/>
    </w:rPr>
  </w:style>
  <w:style w:type="paragraph" w:styleId="Heading2">
    <w:name w:val="heading 2"/>
    <w:basedOn w:val="Heading1"/>
    <w:next w:val="BodyText2"/>
    <w:link w:val="Heading2Char"/>
    <w:uiPriority w:val="9"/>
    <w:unhideWhenUsed/>
    <w:qFormat/>
    <w:rsid w:val="00124FE5"/>
    <w:pPr>
      <w:numPr>
        <w:ilvl w:val="1"/>
      </w:numPr>
      <w:spacing w:before="240"/>
      <w:outlineLvl w:val="1"/>
    </w:pPr>
    <w:rPr>
      <w:caps w:val="0"/>
      <w:u w:val="none"/>
    </w:rPr>
  </w:style>
  <w:style w:type="paragraph" w:styleId="Heading3">
    <w:name w:val="heading 3"/>
    <w:basedOn w:val="Heading2"/>
    <w:next w:val="BodyText3"/>
    <w:link w:val="Heading3Char"/>
    <w:uiPriority w:val="9"/>
    <w:unhideWhenUsed/>
    <w:qFormat/>
    <w:rsid w:val="00124FE5"/>
    <w:pPr>
      <w:numPr>
        <w:ilvl w:val="2"/>
        <w:numId w:val="1"/>
      </w:numPr>
      <w:ind w:left="1225" w:hanging="505"/>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24FE5"/>
    <w:pPr>
      <w:spacing w:before="240" w:after="240" w:line="240" w:lineRule="auto"/>
    </w:pPr>
    <w:rPr>
      <w:rFonts w:ascii="Arial" w:hAnsi="Arial"/>
      <w:sz w:val="20"/>
    </w:rPr>
  </w:style>
  <w:style w:type="character" w:customStyle="1" w:styleId="BodyTextChar">
    <w:name w:val="Body Text Char"/>
    <w:basedOn w:val="DefaultParagraphFont"/>
    <w:link w:val="BodyText"/>
    <w:uiPriority w:val="99"/>
    <w:rsid w:val="00124FE5"/>
    <w:rPr>
      <w:rFonts w:ascii="Arial" w:hAnsi="Arial"/>
      <w:sz w:val="20"/>
    </w:rPr>
  </w:style>
  <w:style w:type="character" w:customStyle="1" w:styleId="Heading1Char">
    <w:name w:val="Heading 1 Char"/>
    <w:basedOn w:val="DefaultParagraphFont"/>
    <w:link w:val="Heading1"/>
    <w:uiPriority w:val="9"/>
    <w:rsid w:val="000F7B3A"/>
    <w:rPr>
      <w:rFonts w:ascii="Arial" w:eastAsiaTheme="majorEastAsia" w:hAnsi="Arial" w:cstheme="majorBidi"/>
      <w:b/>
      <w:bCs/>
      <w:caps/>
      <w:color w:val="000000" w:themeColor="text1"/>
      <w:sz w:val="20"/>
      <w:szCs w:val="28"/>
      <w:u w:val="single"/>
    </w:rPr>
  </w:style>
  <w:style w:type="character" w:customStyle="1" w:styleId="Heading2Char">
    <w:name w:val="Heading 2 Char"/>
    <w:basedOn w:val="DefaultParagraphFont"/>
    <w:link w:val="Heading2"/>
    <w:uiPriority w:val="9"/>
    <w:rsid w:val="00124FE5"/>
    <w:rPr>
      <w:rFonts w:ascii="Arial" w:eastAsiaTheme="majorEastAsia" w:hAnsi="Arial" w:cstheme="majorBidi"/>
      <w:b/>
      <w:bCs/>
      <w:color w:val="000000" w:themeColor="text1"/>
      <w:sz w:val="20"/>
      <w:szCs w:val="28"/>
    </w:rPr>
  </w:style>
  <w:style w:type="paragraph" w:styleId="BodyText2">
    <w:name w:val="Body Text 2"/>
    <w:basedOn w:val="BodyText"/>
    <w:link w:val="BodyText2Char"/>
    <w:uiPriority w:val="99"/>
    <w:unhideWhenUsed/>
    <w:qFormat/>
    <w:rsid w:val="00124FE5"/>
    <w:pPr>
      <w:ind w:left="357"/>
    </w:pPr>
  </w:style>
  <w:style w:type="character" w:customStyle="1" w:styleId="BodyText2Char">
    <w:name w:val="Body Text 2 Char"/>
    <w:basedOn w:val="DefaultParagraphFont"/>
    <w:link w:val="BodyText2"/>
    <w:uiPriority w:val="99"/>
    <w:rsid w:val="00124FE5"/>
    <w:rPr>
      <w:rFonts w:ascii="Arial" w:hAnsi="Arial"/>
      <w:sz w:val="20"/>
    </w:rPr>
  </w:style>
  <w:style w:type="character" w:customStyle="1" w:styleId="Heading3Char">
    <w:name w:val="Heading 3 Char"/>
    <w:basedOn w:val="DefaultParagraphFont"/>
    <w:link w:val="Heading3"/>
    <w:uiPriority w:val="9"/>
    <w:rsid w:val="00124FE5"/>
    <w:rPr>
      <w:rFonts w:ascii="Arial" w:eastAsiaTheme="majorEastAsia" w:hAnsi="Arial" w:cstheme="majorBidi"/>
      <w:bCs/>
      <w:i/>
      <w:color w:val="000000" w:themeColor="text1"/>
      <w:sz w:val="20"/>
      <w:szCs w:val="28"/>
    </w:rPr>
  </w:style>
  <w:style w:type="paragraph" w:styleId="BodyText3">
    <w:name w:val="Body Text 3"/>
    <w:basedOn w:val="BodyText"/>
    <w:next w:val="BodyText2"/>
    <w:link w:val="BodyText3Char"/>
    <w:autoRedefine/>
    <w:uiPriority w:val="99"/>
    <w:unhideWhenUsed/>
    <w:qFormat/>
    <w:rsid w:val="008C708A"/>
    <w:pPr>
      <w:ind w:left="720"/>
    </w:pPr>
    <w:rPr>
      <w:szCs w:val="16"/>
    </w:rPr>
  </w:style>
  <w:style w:type="character" w:customStyle="1" w:styleId="BodyText3Char">
    <w:name w:val="Body Text 3 Char"/>
    <w:basedOn w:val="DefaultParagraphFont"/>
    <w:link w:val="BodyText3"/>
    <w:uiPriority w:val="99"/>
    <w:rsid w:val="008C708A"/>
    <w:rPr>
      <w:rFonts w:ascii="Arial" w:hAnsi="Arial"/>
      <w:sz w:val="20"/>
      <w:szCs w:val="16"/>
    </w:rPr>
  </w:style>
  <w:style w:type="paragraph" w:customStyle="1" w:styleId="QuoteText">
    <w:name w:val="Quote Text"/>
    <w:basedOn w:val="BodyText"/>
    <w:qFormat/>
    <w:rsid w:val="00124FE5"/>
    <w:pPr>
      <w:framePr w:w="2268" w:wrap="notBeside" w:vAnchor="text" w:hAnchor="page" w:xAlign="center" w:y="1"/>
    </w:pPr>
    <w:rPr>
      <w:i/>
      <w:sz w:val="16"/>
    </w:rPr>
  </w:style>
  <w:style w:type="paragraph" w:styleId="ListBullet">
    <w:name w:val="List Bullet"/>
    <w:basedOn w:val="BodyText"/>
    <w:autoRedefine/>
    <w:uiPriority w:val="99"/>
    <w:unhideWhenUsed/>
    <w:qFormat/>
    <w:rsid w:val="008C708A"/>
    <w:pPr>
      <w:numPr>
        <w:numId w:val="7"/>
      </w:numPr>
    </w:pPr>
  </w:style>
  <w:style w:type="paragraph" w:styleId="ListNumber">
    <w:name w:val="List Number"/>
    <w:basedOn w:val="ListBullet"/>
    <w:uiPriority w:val="99"/>
    <w:unhideWhenUsed/>
    <w:qFormat/>
    <w:rsid w:val="00124FE5"/>
    <w:pPr>
      <w:numPr>
        <w:numId w:val="3"/>
      </w:numPr>
    </w:pPr>
  </w:style>
  <w:style w:type="paragraph" w:styleId="ListNumber2">
    <w:name w:val="List Number 2"/>
    <w:basedOn w:val="ListNumber"/>
    <w:autoRedefine/>
    <w:uiPriority w:val="99"/>
    <w:unhideWhenUsed/>
    <w:qFormat/>
    <w:rsid w:val="000339A4"/>
    <w:pPr>
      <w:numPr>
        <w:numId w:val="8"/>
      </w:numPr>
    </w:pPr>
    <w:rPr>
      <w:lang w:eastAsia="ja-JP"/>
    </w:rPr>
  </w:style>
  <w:style w:type="paragraph" w:styleId="ListBullet2">
    <w:name w:val="List Bullet 2"/>
    <w:basedOn w:val="ListBullet"/>
    <w:autoRedefine/>
    <w:uiPriority w:val="99"/>
    <w:unhideWhenUsed/>
    <w:qFormat/>
    <w:rsid w:val="00DE1BEA"/>
    <w:pPr>
      <w:numPr>
        <w:numId w:val="5"/>
      </w:numPr>
    </w:pPr>
  </w:style>
  <w:style w:type="paragraph" w:styleId="ListNumber3">
    <w:name w:val="List Number 3"/>
    <w:basedOn w:val="BodyText"/>
    <w:uiPriority w:val="99"/>
    <w:unhideWhenUsed/>
    <w:qFormat/>
    <w:rsid w:val="00BB6E77"/>
    <w:pPr>
      <w:numPr>
        <w:numId w:val="4"/>
      </w:numPr>
    </w:pPr>
  </w:style>
  <w:style w:type="paragraph" w:styleId="FootnoteText">
    <w:name w:val="footnote text"/>
    <w:basedOn w:val="Normal"/>
    <w:link w:val="FootnoteTextChar"/>
    <w:autoRedefine/>
    <w:semiHidden/>
    <w:rsid w:val="00DE1BEA"/>
    <w:pPr>
      <w:spacing w:after="60" w:line="240" w:lineRule="auto"/>
    </w:pPr>
    <w:rPr>
      <w:rFonts w:ascii="Arial" w:eastAsia="Times New Roman" w:hAnsi="Arial" w:cs="Times New Roman"/>
      <w:sz w:val="16"/>
      <w:szCs w:val="20"/>
      <w:lang w:eastAsia="en-GB"/>
    </w:rPr>
  </w:style>
  <w:style w:type="character" w:customStyle="1" w:styleId="FootnoteTextChar">
    <w:name w:val="Footnote Text Char"/>
    <w:basedOn w:val="DefaultParagraphFont"/>
    <w:link w:val="FootnoteText"/>
    <w:semiHidden/>
    <w:rsid w:val="00DE1BEA"/>
    <w:rPr>
      <w:rFonts w:ascii="Arial" w:eastAsia="Times New Roman" w:hAnsi="Arial" w:cs="Times New Roman"/>
      <w:sz w:val="16"/>
      <w:szCs w:val="20"/>
      <w:lang w:eastAsia="en-GB"/>
    </w:rPr>
  </w:style>
  <w:style w:type="paragraph" w:styleId="ListBullet3">
    <w:name w:val="List Bullet 3"/>
    <w:basedOn w:val="Normal"/>
    <w:autoRedefine/>
    <w:uiPriority w:val="99"/>
    <w:unhideWhenUsed/>
    <w:qFormat/>
    <w:rsid w:val="008C708A"/>
    <w:pPr>
      <w:numPr>
        <w:numId w:val="6"/>
      </w:numPr>
      <w:spacing w:before="240" w:after="240"/>
    </w:pPr>
    <w:rPr>
      <w:rFonts w:ascii="Arial" w:hAnsi="Arial" w:cs="Arial"/>
      <w:sz w:val="20"/>
      <w:szCs w:val="20"/>
    </w:rPr>
  </w:style>
  <w:style w:type="paragraph" w:styleId="ListParagraph">
    <w:name w:val="List Paragraph"/>
    <w:basedOn w:val="Normal"/>
    <w:uiPriority w:val="34"/>
    <w:qFormat/>
    <w:rsid w:val="00826622"/>
    <w:pPr>
      <w:spacing w:before="240" w:after="240"/>
      <w:ind w:left="720"/>
    </w:pPr>
  </w:style>
  <w:style w:type="table" w:styleId="TableGrid">
    <w:name w:val="Table Grid"/>
    <w:basedOn w:val="TableNormal"/>
    <w:rsid w:val="0025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C7"/>
  </w:style>
  <w:style w:type="paragraph" w:styleId="Footer">
    <w:name w:val="footer"/>
    <w:basedOn w:val="Normal"/>
    <w:link w:val="FooterChar"/>
    <w:unhideWhenUsed/>
    <w:rsid w:val="002A53C7"/>
    <w:pPr>
      <w:tabs>
        <w:tab w:val="center" w:pos="4513"/>
        <w:tab w:val="right" w:pos="9026"/>
      </w:tabs>
      <w:spacing w:after="0" w:line="240" w:lineRule="auto"/>
    </w:pPr>
  </w:style>
  <w:style w:type="character" w:customStyle="1" w:styleId="FooterChar">
    <w:name w:val="Footer Char"/>
    <w:basedOn w:val="DefaultParagraphFont"/>
    <w:link w:val="Footer"/>
    <w:rsid w:val="002A53C7"/>
  </w:style>
  <w:style w:type="paragraph" w:customStyle="1" w:styleId="ssqPart">
    <w:name w:val="ssqPart"/>
    <w:basedOn w:val="Normal"/>
    <w:next w:val="Normal"/>
    <w:uiPriority w:val="43"/>
    <w:qFormat/>
    <w:rsid w:val="002A53C7"/>
    <w:pPr>
      <w:numPr>
        <w:ilvl w:val="1"/>
        <w:numId w:val="26"/>
      </w:numPr>
      <w:spacing w:after="260" w:line="240" w:lineRule="auto"/>
      <w:jc w:val="center"/>
    </w:pPr>
    <w:rPr>
      <w:rFonts w:asciiTheme="majorHAnsi" w:eastAsia="MingLiU" w:hAnsiTheme="majorHAnsi"/>
      <w:b/>
      <w:caps/>
    </w:rPr>
  </w:style>
  <w:style w:type="paragraph" w:customStyle="1" w:styleId="ssRestartPart">
    <w:name w:val="ssRestartPart"/>
    <w:basedOn w:val="Normal"/>
    <w:next w:val="Normal"/>
    <w:uiPriority w:val="44"/>
    <w:rsid w:val="002A53C7"/>
    <w:pPr>
      <w:numPr>
        <w:numId w:val="26"/>
      </w:numPr>
      <w:spacing w:after="0" w:line="240" w:lineRule="auto"/>
      <w:jc w:val="both"/>
    </w:pPr>
    <w:rPr>
      <w:color w:val="FF0000"/>
    </w:rPr>
  </w:style>
  <w:style w:type="numbering" w:customStyle="1" w:styleId="PartNumbering">
    <w:name w:val="Part Numbering"/>
    <w:uiPriority w:val="99"/>
    <w:rsid w:val="002A53C7"/>
    <w:pPr>
      <w:numPr>
        <w:numId w:val="25"/>
      </w:numPr>
    </w:pPr>
  </w:style>
  <w:style w:type="paragraph" w:customStyle="1" w:styleId="ssqSchedule">
    <w:name w:val="ssqSchedule"/>
    <w:basedOn w:val="Normal"/>
    <w:next w:val="Normal"/>
    <w:uiPriority w:val="45"/>
    <w:qFormat/>
    <w:rsid w:val="002A53C7"/>
    <w:pPr>
      <w:pageBreakBefore/>
      <w:numPr>
        <w:ilvl w:val="1"/>
        <w:numId w:val="28"/>
      </w:numPr>
      <w:spacing w:after="260" w:line="240" w:lineRule="auto"/>
      <w:jc w:val="center"/>
    </w:pPr>
    <w:rPr>
      <w:rFonts w:asciiTheme="majorHAnsi" w:eastAsia="MingLiU" w:hAnsiTheme="majorHAnsi"/>
      <w:b/>
      <w:caps/>
    </w:rPr>
  </w:style>
  <w:style w:type="paragraph" w:customStyle="1" w:styleId="ssRestartSchedule">
    <w:name w:val="ssRestartSchedule"/>
    <w:basedOn w:val="Normal"/>
    <w:next w:val="Normal"/>
    <w:uiPriority w:val="46"/>
    <w:rsid w:val="002A53C7"/>
    <w:pPr>
      <w:numPr>
        <w:numId w:val="28"/>
      </w:numPr>
      <w:spacing w:after="0" w:line="240" w:lineRule="auto"/>
      <w:jc w:val="both"/>
    </w:pPr>
    <w:rPr>
      <w:color w:val="FF0000"/>
    </w:rPr>
  </w:style>
  <w:style w:type="numbering" w:customStyle="1" w:styleId="ScheduleNumbering">
    <w:name w:val="Schedule Numbering"/>
    <w:uiPriority w:val="99"/>
    <w:rsid w:val="002A53C7"/>
    <w:pPr>
      <w:numPr>
        <w:numId w:val="27"/>
      </w:numPr>
    </w:pPr>
  </w:style>
  <w:style w:type="paragraph" w:styleId="BalloonText">
    <w:name w:val="Balloon Text"/>
    <w:basedOn w:val="Normal"/>
    <w:link w:val="BalloonTextChar"/>
    <w:uiPriority w:val="99"/>
    <w:semiHidden/>
    <w:unhideWhenUsed/>
    <w:rsid w:val="00262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910"/>
    <w:rPr>
      <w:rFonts w:ascii="Tahoma" w:hAnsi="Tahoma" w:cs="Tahoma"/>
      <w:sz w:val="16"/>
      <w:szCs w:val="16"/>
    </w:rPr>
  </w:style>
  <w:style w:type="character" w:styleId="Hyperlink">
    <w:name w:val="Hyperlink"/>
    <w:basedOn w:val="DefaultParagraphFont"/>
    <w:uiPriority w:val="99"/>
    <w:unhideWhenUsed/>
    <w:rsid w:val="00532B3A"/>
    <w:rPr>
      <w:color w:val="0000FF" w:themeColor="hyperlink"/>
      <w:u w:val="single"/>
    </w:rPr>
  </w:style>
  <w:style w:type="paragraph" w:styleId="NormalWeb">
    <w:name w:val="Normal (Web)"/>
    <w:basedOn w:val="Normal"/>
    <w:uiPriority w:val="99"/>
    <w:semiHidden/>
    <w:unhideWhenUsed/>
    <w:rsid w:val="00D538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FC4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33898">
      <w:bodyDiv w:val="1"/>
      <w:marLeft w:val="0"/>
      <w:marRight w:val="0"/>
      <w:marTop w:val="0"/>
      <w:marBottom w:val="0"/>
      <w:divBdr>
        <w:top w:val="none" w:sz="0" w:space="0" w:color="auto"/>
        <w:left w:val="none" w:sz="0" w:space="0" w:color="auto"/>
        <w:bottom w:val="none" w:sz="0" w:space="0" w:color="auto"/>
        <w:right w:val="none" w:sz="0" w:space="0" w:color="auto"/>
      </w:divBdr>
    </w:div>
    <w:div w:id="625165821">
      <w:bodyDiv w:val="1"/>
      <w:marLeft w:val="0"/>
      <w:marRight w:val="0"/>
      <w:marTop w:val="0"/>
      <w:marBottom w:val="0"/>
      <w:divBdr>
        <w:top w:val="none" w:sz="0" w:space="0" w:color="auto"/>
        <w:left w:val="none" w:sz="0" w:space="0" w:color="auto"/>
        <w:bottom w:val="none" w:sz="0" w:space="0" w:color="auto"/>
        <w:right w:val="none" w:sz="0" w:space="0" w:color="auto"/>
      </w:divBdr>
    </w:div>
    <w:div w:id="814448319">
      <w:bodyDiv w:val="1"/>
      <w:marLeft w:val="0"/>
      <w:marRight w:val="0"/>
      <w:marTop w:val="0"/>
      <w:marBottom w:val="0"/>
      <w:divBdr>
        <w:top w:val="none" w:sz="0" w:space="0" w:color="auto"/>
        <w:left w:val="none" w:sz="0" w:space="0" w:color="auto"/>
        <w:bottom w:val="none" w:sz="0" w:space="0" w:color="auto"/>
        <w:right w:val="none" w:sz="0" w:space="0" w:color="auto"/>
      </w:divBdr>
    </w:div>
    <w:div w:id="1140876857">
      <w:bodyDiv w:val="1"/>
      <w:marLeft w:val="0"/>
      <w:marRight w:val="0"/>
      <w:marTop w:val="0"/>
      <w:marBottom w:val="0"/>
      <w:divBdr>
        <w:top w:val="none" w:sz="0" w:space="0" w:color="auto"/>
        <w:left w:val="none" w:sz="0" w:space="0" w:color="auto"/>
        <w:bottom w:val="none" w:sz="0" w:space="0" w:color="auto"/>
        <w:right w:val="none" w:sz="0" w:space="0" w:color="auto"/>
      </w:divBdr>
    </w:div>
    <w:div w:id="1193299568">
      <w:bodyDiv w:val="1"/>
      <w:marLeft w:val="0"/>
      <w:marRight w:val="0"/>
      <w:marTop w:val="0"/>
      <w:marBottom w:val="0"/>
      <w:divBdr>
        <w:top w:val="none" w:sz="0" w:space="0" w:color="auto"/>
        <w:left w:val="none" w:sz="0" w:space="0" w:color="auto"/>
        <w:bottom w:val="none" w:sz="0" w:space="0" w:color="auto"/>
        <w:right w:val="none" w:sz="0" w:space="0" w:color="auto"/>
      </w:divBdr>
    </w:div>
    <w:div w:id="1240290472">
      <w:bodyDiv w:val="1"/>
      <w:marLeft w:val="0"/>
      <w:marRight w:val="0"/>
      <w:marTop w:val="0"/>
      <w:marBottom w:val="0"/>
      <w:divBdr>
        <w:top w:val="none" w:sz="0" w:space="0" w:color="auto"/>
        <w:left w:val="none" w:sz="0" w:space="0" w:color="auto"/>
        <w:bottom w:val="none" w:sz="0" w:space="0" w:color="auto"/>
        <w:right w:val="none" w:sz="0" w:space="0" w:color="auto"/>
      </w:divBdr>
    </w:div>
    <w:div w:id="1563518534">
      <w:bodyDiv w:val="1"/>
      <w:marLeft w:val="0"/>
      <w:marRight w:val="0"/>
      <w:marTop w:val="0"/>
      <w:marBottom w:val="0"/>
      <w:divBdr>
        <w:top w:val="none" w:sz="0" w:space="0" w:color="auto"/>
        <w:left w:val="none" w:sz="0" w:space="0" w:color="auto"/>
        <w:bottom w:val="none" w:sz="0" w:space="0" w:color="auto"/>
        <w:right w:val="none" w:sz="0" w:space="0" w:color="auto"/>
      </w:divBdr>
    </w:div>
    <w:div w:id="1821186978">
      <w:bodyDiv w:val="1"/>
      <w:marLeft w:val="0"/>
      <w:marRight w:val="0"/>
      <w:marTop w:val="0"/>
      <w:marBottom w:val="0"/>
      <w:divBdr>
        <w:top w:val="none" w:sz="0" w:space="0" w:color="auto"/>
        <w:left w:val="none" w:sz="0" w:space="0" w:color="auto"/>
        <w:bottom w:val="none" w:sz="0" w:space="0" w:color="auto"/>
        <w:right w:val="none" w:sz="0" w:space="0" w:color="auto"/>
      </w:divBdr>
    </w:div>
    <w:div w:id="1863738316">
      <w:bodyDiv w:val="1"/>
      <w:marLeft w:val="0"/>
      <w:marRight w:val="0"/>
      <w:marTop w:val="0"/>
      <w:marBottom w:val="0"/>
      <w:divBdr>
        <w:top w:val="none" w:sz="0" w:space="0" w:color="auto"/>
        <w:left w:val="none" w:sz="0" w:space="0" w:color="auto"/>
        <w:bottom w:val="none" w:sz="0" w:space="0" w:color="auto"/>
        <w:right w:val="none" w:sz="0" w:space="0" w:color="auto"/>
      </w:divBdr>
    </w:div>
    <w:div w:id="1911304848">
      <w:bodyDiv w:val="1"/>
      <w:marLeft w:val="0"/>
      <w:marRight w:val="0"/>
      <w:marTop w:val="0"/>
      <w:marBottom w:val="0"/>
      <w:divBdr>
        <w:top w:val="none" w:sz="0" w:space="0" w:color="auto"/>
        <w:left w:val="none" w:sz="0" w:space="0" w:color="auto"/>
        <w:bottom w:val="none" w:sz="0" w:space="0" w:color="auto"/>
        <w:right w:val="none" w:sz="0" w:space="0" w:color="auto"/>
      </w:divBdr>
    </w:div>
    <w:div w:id="19163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exica.com/~/media/Files/Microsites/MiFID/MiFID2%20legislative/MiFID2%20Directive%20Text%202014%2065%20EU.pdf" TargetMode="External"/><Relationship Id="rId18" Type="http://schemas.openxmlformats.org/officeDocument/2006/relationships/hyperlink" Target="http://www.elexica.com/~/media/Files/Microsites/MiFID/MiFID2%20legislative/MiFIR%20Text%20600%202014.pdf" TargetMode="External"/><Relationship Id="rId26" Type="http://schemas.openxmlformats.org/officeDocument/2006/relationships/hyperlink" Target="http://www.elexica.com/~/media/Files/Microsites/MiFID/MiFID2%20legislative/RTS%206%20Sept%202015.DOCX" TargetMode="External"/><Relationship Id="rId39" Type="http://schemas.openxmlformats.org/officeDocument/2006/relationships/hyperlink" Target="http://www.elexica.com/~/media/Files/Microsites/MiFID/MiFID2%20legislative/Commission%20Delegated%20Regulation%20-%2025%20April%202016.PDF" TargetMode="External"/><Relationship Id="rId21" Type="http://schemas.openxmlformats.org/officeDocument/2006/relationships/hyperlink" Target="http://www.elexica.com/~/media/Files/Microsites/MiFID/MiFID2%20legislative/RTS%206%20Sept%202015.DOCX" TargetMode="External"/><Relationship Id="rId34" Type="http://schemas.openxmlformats.org/officeDocument/2006/relationships/hyperlink" Target="http://www.elexica.com/~/media/Files/Microsites/MiFID/MiFID2%20legislative/Commission%20Delegated%20Regulation%20-%2025%20April%202016.PDF" TargetMode="External"/><Relationship Id="rId42" Type="http://schemas.openxmlformats.org/officeDocument/2006/relationships/hyperlink" Target="http://www.elexica.com/~/media/Files/Microsites/MiFID/MiFID2%20legislative/Commission%20Delegated%20Regulation%20-%2025%20April%202016.PDF" TargetMode="External"/><Relationship Id="rId47" Type="http://schemas.openxmlformats.org/officeDocument/2006/relationships/hyperlink" Target="http://www.elexica.com/~/media/Files/Microsites/MiFID/MiFID2%20legislative/Commission%20Delegated%20Regulation%20-%2025%20April%202016.PDF" TargetMode="External"/><Relationship Id="rId50" Type="http://schemas.openxmlformats.org/officeDocument/2006/relationships/hyperlink" Target="http://www.elexica.com/~/media/Files/Microsites/MiFID/MiFID2%20legislative/Commission%20Delegated%20Regulation%20-%2025%20April%202016.PDF" TargetMode="External"/><Relationship Id="rId55" Type="http://schemas.openxmlformats.org/officeDocument/2006/relationships/hyperlink" Target="http://www.elexica.com/~/media/Files/Microsites/MiFID/MiFID2%20legislative/Commission%20Delegated%20Regulation%20-%2025%20April%202016.PDF" TargetMode="External"/><Relationship Id="rId63" Type="http://schemas.openxmlformats.org/officeDocument/2006/relationships/hyperlink" Target="http://www.elexica.com/~/media/Files/Microsites/MiFID/MiFID2%20legislative/Commission%20Delegated%20Regulation%20-%2025%20April%202016.PDF" TargetMode="External"/><Relationship Id="rId68" Type="http://schemas.openxmlformats.org/officeDocument/2006/relationships/hyperlink" Target="http://www.elexica.com/~/media/Files/Microsites/MiFID/MiFID2%20legislative/Commission%20Delegated%20Regulation%20-%2025%20April%202016.PDF" TargetMode="External"/><Relationship Id="rId76" Type="http://schemas.openxmlformats.org/officeDocument/2006/relationships/hyperlink" Target="http://www.elexica.com/~/media/Files/Microsites/MiFID/MiFID2%20legislative/Commission%20Delegated%20Regulation%20-%2025%20April%202016.PDF"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elexica.com/~/media/Files/Microsites/MiFID/MiFID2%20legislative/Commission%20Delegated%20Regulation%20-%2025%20April%202016.PDF" TargetMode="External"/><Relationship Id="rId2" Type="http://schemas.openxmlformats.org/officeDocument/2006/relationships/numbering" Target="numbering.xml"/><Relationship Id="rId16" Type="http://schemas.openxmlformats.org/officeDocument/2006/relationships/hyperlink" Target="http://www.elexica.com/~/media/Files/Microsites/MiFID/MiFID2%20legislative/MiFIR%20Text%20600%202014.pdf" TargetMode="External"/><Relationship Id="rId29" Type="http://schemas.openxmlformats.org/officeDocument/2006/relationships/hyperlink" Target="http://www.elexica.com/~/media/Files/Microsites/MiFID/MiFID2%20legislative/Commission%20Delegated%20Directive%20-%207%20April%202016.pdf" TargetMode="External"/><Relationship Id="rId11" Type="http://schemas.openxmlformats.org/officeDocument/2006/relationships/hyperlink" Target="http://www.elexica.com/~/media/Files/Microsites/MiFID/MiFID2%20legislative/MiFID2%20Directive%20Text%202014%2065%20EU.pdf" TargetMode="External"/><Relationship Id="rId24" Type="http://schemas.openxmlformats.org/officeDocument/2006/relationships/hyperlink" Target="http://www.elexica.com/~/media/Files/Microsites/MiFID/MiFID2%20legislative/RTS%206%20Sept%202015.DOCX" TargetMode="External"/><Relationship Id="rId32" Type="http://schemas.openxmlformats.org/officeDocument/2006/relationships/hyperlink" Target="http://www.elexica.com/~/media/Files/Microsites/MiFID/MiFID2%20legislative/Commission%20Delegated%20Directive%20-%207%20April%202016.pdf" TargetMode="External"/><Relationship Id="rId37" Type="http://schemas.openxmlformats.org/officeDocument/2006/relationships/hyperlink" Target="http://www.elexica.com/~/media/Files/Microsites/MiFID/MiFID2%20legislative/Commission%20Delegated%20Regulation%20-%2025%20April%202016.PDF" TargetMode="External"/><Relationship Id="rId40" Type="http://schemas.openxmlformats.org/officeDocument/2006/relationships/hyperlink" Target="http://www.elexica.com/~/media/Files/Microsites/MiFID/MiFID2%20legislative/Commission%20Delegated%20Regulation%20-%2025%20April%202016.PDF" TargetMode="External"/><Relationship Id="rId45" Type="http://schemas.openxmlformats.org/officeDocument/2006/relationships/hyperlink" Target="http://www.elexica.com/~/media/Files/Microsites/MiFID/MiFID2%20legislative/Commission%20Delegated%20Regulation%20-%2025%20April%202016.PDF" TargetMode="External"/><Relationship Id="rId53" Type="http://schemas.openxmlformats.org/officeDocument/2006/relationships/hyperlink" Target="http://www.elexica.com/~/media/Files/Microsites/MiFID/MiFID2%20legislative/Commission%20Delegated%20Regulation%20-%2025%20April%202016.PDF" TargetMode="External"/><Relationship Id="rId58" Type="http://schemas.openxmlformats.org/officeDocument/2006/relationships/hyperlink" Target="http://www.elexica.com/~/media/Files/Microsites/MiFID/MiFID2%20legislative/Commission%20Delegated%20Regulation%20-%2025%20April%202016.PDF" TargetMode="External"/><Relationship Id="rId66" Type="http://schemas.openxmlformats.org/officeDocument/2006/relationships/hyperlink" Target="http://www.elexica.com/~/media/Files/Microsites/MiFID/MiFID2%20legislative/Commission%20Delegated%20Regulation%20-%2025%20April%202016.PDF" TargetMode="External"/><Relationship Id="rId74" Type="http://schemas.openxmlformats.org/officeDocument/2006/relationships/hyperlink" Target="http://www.elexica.com/~/media/Files/Microsites/MiFID/MiFID2%20legislative/Commission%20Delegated%20Regulation%20-%2025%20April%202016.PDF" TargetMode="External"/><Relationship Id="rId79" Type="http://schemas.openxmlformats.org/officeDocument/2006/relationships/hyperlink" Target="http://www.elexica.com/~/media/Files/Microsites/MiFID/MiFID2%20legislative/Commission%20Delegated%20Regulation%20-%2025%20April%202016.PDF" TargetMode="External"/><Relationship Id="rId5" Type="http://schemas.openxmlformats.org/officeDocument/2006/relationships/webSettings" Target="webSettings.xml"/><Relationship Id="rId61" Type="http://schemas.openxmlformats.org/officeDocument/2006/relationships/hyperlink" Target="http://www.elexica.com/~/media/Files/Microsites/MiFID/MiFID2%20legislative/Commission%20Delegated%20Regulation%20-%2025%20April%202016.PDF" TargetMode="External"/><Relationship Id="rId82" Type="http://schemas.openxmlformats.org/officeDocument/2006/relationships/header" Target="header1.xml"/><Relationship Id="rId19" Type="http://schemas.openxmlformats.org/officeDocument/2006/relationships/hyperlink" Target="http://www.elexica.com/~/media/Files/Microsites/MiFID/MiFID2%20legislative/RTS%206%20Sept%202015.DOCX" TargetMode="External"/><Relationship Id="rId4" Type="http://schemas.openxmlformats.org/officeDocument/2006/relationships/settings" Target="settings.xml"/><Relationship Id="rId9" Type="http://schemas.openxmlformats.org/officeDocument/2006/relationships/hyperlink" Target="http://www.elexica.com/~/media/Files/Microsites/MiFID/MiFID2%20legislative/MiFID2%20Directive%20Text%202014%2065%20EU.pdf" TargetMode="External"/><Relationship Id="rId14" Type="http://schemas.openxmlformats.org/officeDocument/2006/relationships/hyperlink" Target="http://www.elexica.com/~/media/Files/Microsites/MiFID/MiFID2%20legislative/MiFID2%20Directive%20Text%202014%2065%20EU.pdf" TargetMode="External"/><Relationship Id="rId22" Type="http://schemas.openxmlformats.org/officeDocument/2006/relationships/hyperlink" Target="http://www.elexica.com/~/media/Files/Microsites/MiFID/MiFID2%20legislative/RTS%206%20Sept%202015.DOCX" TargetMode="External"/><Relationship Id="rId27" Type="http://schemas.openxmlformats.org/officeDocument/2006/relationships/hyperlink" Target="http://www.elexica.com/~/media/Files/Microsites/MiFID/MiFID2%20legislative/RTS%208%20Sept%202015.DOCX" TargetMode="External"/><Relationship Id="rId30" Type="http://schemas.openxmlformats.org/officeDocument/2006/relationships/hyperlink" Target="http://www.elexica.com/~/media/Files/Microsites/MiFID/MiFID2%20legislative/Commission%20Delegated%20Directive%20-%207%20April%202016.pdf" TargetMode="External"/><Relationship Id="rId35" Type="http://schemas.openxmlformats.org/officeDocument/2006/relationships/hyperlink" Target="http://www.elexica.com/~/media/Files/Microsites/MiFID/MiFID2%20legislative/Commission%20Delegated%20Regulation%20-%2025%20April%202016.PDF" TargetMode="External"/><Relationship Id="rId43" Type="http://schemas.openxmlformats.org/officeDocument/2006/relationships/hyperlink" Target="http://www.elexica.com/~/media/Files/Microsites/MiFID/MiFID2%20legislative/Commission%20Delegated%20Regulation%20-%2025%20April%202016.PDF" TargetMode="External"/><Relationship Id="rId48" Type="http://schemas.openxmlformats.org/officeDocument/2006/relationships/hyperlink" Target="http://www.elexica.com/~/media/Files/Microsites/MiFID/MiFID2%20legislative/Commission%20Delegated%20Regulation%20-%2025%20April%202016.PDF" TargetMode="External"/><Relationship Id="rId56" Type="http://schemas.openxmlformats.org/officeDocument/2006/relationships/hyperlink" Target="http://www.elexica.com/~/media/Files/Microsites/MiFID/MiFID2%20legislative/Commission%20Delegated%20Regulation%20-%2025%20April%202016.PDF" TargetMode="External"/><Relationship Id="rId64" Type="http://schemas.openxmlformats.org/officeDocument/2006/relationships/hyperlink" Target="http://www.elexica.com/~/media/Files/Microsites/MiFID/MiFID2%20legislative/Commission%20Delegated%20Regulation%20-%2025%20April%202016.PDF" TargetMode="External"/><Relationship Id="rId69" Type="http://schemas.openxmlformats.org/officeDocument/2006/relationships/hyperlink" Target="http://www.elexica.com/~/media/Files/Microsites/MiFID/MiFID2%20legislative/Commission%20Delegated%20Regulation%20-%2025%20April%202016.PDF" TargetMode="External"/><Relationship Id="rId77" Type="http://schemas.openxmlformats.org/officeDocument/2006/relationships/hyperlink" Target="http://www.elexica.com/~/media/Files/Microsites/MiFID/MiFID2%20legislative/Commission%20Delegated%20Regulation%20-%2025%20April%202016.PDF" TargetMode="External"/><Relationship Id="rId8" Type="http://schemas.openxmlformats.org/officeDocument/2006/relationships/hyperlink" Target="http://www.elexica.com/~/media/Files/Microsites/MiFID/MiFID2%20legislative/MiFID2%20Directive%20Text%202014%2065%20EU.pdf" TargetMode="External"/><Relationship Id="rId51" Type="http://schemas.openxmlformats.org/officeDocument/2006/relationships/hyperlink" Target="http://www.elexica.com/~/media/Files/Microsites/MiFID/MiFID2%20legislative/ESMA%20Final%20Report%20-%20Guidelines%20for%20the%20assessment%20of%20knowledge%20and%20competence%20-%20December%202015.pdf" TargetMode="External"/><Relationship Id="rId72" Type="http://schemas.openxmlformats.org/officeDocument/2006/relationships/hyperlink" Target="http://www.elexica.com/~/media/Files/Microsites/MiFID/MiFID2%20legislative/Commission%20Delegated%20Regulation%20-%2025%20April%202016.PDF" TargetMode="External"/><Relationship Id="rId80" Type="http://schemas.openxmlformats.org/officeDocument/2006/relationships/hyperlink" Target="http://www.elexica.com/~/media/Files/Microsites/MiFID/MiFID2%20legislative/Commission%20Delegated%20Regulation%20-%2025%20April%202016.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elexica.com/~/media/Files/Microsites/MiFID/MiFID2%20legislative/MiFID2%20Directive%20Text%202014%2065%20EU.pdf" TargetMode="External"/><Relationship Id="rId17" Type="http://schemas.openxmlformats.org/officeDocument/2006/relationships/hyperlink" Target="http://www.elexica.com/~/media/Files/Microsites/MiFID/MiFID2%20legislative/MiFIR%20Text%20600%202014.pdf" TargetMode="External"/><Relationship Id="rId25" Type="http://schemas.openxmlformats.org/officeDocument/2006/relationships/hyperlink" Target="http://www.elexica.com/~/media/Files/Microsites/MiFID/MiFID2%20legislative/RTS%206%20Sept%202015.DOCX" TargetMode="External"/><Relationship Id="rId33" Type="http://schemas.openxmlformats.org/officeDocument/2006/relationships/hyperlink" Target="http://www.elexica.com/~/media/Files/Microsites/MiFID/MiFID2%20legislative/Commission%20Delegated%20Directive%20-%207%20April%202016.pdf" TargetMode="External"/><Relationship Id="rId38" Type="http://schemas.openxmlformats.org/officeDocument/2006/relationships/hyperlink" Target="http://www.elexica.com/~/media/Files/Microsites/MiFID/MiFID2%20legislative/Commission%20Delegated%20Regulation%20-%2025%20April%202016.PDF" TargetMode="External"/><Relationship Id="rId46" Type="http://schemas.openxmlformats.org/officeDocument/2006/relationships/hyperlink" Target="http://www.elexica.com/~/media/Files/Microsites/MiFID/MiFID2%20legislative/Commission%20Delegated%20Regulation%20-%2025%20April%202016.PDF" TargetMode="External"/><Relationship Id="rId59" Type="http://schemas.openxmlformats.org/officeDocument/2006/relationships/hyperlink" Target="http://www.elexica.com/~/media/Files/Microsites/MiFID/MiFID2%20legislative/Commission%20Delegated%20Regulation%20-%2025%20April%202016.PDF" TargetMode="External"/><Relationship Id="rId67" Type="http://schemas.openxmlformats.org/officeDocument/2006/relationships/hyperlink" Target="http://www.elexica.com/~/media/Files/Microsites/MiFID/MiFID2%20legislative/Commission%20Delegated%20Regulation%20-%2025%20April%202016.PDF" TargetMode="External"/><Relationship Id="rId20" Type="http://schemas.openxmlformats.org/officeDocument/2006/relationships/hyperlink" Target="http://www.elexica.com/~/media/Files/Microsites/MiFID/MiFID2%20legislative/RTS%206%20Sept%202015.DOCX" TargetMode="External"/><Relationship Id="rId41" Type="http://schemas.openxmlformats.org/officeDocument/2006/relationships/hyperlink" Target="http://www.elexica.com/~/media/Files/Microsites/MiFID/MiFID2%20legislative/Commission%20Delegated%20Regulation%20-%2025%20April%202016.PDF" TargetMode="External"/><Relationship Id="rId54" Type="http://schemas.openxmlformats.org/officeDocument/2006/relationships/hyperlink" Target="http://www.elexica.com/~/media/Files/Microsites/MiFID/MiFID2%20legislative/Commission%20Delegated%20Regulation%20-%2025%20April%202016.PDF" TargetMode="External"/><Relationship Id="rId62" Type="http://schemas.openxmlformats.org/officeDocument/2006/relationships/hyperlink" Target="http://www.elexica.com/~/media/Files/Microsites/MiFID/MiFID2%20legislative/Commission%20Delegated%20Regulation%20-%2025%20April%202016.PDF" TargetMode="External"/><Relationship Id="rId70" Type="http://schemas.openxmlformats.org/officeDocument/2006/relationships/hyperlink" Target="http://www.elexica.com/~/media/Files/Microsites/MiFID/MiFID2%20legislative/Commission%20Delegated%20Regulation%20-%2025%20April%202016.PDF" TargetMode="External"/><Relationship Id="rId75" Type="http://schemas.openxmlformats.org/officeDocument/2006/relationships/hyperlink" Target="http://www.elexica.com/~/media/Files/Microsites/MiFID/MiFID2%20legislative/Commission%20Delegated%20Regulation%20-%2025%20April%202016.PDF"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lexica.com/~/media/Files/Microsites/MiFID/MiFID2%20legislative/MiFID2%20Directive%20Text%202014%2065%20EU.pdf" TargetMode="External"/><Relationship Id="rId23" Type="http://schemas.openxmlformats.org/officeDocument/2006/relationships/hyperlink" Target="http://www.elexica.com/~/media/Files/Microsites/MiFID/MiFID2%20legislative/RTS%206%20Sept%202015.DOCX" TargetMode="External"/><Relationship Id="rId28" Type="http://schemas.openxmlformats.org/officeDocument/2006/relationships/hyperlink" Target="http://www.elexica.com/~/media/Files/Microsites/MiFID/MiFID2%20legislative/Commission%20Delegated%20Directive%20-%207%20April%202016.pdf" TargetMode="External"/><Relationship Id="rId36" Type="http://schemas.openxmlformats.org/officeDocument/2006/relationships/hyperlink" Target="http://www.elexica.com/~/media/Files/Microsites/MiFID/MiFID2%20legislative/Commission%20Delegated%20Regulation%20-%2025%20April%202016.PDF" TargetMode="External"/><Relationship Id="rId49" Type="http://schemas.openxmlformats.org/officeDocument/2006/relationships/hyperlink" Target="http://www.elexica.com/~/media/Files/Microsites/MiFID/MiFID2%20legislative/Commission%20Delegated%20Regulation%20-%2025%20April%202016.PDF" TargetMode="External"/><Relationship Id="rId57" Type="http://schemas.openxmlformats.org/officeDocument/2006/relationships/hyperlink" Target="http://www.elexica.com/~/media/Files/Microsites/MiFID/MiFID2%20legislative/Commission%20Delegated%20Regulation%20-%2025%20April%202016.PDF" TargetMode="External"/><Relationship Id="rId10" Type="http://schemas.openxmlformats.org/officeDocument/2006/relationships/hyperlink" Target="http://www.elexica.com/~/media/Files/Microsites/MiFID/MiFID2%20legislative/MiFID2%20Directive%20Text%202014%2065%20EU.pdf" TargetMode="External"/><Relationship Id="rId31" Type="http://schemas.openxmlformats.org/officeDocument/2006/relationships/hyperlink" Target="http://www.elexica.com/~/media/Files/Microsites/MiFID/MiFID2%20legislative/Commission%20Delegated%20Directive%20-%207%20April%202016.pdf" TargetMode="External"/><Relationship Id="rId44" Type="http://schemas.openxmlformats.org/officeDocument/2006/relationships/hyperlink" Target="http://www.elexica.com/~/media/Files/Microsites/MiFID/MiFID2%20legislative/Commission%20Delegated%20Regulation%20-%2025%20April%202016.PDF" TargetMode="External"/><Relationship Id="rId52" Type="http://schemas.openxmlformats.org/officeDocument/2006/relationships/hyperlink" Target="http://www.elexica.com/~/media/Files/Microsites/MiFID/MiFID2%20legislative/Commission%20Delegated%20Regulation%20-%2025%20April%202016.PDF" TargetMode="External"/><Relationship Id="rId60" Type="http://schemas.openxmlformats.org/officeDocument/2006/relationships/hyperlink" Target="http://www.elexica.com/~/media/Files/Microsites/MiFID/MiFID2%20legislative/Commission%20Delegated%20Regulation%20-%2025%20April%202016.PDF" TargetMode="External"/><Relationship Id="rId65" Type="http://schemas.openxmlformats.org/officeDocument/2006/relationships/hyperlink" Target="http://www.elexica.com/~/media/Files/Microsites/MiFID/MiFID2%20legislative/Commission%20Delegated%20Regulation%20-%2025%20April%202016.PDF" TargetMode="External"/><Relationship Id="rId73" Type="http://schemas.openxmlformats.org/officeDocument/2006/relationships/hyperlink" Target="http://www.elexica.com/~/media/Files/Microsites/MiFID/MiFID2%20legislative/Commission%20Delegated%20Regulation%20-%2025%20April%202016.PDF" TargetMode="External"/><Relationship Id="rId78" Type="http://schemas.openxmlformats.org/officeDocument/2006/relationships/hyperlink" Target="http://www.elexica.com/~/media/Files/Microsites/MiFID/MiFID2%20legislative/Commission%20Delegated%20Regulation%20-%2025%20April%202016.PDF" TargetMode="External"/><Relationship Id="rId81" Type="http://schemas.openxmlformats.org/officeDocument/2006/relationships/hyperlink" Target="http://www.elexica.com/~/media/Files/Microsites/MiFID/MiFID2%20legislative/Commission%20Delegated%20Regulation%20-%2025%20April%20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3F44-FF1C-4B40-8CC6-1D2392DB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17223</Words>
  <Characters>98173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115166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&amp; Simmons</dc:creator>
  <cp:keywords/>
  <dc:description/>
  <cp:lastModifiedBy>Sally Anderson</cp:lastModifiedBy>
  <cp:revision>2</cp:revision>
  <cp:lastPrinted>2016-07-08T10:49:00Z</cp:lastPrinted>
  <dcterms:created xsi:type="dcterms:W3CDTF">2019-10-13T19:16:00Z</dcterms:created>
  <dcterms:modified xsi:type="dcterms:W3CDTF">2019-10-13T19:16:00Z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8b34c49c-6551-43ea-a0e4-a03d92c8805c</vt:lpwstr>
  </property>
</Properties>
</file>