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71A1" w:rsidRPr="002971A1" w:rsidRDefault="00F71671" w:rsidP="002971A1">
      <w:pPr>
        <w:pStyle w:val="ssPara1"/>
        <w:jc w:val="center"/>
        <w:rPr>
          <w:b/>
        </w:rPr>
      </w:pPr>
      <w:bookmarkStart w:id="0" w:name="_GoBack"/>
      <w:bookmarkEnd w:id="0"/>
      <w:r>
        <w:rPr>
          <w:b/>
        </w:rPr>
        <w:t>Client Reporting</w:t>
      </w:r>
    </w:p>
    <w:p w:rsidR="002971A1" w:rsidRPr="002971A1" w:rsidRDefault="002971A1" w:rsidP="002971A1">
      <w:pPr>
        <w:pStyle w:val="ssPara1"/>
        <w:jc w:val="center"/>
        <w:rPr>
          <w:b/>
        </w:rPr>
      </w:pPr>
      <w:r w:rsidRPr="002971A1">
        <w:rPr>
          <w:b/>
        </w:rPr>
        <w:t xml:space="preserve">ESMA </w:t>
      </w:r>
      <w:hyperlink r:id="rId8" w:history="1">
        <w:r w:rsidRPr="002971A1">
          <w:rPr>
            <w:rStyle w:val="Hyperlink"/>
          </w:rPr>
          <w:t>Technical Advice</w:t>
        </w:r>
      </w:hyperlink>
      <w:r w:rsidRPr="002971A1">
        <w:rPr>
          <w:b/>
        </w:rPr>
        <w:t xml:space="preserve"> (19 December 2014)</w:t>
      </w:r>
      <w:r>
        <w:rPr>
          <w:b/>
        </w:rPr>
        <w:br/>
      </w:r>
      <w:r w:rsidRPr="002971A1">
        <w:rPr>
          <w:b/>
        </w:rPr>
        <w:t>vs.</w:t>
      </w:r>
      <w:r>
        <w:rPr>
          <w:b/>
        </w:rPr>
        <w:br/>
      </w:r>
      <w:r w:rsidR="00F71671" w:rsidRPr="00F71671">
        <w:rPr>
          <w:rStyle w:val="Hyperlink"/>
        </w:rPr>
        <w:t>MiFID 1 Implementing Directive</w:t>
      </w:r>
      <w:r w:rsidR="00F71671" w:rsidRPr="00F71671">
        <w:rPr>
          <w:b/>
        </w:rPr>
        <w:t xml:space="preserve"> (10 August 2006) and </w:t>
      </w:r>
      <w:r w:rsidRPr="002971A1">
        <w:rPr>
          <w:b/>
        </w:rPr>
        <w:t xml:space="preserve">European Commission </w:t>
      </w:r>
      <w:hyperlink r:id="rId9" w:history="1">
        <w:r w:rsidRPr="002971A1">
          <w:rPr>
            <w:rStyle w:val="Hyperlink"/>
          </w:rPr>
          <w:t>Draft Delegated Regulation</w:t>
        </w:r>
      </w:hyperlink>
      <w:r w:rsidRPr="002971A1">
        <w:rPr>
          <w:b/>
        </w:rPr>
        <w:t xml:space="preserve"> (25 April 2016)</w:t>
      </w:r>
    </w:p>
    <w:p w:rsidR="002971A1" w:rsidRPr="00F71671" w:rsidRDefault="00F71671" w:rsidP="00A7460B">
      <w:pPr>
        <w:rPr>
          <w:rFonts w:cs="Arial"/>
          <w:i/>
          <w:color w:val="FF0000"/>
          <w:szCs w:val="20"/>
        </w:rPr>
      </w:pPr>
      <w:r w:rsidRPr="00F71671">
        <w:rPr>
          <w:rFonts w:cs="Arial"/>
          <w:i/>
          <w:color w:val="FF0000"/>
          <w:szCs w:val="20"/>
        </w:rPr>
        <w:t>NOTE: The Technical Advice advises the Commission to draw on the MiFID 1 Implementing Directive (Articles 40 to 43) and modify them as directed.</w:t>
      </w:r>
    </w:p>
    <w:p w:rsidR="00F71671" w:rsidRPr="001E0645" w:rsidRDefault="00F71671" w:rsidP="00A7460B">
      <w:pPr>
        <w:rPr>
          <w:rFonts w:cs="Arial"/>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7938"/>
      </w:tblGrid>
      <w:tr w:rsidR="002971A1" w:rsidRPr="001E0645" w:rsidTr="002971A1">
        <w:tc>
          <w:tcPr>
            <w:tcW w:w="675" w:type="dxa"/>
            <w:shd w:val="clear" w:color="auto" w:fill="92D050"/>
          </w:tcPr>
          <w:p w:rsidR="002971A1" w:rsidRPr="001E0645" w:rsidRDefault="002971A1" w:rsidP="00A7460B">
            <w:pPr>
              <w:rPr>
                <w:rFonts w:cs="Arial"/>
                <w:szCs w:val="20"/>
              </w:rPr>
            </w:pPr>
          </w:p>
        </w:tc>
        <w:tc>
          <w:tcPr>
            <w:tcW w:w="7938" w:type="dxa"/>
          </w:tcPr>
          <w:p w:rsidR="002971A1" w:rsidRPr="001E0645" w:rsidRDefault="002971A1" w:rsidP="001F21EF">
            <w:pPr>
              <w:rPr>
                <w:rFonts w:cs="Arial"/>
                <w:szCs w:val="20"/>
              </w:rPr>
            </w:pPr>
            <w:r w:rsidRPr="001E0645">
              <w:rPr>
                <w:rFonts w:cs="Arial"/>
                <w:szCs w:val="20"/>
              </w:rPr>
              <w:t>No change or minor / immaterial change</w:t>
            </w:r>
          </w:p>
        </w:tc>
      </w:tr>
      <w:tr w:rsidR="002971A1" w:rsidRPr="001E0645" w:rsidTr="002971A1">
        <w:tc>
          <w:tcPr>
            <w:tcW w:w="675" w:type="dxa"/>
            <w:shd w:val="clear" w:color="auto" w:fill="FFC000"/>
          </w:tcPr>
          <w:p w:rsidR="002971A1" w:rsidRPr="001E0645" w:rsidRDefault="002971A1" w:rsidP="00A7460B">
            <w:pPr>
              <w:rPr>
                <w:rFonts w:cs="Arial"/>
                <w:szCs w:val="20"/>
              </w:rPr>
            </w:pPr>
          </w:p>
        </w:tc>
        <w:tc>
          <w:tcPr>
            <w:tcW w:w="7938" w:type="dxa"/>
          </w:tcPr>
          <w:p w:rsidR="002971A1" w:rsidRPr="001E0645" w:rsidRDefault="002971A1" w:rsidP="002F49E3">
            <w:pPr>
              <w:rPr>
                <w:rFonts w:cs="Arial"/>
                <w:szCs w:val="20"/>
              </w:rPr>
            </w:pPr>
            <w:r w:rsidRPr="001E0645">
              <w:rPr>
                <w:rFonts w:cs="Arial"/>
                <w:szCs w:val="20"/>
              </w:rPr>
              <w:t>Change to be reviewed, but not requiring gap assessment to be revisited with business</w:t>
            </w:r>
          </w:p>
        </w:tc>
      </w:tr>
      <w:tr w:rsidR="002971A1" w:rsidRPr="001E0645" w:rsidTr="002971A1">
        <w:tc>
          <w:tcPr>
            <w:tcW w:w="675" w:type="dxa"/>
            <w:shd w:val="clear" w:color="auto" w:fill="FF0000"/>
          </w:tcPr>
          <w:p w:rsidR="002971A1" w:rsidRPr="001E0645" w:rsidRDefault="002971A1" w:rsidP="00A7460B">
            <w:pPr>
              <w:rPr>
                <w:rFonts w:cs="Arial"/>
                <w:szCs w:val="20"/>
              </w:rPr>
            </w:pPr>
          </w:p>
        </w:tc>
        <w:tc>
          <w:tcPr>
            <w:tcW w:w="7938" w:type="dxa"/>
          </w:tcPr>
          <w:p w:rsidR="002971A1" w:rsidRPr="001E0645" w:rsidRDefault="002971A1" w:rsidP="002F49E3">
            <w:pPr>
              <w:rPr>
                <w:rFonts w:cs="Arial"/>
                <w:szCs w:val="20"/>
              </w:rPr>
            </w:pPr>
            <w:r w:rsidRPr="001E0645">
              <w:rPr>
                <w:rFonts w:cs="Arial"/>
                <w:szCs w:val="20"/>
              </w:rPr>
              <w:t xml:space="preserve">Significant change requiring detailed review </w:t>
            </w:r>
          </w:p>
        </w:tc>
      </w:tr>
    </w:tbl>
    <w:p w:rsidR="002971A1" w:rsidRPr="001E0645" w:rsidRDefault="002971A1" w:rsidP="00A7460B">
      <w:pPr>
        <w:rPr>
          <w:rFonts w:cs="Arial"/>
          <w:szCs w:val="20"/>
        </w:rPr>
      </w:pPr>
    </w:p>
    <w:p w:rsidR="002971A1" w:rsidRPr="001E0645" w:rsidRDefault="002971A1" w:rsidP="00B14584">
      <w:pPr>
        <w:rPr>
          <w:rFonts w:cs="Arial"/>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9"/>
        <w:gridCol w:w="2171"/>
        <w:gridCol w:w="2423"/>
        <w:gridCol w:w="7395"/>
      </w:tblGrid>
      <w:tr w:rsidR="00261BA7" w:rsidRPr="00C14BD4" w:rsidTr="00261BA7">
        <w:tc>
          <w:tcPr>
            <w:tcW w:w="2229" w:type="dxa"/>
            <w:shd w:val="clear" w:color="auto" w:fill="32464D"/>
          </w:tcPr>
          <w:p w:rsidR="00261BA7" w:rsidRPr="00C14BD4" w:rsidRDefault="00261BA7" w:rsidP="001955B3">
            <w:pPr>
              <w:jc w:val="center"/>
              <w:rPr>
                <w:rFonts w:cs="Arial"/>
                <w:b/>
                <w:color w:val="FFFFFF" w:themeColor="background1"/>
                <w:szCs w:val="20"/>
              </w:rPr>
            </w:pPr>
            <w:r w:rsidRPr="00C14BD4">
              <w:rPr>
                <w:rFonts w:cs="Arial"/>
                <w:b/>
                <w:color w:val="FFFFFF" w:themeColor="background1"/>
                <w:szCs w:val="20"/>
              </w:rPr>
              <w:t>ESMA Technical Advice</w:t>
            </w:r>
          </w:p>
          <w:p w:rsidR="00261BA7" w:rsidRPr="00C14BD4" w:rsidRDefault="00261BA7" w:rsidP="001955B3">
            <w:pPr>
              <w:jc w:val="center"/>
              <w:rPr>
                <w:rFonts w:cs="Arial"/>
                <w:b/>
                <w:color w:val="FFFFFF" w:themeColor="background1"/>
                <w:szCs w:val="20"/>
              </w:rPr>
            </w:pPr>
            <w:r w:rsidRPr="00C14BD4">
              <w:rPr>
                <w:rFonts w:cs="Arial"/>
                <w:b/>
                <w:color w:val="FFFFFF" w:themeColor="background1"/>
                <w:szCs w:val="20"/>
              </w:rPr>
              <w:t>Section 2.</w:t>
            </w:r>
            <w:r>
              <w:rPr>
                <w:rFonts w:cs="Arial"/>
                <w:b/>
                <w:color w:val="FFFFFF" w:themeColor="background1"/>
                <w:szCs w:val="20"/>
              </w:rPr>
              <w:t>20</w:t>
            </w:r>
            <w:r w:rsidRPr="00C14BD4">
              <w:rPr>
                <w:rFonts w:cs="Arial"/>
                <w:b/>
                <w:color w:val="FFFFFF" w:themeColor="background1"/>
                <w:szCs w:val="20"/>
              </w:rPr>
              <w:t xml:space="preserve"> page</w:t>
            </w:r>
            <w:r>
              <w:rPr>
                <w:rFonts w:cs="Arial"/>
                <w:b/>
                <w:color w:val="FFFFFF" w:themeColor="background1"/>
                <w:szCs w:val="20"/>
              </w:rPr>
              <w:t>s</w:t>
            </w:r>
            <w:r w:rsidRPr="00C14BD4">
              <w:rPr>
                <w:rFonts w:cs="Arial"/>
                <w:b/>
                <w:color w:val="FFFFFF" w:themeColor="background1"/>
                <w:szCs w:val="20"/>
              </w:rPr>
              <w:t xml:space="preserve"> </w:t>
            </w:r>
            <w:r>
              <w:rPr>
                <w:rFonts w:cs="Arial"/>
                <w:b/>
                <w:color w:val="FFFFFF" w:themeColor="background1"/>
                <w:szCs w:val="20"/>
              </w:rPr>
              <w:t>170 to 171</w:t>
            </w:r>
          </w:p>
          <w:p w:rsidR="00261BA7" w:rsidRPr="00C14BD4" w:rsidRDefault="00261BA7" w:rsidP="001955B3">
            <w:pPr>
              <w:jc w:val="center"/>
              <w:rPr>
                <w:rFonts w:cs="Arial"/>
                <w:b/>
                <w:color w:val="FFFFFF" w:themeColor="background1"/>
                <w:szCs w:val="20"/>
              </w:rPr>
            </w:pPr>
          </w:p>
        </w:tc>
        <w:tc>
          <w:tcPr>
            <w:tcW w:w="2171" w:type="dxa"/>
            <w:shd w:val="clear" w:color="auto" w:fill="32464D"/>
          </w:tcPr>
          <w:p w:rsidR="00261BA7" w:rsidRPr="00261BA7" w:rsidRDefault="00261BA7" w:rsidP="00261BA7">
            <w:pPr>
              <w:jc w:val="center"/>
              <w:rPr>
                <w:rFonts w:cs="Arial"/>
                <w:b/>
                <w:color w:val="FFFFFF" w:themeColor="background1"/>
                <w:szCs w:val="20"/>
              </w:rPr>
            </w:pPr>
            <w:r w:rsidRPr="00261BA7">
              <w:rPr>
                <w:rFonts w:cs="Arial"/>
                <w:b/>
                <w:color w:val="FFFFFF" w:themeColor="background1"/>
                <w:szCs w:val="20"/>
              </w:rPr>
              <w:t>MiFID 1 Implementing Directive</w:t>
            </w:r>
          </w:p>
          <w:p w:rsidR="00261BA7" w:rsidRPr="00C14BD4" w:rsidRDefault="00261BA7" w:rsidP="00261BA7">
            <w:pPr>
              <w:jc w:val="center"/>
              <w:rPr>
                <w:rFonts w:cs="Arial"/>
                <w:b/>
                <w:color w:val="FFFFFF" w:themeColor="background1"/>
                <w:szCs w:val="20"/>
              </w:rPr>
            </w:pPr>
            <w:r w:rsidRPr="00261BA7">
              <w:rPr>
                <w:rFonts w:cs="Arial"/>
                <w:b/>
                <w:color w:val="FFFFFF" w:themeColor="background1"/>
                <w:szCs w:val="20"/>
              </w:rPr>
              <w:t>Article 40 to 43</w:t>
            </w:r>
          </w:p>
        </w:tc>
        <w:tc>
          <w:tcPr>
            <w:tcW w:w="2423" w:type="dxa"/>
            <w:shd w:val="clear" w:color="auto" w:fill="32464D"/>
          </w:tcPr>
          <w:p w:rsidR="00261BA7" w:rsidRPr="00C14BD4" w:rsidRDefault="00261BA7" w:rsidP="001955B3">
            <w:pPr>
              <w:jc w:val="center"/>
              <w:rPr>
                <w:rFonts w:cs="Arial"/>
                <w:b/>
                <w:color w:val="FFFFFF" w:themeColor="background1"/>
                <w:szCs w:val="20"/>
              </w:rPr>
            </w:pPr>
            <w:r w:rsidRPr="00C14BD4">
              <w:rPr>
                <w:rFonts w:cs="Arial"/>
                <w:b/>
                <w:color w:val="FFFFFF" w:themeColor="background1"/>
                <w:szCs w:val="20"/>
              </w:rPr>
              <w:t>Commission Draft Delegated Regulation</w:t>
            </w:r>
          </w:p>
          <w:p w:rsidR="00261BA7" w:rsidRPr="00C14BD4" w:rsidRDefault="008647EA" w:rsidP="008647EA">
            <w:pPr>
              <w:jc w:val="center"/>
              <w:rPr>
                <w:rFonts w:cs="Arial"/>
                <w:b/>
                <w:color w:val="FFFFFF" w:themeColor="background1"/>
                <w:szCs w:val="20"/>
              </w:rPr>
            </w:pPr>
            <w:r>
              <w:rPr>
                <w:rFonts w:cs="Arial"/>
                <w:b/>
                <w:color w:val="FFFFFF" w:themeColor="background1"/>
                <w:szCs w:val="20"/>
              </w:rPr>
              <w:t>Article 59-63</w:t>
            </w:r>
          </w:p>
        </w:tc>
        <w:tc>
          <w:tcPr>
            <w:tcW w:w="7395" w:type="dxa"/>
            <w:shd w:val="clear" w:color="auto" w:fill="32464D"/>
          </w:tcPr>
          <w:p w:rsidR="00261BA7" w:rsidRPr="00C14BD4" w:rsidRDefault="00261BA7" w:rsidP="00261BA7">
            <w:pPr>
              <w:jc w:val="center"/>
              <w:rPr>
                <w:rFonts w:cs="Arial"/>
                <w:b/>
                <w:color w:val="FFFFFF" w:themeColor="background1"/>
                <w:szCs w:val="20"/>
              </w:rPr>
            </w:pPr>
            <w:r w:rsidRPr="00C14BD4">
              <w:rPr>
                <w:rFonts w:cs="Arial"/>
                <w:b/>
                <w:color w:val="FFFFFF" w:themeColor="background1"/>
                <w:szCs w:val="20"/>
              </w:rPr>
              <w:t>Summary of Key Changes</w:t>
            </w:r>
          </w:p>
        </w:tc>
      </w:tr>
      <w:tr w:rsidR="00261BA7" w:rsidRPr="001E0645" w:rsidTr="00261BA7">
        <w:tc>
          <w:tcPr>
            <w:tcW w:w="2229" w:type="dxa"/>
            <w:shd w:val="clear" w:color="auto" w:fill="32464D"/>
          </w:tcPr>
          <w:p w:rsidR="00261BA7" w:rsidRPr="00C14BD4" w:rsidRDefault="00261BA7" w:rsidP="00D804FC">
            <w:pPr>
              <w:rPr>
                <w:rFonts w:cs="Arial"/>
                <w:color w:val="FFFFFF" w:themeColor="background1"/>
                <w:szCs w:val="20"/>
              </w:rPr>
            </w:pPr>
            <w:r w:rsidRPr="00C14BD4">
              <w:rPr>
                <w:rFonts w:cs="Arial"/>
                <w:color w:val="FFFFFF" w:themeColor="background1"/>
                <w:szCs w:val="20"/>
              </w:rPr>
              <w:t>Paragraph 1</w:t>
            </w:r>
          </w:p>
        </w:tc>
        <w:tc>
          <w:tcPr>
            <w:tcW w:w="2171" w:type="dxa"/>
          </w:tcPr>
          <w:p w:rsidR="00261BA7" w:rsidRPr="002C3246" w:rsidRDefault="00261BA7" w:rsidP="007D3DD3">
            <w:r w:rsidRPr="002C3246">
              <w:t>N/A</w:t>
            </w:r>
          </w:p>
        </w:tc>
        <w:tc>
          <w:tcPr>
            <w:tcW w:w="2423" w:type="dxa"/>
          </w:tcPr>
          <w:p w:rsidR="00261BA7" w:rsidRDefault="00261BA7" w:rsidP="007D3DD3">
            <w:r w:rsidRPr="002C3246">
              <w:t>N/A</w:t>
            </w:r>
          </w:p>
        </w:tc>
        <w:tc>
          <w:tcPr>
            <w:tcW w:w="7395" w:type="dxa"/>
            <w:shd w:val="clear" w:color="auto" w:fill="92D050"/>
          </w:tcPr>
          <w:p w:rsidR="00261BA7" w:rsidRPr="001E0645" w:rsidRDefault="00261BA7" w:rsidP="008A3338">
            <w:pPr>
              <w:rPr>
                <w:rFonts w:cs="Arial"/>
                <w:szCs w:val="20"/>
              </w:rPr>
            </w:pPr>
            <w:r w:rsidRPr="00261BA7">
              <w:rPr>
                <w:rFonts w:cs="Arial"/>
                <w:szCs w:val="20"/>
              </w:rPr>
              <w:t>Introductory text in Technical Advice advising the Commission to draw on the MiFID 1 Implementing Directive Articles 40 to 43 and modify them as directed.</w:t>
            </w:r>
          </w:p>
        </w:tc>
      </w:tr>
      <w:tr w:rsidR="00261BA7" w:rsidRPr="001E0645" w:rsidTr="00261BA7">
        <w:tc>
          <w:tcPr>
            <w:tcW w:w="2229" w:type="dxa"/>
            <w:shd w:val="clear" w:color="auto" w:fill="32464D"/>
          </w:tcPr>
          <w:p w:rsidR="00261BA7" w:rsidRPr="002D1CA7" w:rsidRDefault="00261BA7" w:rsidP="001E7B75">
            <w:r w:rsidRPr="00261BA7">
              <w:rPr>
                <w:color w:val="FFFFFF" w:themeColor="background1"/>
              </w:rPr>
              <w:t>N/A</w:t>
            </w:r>
          </w:p>
        </w:tc>
        <w:tc>
          <w:tcPr>
            <w:tcW w:w="2171" w:type="dxa"/>
          </w:tcPr>
          <w:p w:rsidR="00261BA7" w:rsidRPr="002D1CA7" w:rsidRDefault="00261BA7" w:rsidP="001E7B75">
            <w:r w:rsidRPr="002D1CA7">
              <w:t>Article 40(1)(a)</w:t>
            </w:r>
          </w:p>
        </w:tc>
        <w:tc>
          <w:tcPr>
            <w:tcW w:w="2423" w:type="dxa"/>
          </w:tcPr>
          <w:p w:rsidR="00261BA7" w:rsidRDefault="00261BA7" w:rsidP="001E7B75">
            <w:r w:rsidRPr="002D1CA7">
              <w:t>Article 59(1)(a)</w:t>
            </w:r>
          </w:p>
        </w:tc>
        <w:tc>
          <w:tcPr>
            <w:tcW w:w="7395" w:type="dxa"/>
            <w:shd w:val="clear" w:color="auto" w:fill="92D050"/>
          </w:tcPr>
          <w:p w:rsidR="00261BA7" w:rsidRPr="001E0645" w:rsidRDefault="00261BA7" w:rsidP="00BD7939">
            <w:pPr>
              <w:rPr>
                <w:rFonts w:cs="Arial"/>
                <w:szCs w:val="20"/>
              </w:rPr>
            </w:pPr>
            <w:r w:rsidRPr="00261BA7">
              <w:rPr>
                <w:rFonts w:cs="Arial"/>
                <w:szCs w:val="20"/>
              </w:rPr>
              <w:t>Minor changes – language tidy-up.</w:t>
            </w:r>
          </w:p>
        </w:tc>
      </w:tr>
      <w:tr w:rsidR="00261BA7" w:rsidRPr="001E0645" w:rsidTr="00261BA7">
        <w:tc>
          <w:tcPr>
            <w:tcW w:w="2229" w:type="dxa"/>
            <w:shd w:val="clear" w:color="auto" w:fill="32464D"/>
          </w:tcPr>
          <w:p w:rsidR="00261BA7" w:rsidRPr="00C14BD4" w:rsidRDefault="00261BA7" w:rsidP="00D804FC">
            <w:pPr>
              <w:rPr>
                <w:rFonts w:cs="Arial"/>
                <w:color w:val="FFFFFF" w:themeColor="background1"/>
                <w:szCs w:val="20"/>
              </w:rPr>
            </w:pPr>
            <w:r w:rsidRPr="00C14BD4">
              <w:rPr>
                <w:rFonts w:cs="Arial"/>
                <w:color w:val="FFFFFF" w:themeColor="background1"/>
                <w:szCs w:val="20"/>
              </w:rPr>
              <w:t>Paragraph 2</w:t>
            </w:r>
          </w:p>
        </w:tc>
        <w:tc>
          <w:tcPr>
            <w:tcW w:w="2171" w:type="dxa"/>
          </w:tcPr>
          <w:p w:rsidR="00261BA7" w:rsidRPr="00011233" w:rsidRDefault="00261BA7" w:rsidP="00FC6781">
            <w:r w:rsidRPr="00011233">
              <w:t>Article 40(1)(b)</w:t>
            </w:r>
          </w:p>
        </w:tc>
        <w:tc>
          <w:tcPr>
            <w:tcW w:w="2423" w:type="dxa"/>
          </w:tcPr>
          <w:p w:rsidR="00261BA7" w:rsidRDefault="00261BA7" w:rsidP="00FC6781">
            <w:r w:rsidRPr="00011233">
              <w:t>Article 59(1)(b)</w:t>
            </w:r>
          </w:p>
        </w:tc>
        <w:tc>
          <w:tcPr>
            <w:tcW w:w="7395" w:type="dxa"/>
            <w:shd w:val="clear" w:color="auto" w:fill="FFC000"/>
          </w:tcPr>
          <w:p w:rsidR="00261BA7" w:rsidRPr="001E0645" w:rsidRDefault="00261BA7" w:rsidP="00BD7939">
            <w:pPr>
              <w:rPr>
                <w:rFonts w:cs="Arial"/>
                <w:szCs w:val="20"/>
              </w:rPr>
            </w:pPr>
            <w:r w:rsidRPr="00261BA7">
              <w:rPr>
                <w:rFonts w:cs="Arial"/>
                <w:szCs w:val="20"/>
              </w:rPr>
              <w:t>MiFID 1 Implementing Directive referred to sending the notice to “</w:t>
            </w:r>
            <w:r w:rsidRPr="00261BA7">
              <w:rPr>
                <w:rFonts w:cs="Arial"/>
                <w:b/>
                <w:szCs w:val="20"/>
              </w:rPr>
              <w:t>a retail client</w:t>
            </w:r>
            <w:r w:rsidRPr="00261BA7">
              <w:rPr>
                <w:rFonts w:cs="Arial"/>
                <w:szCs w:val="20"/>
              </w:rPr>
              <w:t>”.  The Delegated Regulation has widened the scope of this requirement as it only refers to “</w:t>
            </w:r>
            <w:r w:rsidRPr="00261BA7">
              <w:rPr>
                <w:rFonts w:cs="Arial"/>
                <w:b/>
                <w:szCs w:val="20"/>
              </w:rPr>
              <w:t>the client</w:t>
            </w:r>
            <w:r w:rsidRPr="00261BA7">
              <w:rPr>
                <w:rFonts w:cs="Arial"/>
                <w:szCs w:val="20"/>
              </w:rPr>
              <w:t>”.</w:t>
            </w:r>
          </w:p>
        </w:tc>
      </w:tr>
      <w:tr w:rsidR="00261BA7" w:rsidRPr="001E0645" w:rsidTr="00261BA7">
        <w:tc>
          <w:tcPr>
            <w:tcW w:w="2229" w:type="dxa"/>
            <w:shd w:val="clear" w:color="auto" w:fill="32464D"/>
          </w:tcPr>
          <w:p w:rsidR="00261BA7" w:rsidRPr="00222B30" w:rsidRDefault="00261BA7" w:rsidP="00335CE1">
            <w:r w:rsidRPr="00261BA7">
              <w:rPr>
                <w:color w:val="FFFFFF" w:themeColor="background1"/>
              </w:rPr>
              <w:t>Paragraph 2</w:t>
            </w:r>
          </w:p>
        </w:tc>
        <w:tc>
          <w:tcPr>
            <w:tcW w:w="2171" w:type="dxa"/>
          </w:tcPr>
          <w:p w:rsidR="00261BA7" w:rsidRPr="00222B30" w:rsidRDefault="00261BA7" w:rsidP="00335CE1">
            <w:r w:rsidRPr="00222B30">
              <w:t>Article 40(1) two paragraphs after bullet (b)</w:t>
            </w:r>
          </w:p>
        </w:tc>
        <w:tc>
          <w:tcPr>
            <w:tcW w:w="2423" w:type="dxa"/>
          </w:tcPr>
          <w:p w:rsidR="00261BA7" w:rsidRDefault="00261BA7" w:rsidP="00335CE1">
            <w:r w:rsidRPr="00222B30">
              <w:t>Article 59(1) two paragraphs after bullet (b)</w:t>
            </w:r>
          </w:p>
        </w:tc>
        <w:tc>
          <w:tcPr>
            <w:tcW w:w="7395" w:type="dxa"/>
            <w:shd w:val="clear" w:color="auto" w:fill="FFC000"/>
          </w:tcPr>
          <w:p w:rsidR="00261BA7" w:rsidRPr="001E0645" w:rsidRDefault="00261BA7" w:rsidP="00CB058A">
            <w:pPr>
              <w:rPr>
                <w:rFonts w:cs="Arial"/>
                <w:szCs w:val="20"/>
              </w:rPr>
            </w:pPr>
            <w:r w:rsidRPr="00261BA7">
              <w:rPr>
                <w:rFonts w:cs="Arial"/>
                <w:szCs w:val="20"/>
              </w:rPr>
              <w:t>As noted above, MiFID 1 Implementing Directive reference to “</w:t>
            </w:r>
            <w:r w:rsidRPr="00261BA7">
              <w:rPr>
                <w:rFonts w:cs="Arial"/>
                <w:b/>
                <w:szCs w:val="20"/>
              </w:rPr>
              <w:t>a retail client</w:t>
            </w:r>
            <w:r w:rsidRPr="00261BA7">
              <w:rPr>
                <w:rFonts w:cs="Arial"/>
                <w:szCs w:val="20"/>
              </w:rPr>
              <w:t>” changed in the Delegated Regulation to “</w:t>
            </w:r>
            <w:r w:rsidRPr="00261BA7">
              <w:rPr>
                <w:rFonts w:cs="Arial"/>
                <w:b/>
                <w:szCs w:val="20"/>
              </w:rPr>
              <w:t>the client</w:t>
            </w:r>
            <w:r w:rsidRPr="00261BA7">
              <w:rPr>
                <w:rFonts w:cs="Arial"/>
                <w:szCs w:val="20"/>
              </w:rPr>
              <w:t>” – widened scope.</w:t>
            </w:r>
          </w:p>
        </w:tc>
      </w:tr>
      <w:tr w:rsidR="00261BA7" w:rsidRPr="001E0645" w:rsidTr="00261BA7">
        <w:tc>
          <w:tcPr>
            <w:tcW w:w="2229" w:type="dxa"/>
            <w:shd w:val="clear" w:color="auto" w:fill="32464D"/>
          </w:tcPr>
          <w:p w:rsidR="00261BA7" w:rsidRPr="00261BA7" w:rsidRDefault="00261BA7" w:rsidP="00811777">
            <w:pPr>
              <w:rPr>
                <w:color w:val="FFFFFF" w:themeColor="background1"/>
              </w:rPr>
            </w:pPr>
            <w:r w:rsidRPr="00261BA7">
              <w:rPr>
                <w:color w:val="FFFFFF" w:themeColor="background1"/>
              </w:rPr>
              <w:t>N/A</w:t>
            </w:r>
          </w:p>
        </w:tc>
        <w:tc>
          <w:tcPr>
            <w:tcW w:w="2171" w:type="dxa"/>
          </w:tcPr>
          <w:p w:rsidR="00261BA7" w:rsidRPr="00EA2E3D" w:rsidRDefault="00261BA7" w:rsidP="00811777">
            <w:r w:rsidRPr="00EA2E3D">
              <w:t>Article 40(2)</w:t>
            </w:r>
          </w:p>
        </w:tc>
        <w:tc>
          <w:tcPr>
            <w:tcW w:w="2423" w:type="dxa"/>
          </w:tcPr>
          <w:p w:rsidR="00261BA7" w:rsidRDefault="00261BA7" w:rsidP="00811777">
            <w:r w:rsidRPr="00EA2E3D">
              <w:t>Article 59(2)</w:t>
            </w:r>
          </w:p>
        </w:tc>
        <w:tc>
          <w:tcPr>
            <w:tcW w:w="7395" w:type="dxa"/>
            <w:shd w:val="clear" w:color="auto" w:fill="92D050"/>
          </w:tcPr>
          <w:p w:rsidR="00261BA7" w:rsidRPr="001E0645" w:rsidRDefault="00261BA7">
            <w:pPr>
              <w:rPr>
                <w:rFonts w:cs="Arial"/>
                <w:szCs w:val="20"/>
              </w:rPr>
            </w:pPr>
            <w:r w:rsidRPr="00261BA7">
              <w:rPr>
                <w:rFonts w:cs="Arial"/>
                <w:szCs w:val="20"/>
              </w:rPr>
              <w:t>Minor changes – language tidy-up</w:t>
            </w:r>
          </w:p>
        </w:tc>
      </w:tr>
      <w:tr w:rsidR="00261BA7" w:rsidRPr="001E0645" w:rsidTr="008767EF">
        <w:tc>
          <w:tcPr>
            <w:tcW w:w="2229" w:type="dxa"/>
            <w:shd w:val="clear" w:color="auto" w:fill="32464D"/>
          </w:tcPr>
          <w:p w:rsidR="00261BA7" w:rsidRPr="00261BA7" w:rsidRDefault="00261BA7" w:rsidP="007F047B">
            <w:pPr>
              <w:rPr>
                <w:color w:val="FFFFFF" w:themeColor="background1"/>
              </w:rPr>
            </w:pPr>
            <w:r w:rsidRPr="00261BA7">
              <w:rPr>
                <w:color w:val="FFFFFF" w:themeColor="background1"/>
              </w:rPr>
              <w:t>N/A</w:t>
            </w:r>
          </w:p>
        </w:tc>
        <w:tc>
          <w:tcPr>
            <w:tcW w:w="2171" w:type="dxa"/>
          </w:tcPr>
          <w:p w:rsidR="00261BA7" w:rsidRPr="00764002" w:rsidRDefault="00261BA7" w:rsidP="007F047B">
            <w:r w:rsidRPr="00764002">
              <w:t>Article 40(4)(a) to (p)</w:t>
            </w:r>
          </w:p>
        </w:tc>
        <w:tc>
          <w:tcPr>
            <w:tcW w:w="2423" w:type="dxa"/>
          </w:tcPr>
          <w:p w:rsidR="00261BA7" w:rsidRDefault="00261BA7" w:rsidP="007F047B">
            <w:r w:rsidRPr="00764002">
              <w:t>Article 59(4)(a) to (p)</w:t>
            </w:r>
          </w:p>
        </w:tc>
        <w:tc>
          <w:tcPr>
            <w:tcW w:w="7395" w:type="dxa"/>
            <w:shd w:val="clear" w:color="auto" w:fill="FF0000"/>
          </w:tcPr>
          <w:p w:rsidR="00261BA7" w:rsidRPr="00261BA7" w:rsidRDefault="00261BA7" w:rsidP="00261BA7">
            <w:pPr>
              <w:spacing w:after="120"/>
              <w:rPr>
                <w:rFonts w:cs="Arial"/>
                <w:b/>
                <w:szCs w:val="20"/>
              </w:rPr>
            </w:pPr>
            <w:r w:rsidRPr="00261BA7">
              <w:rPr>
                <w:rFonts w:cs="Arial"/>
                <w:b/>
                <w:szCs w:val="20"/>
              </w:rPr>
              <w:t>DR Introductory paragraph</w:t>
            </w:r>
          </w:p>
          <w:p w:rsidR="00261BA7" w:rsidRPr="00261BA7" w:rsidRDefault="00261BA7" w:rsidP="00261BA7">
            <w:pPr>
              <w:spacing w:after="120"/>
              <w:rPr>
                <w:rFonts w:cs="Arial"/>
                <w:szCs w:val="20"/>
              </w:rPr>
            </w:pPr>
            <w:r w:rsidRPr="00261BA7">
              <w:rPr>
                <w:rFonts w:cs="Arial"/>
                <w:szCs w:val="20"/>
              </w:rPr>
              <w:t>Minor changes in introductory paragraph to update legislation cross- reference to Regulatory Technical Standards on reporting obligations adopted in accordance with MiFIR Article 26.</w:t>
            </w:r>
          </w:p>
          <w:p w:rsidR="00261BA7" w:rsidRPr="008767EF" w:rsidRDefault="00261BA7" w:rsidP="00261BA7">
            <w:pPr>
              <w:spacing w:after="120"/>
              <w:rPr>
                <w:rFonts w:cs="Arial"/>
                <w:b/>
                <w:szCs w:val="20"/>
              </w:rPr>
            </w:pPr>
            <w:r w:rsidRPr="008767EF">
              <w:rPr>
                <w:rFonts w:cs="Arial"/>
                <w:b/>
                <w:szCs w:val="20"/>
              </w:rPr>
              <w:t>DR Article 59(4)(m)</w:t>
            </w:r>
          </w:p>
          <w:p w:rsidR="00261BA7" w:rsidRPr="00261BA7" w:rsidRDefault="00261BA7" w:rsidP="00261BA7">
            <w:pPr>
              <w:spacing w:after="120"/>
              <w:rPr>
                <w:rFonts w:cs="Arial"/>
                <w:szCs w:val="20"/>
              </w:rPr>
            </w:pPr>
            <w:r w:rsidRPr="00261BA7">
              <w:rPr>
                <w:rFonts w:cs="Arial"/>
                <w:szCs w:val="20"/>
              </w:rPr>
              <w:t xml:space="preserve">Subparagraph (m) amended - MiFID 1 Implementing Directive reference to “retail </w:t>
            </w:r>
            <w:r w:rsidRPr="00261BA7">
              <w:rPr>
                <w:rFonts w:cs="Arial"/>
                <w:szCs w:val="20"/>
              </w:rPr>
              <w:lastRenderedPageBreak/>
              <w:t>clients” changed in the Delegated Regulation to “clients” – widened scope.</w:t>
            </w:r>
          </w:p>
          <w:p w:rsidR="00261BA7" w:rsidRPr="00261BA7" w:rsidRDefault="00261BA7" w:rsidP="00261BA7">
            <w:pPr>
              <w:spacing w:after="120"/>
              <w:rPr>
                <w:rFonts w:cs="Arial"/>
                <w:szCs w:val="20"/>
              </w:rPr>
            </w:pPr>
            <w:r w:rsidRPr="00261BA7">
              <w:rPr>
                <w:rFonts w:cs="Arial"/>
                <w:szCs w:val="20"/>
              </w:rPr>
              <w:t>New wording added in relation to itemised breakdown of total sum of commissions and expenses charged: “...including, where relevant, the amount of any mark-up or mark-down imposed where the transaction was executed by an investment firm when dealing on own account, and the investment firm owes a duty of best execution to the client.”</w:t>
            </w:r>
          </w:p>
          <w:p w:rsidR="00261BA7" w:rsidRPr="008767EF" w:rsidRDefault="00261BA7" w:rsidP="00261BA7">
            <w:pPr>
              <w:spacing w:after="120"/>
              <w:rPr>
                <w:rFonts w:cs="Arial"/>
                <w:b/>
                <w:szCs w:val="20"/>
              </w:rPr>
            </w:pPr>
            <w:r w:rsidRPr="008767EF">
              <w:rPr>
                <w:rFonts w:cs="Arial"/>
                <w:b/>
                <w:szCs w:val="20"/>
              </w:rPr>
              <w:t>DR Article 59(4)(n)</w:t>
            </w:r>
          </w:p>
          <w:p w:rsidR="00261BA7" w:rsidRPr="00261BA7" w:rsidRDefault="00261BA7" w:rsidP="00261BA7">
            <w:pPr>
              <w:spacing w:after="120"/>
              <w:rPr>
                <w:rFonts w:cs="Arial"/>
                <w:szCs w:val="20"/>
              </w:rPr>
            </w:pPr>
            <w:r w:rsidRPr="00261BA7">
              <w:rPr>
                <w:rFonts w:cs="Arial"/>
                <w:szCs w:val="20"/>
              </w:rPr>
              <w:t>New provision added: Requires report to include “the rate of exchange obtained where the transaction involves a conversion of currency”.</w:t>
            </w:r>
          </w:p>
          <w:p w:rsidR="00261BA7" w:rsidRPr="008767EF" w:rsidRDefault="00261BA7" w:rsidP="00261BA7">
            <w:pPr>
              <w:spacing w:after="120"/>
              <w:rPr>
                <w:rFonts w:cs="Arial"/>
                <w:b/>
                <w:szCs w:val="20"/>
              </w:rPr>
            </w:pPr>
            <w:r w:rsidRPr="008767EF">
              <w:rPr>
                <w:rFonts w:cs="Arial"/>
                <w:b/>
                <w:szCs w:val="20"/>
              </w:rPr>
              <w:t>DR Final paragraph</w:t>
            </w:r>
          </w:p>
          <w:p w:rsidR="00261BA7" w:rsidRPr="001E0645" w:rsidRDefault="00261BA7" w:rsidP="00261BA7">
            <w:pPr>
              <w:rPr>
                <w:rFonts w:cs="Arial"/>
                <w:szCs w:val="20"/>
              </w:rPr>
            </w:pPr>
            <w:r w:rsidRPr="00261BA7">
              <w:rPr>
                <w:rFonts w:cs="Arial"/>
                <w:szCs w:val="20"/>
              </w:rPr>
              <w:t>MiFID 1 Implementing Directive reference to “retail client” changed in the Delegated Regulation to “client” – widened scope</w:t>
            </w:r>
          </w:p>
        </w:tc>
      </w:tr>
      <w:tr w:rsidR="008767EF" w:rsidRPr="001E0645" w:rsidTr="00261BA7">
        <w:tc>
          <w:tcPr>
            <w:tcW w:w="2229" w:type="dxa"/>
            <w:shd w:val="clear" w:color="auto" w:fill="32464D"/>
          </w:tcPr>
          <w:p w:rsidR="008767EF" w:rsidRPr="00C14BD4" w:rsidRDefault="008767EF" w:rsidP="00D804FC">
            <w:pPr>
              <w:rPr>
                <w:rFonts w:cs="Arial"/>
                <w:color w:val="FFFFFF" w:themeColor="background1"/>
                <w:szCs w:val="20"/>
              </w:rPr>
            </w:pPr>
          </w:p>
        </w:tc>
        <w:tc>
          <w:tcPr>
            <w:tcW w:w="2171" w:type="dxa"/>
          </w:tcPr>
          <w:p w:rsidR="008767EF" w:rsidRPr="00923FBE" w:rsidRDefault="008767EF" w:rsidP="007C0FB3">
            <w:r w:rsidRPr="00923FBE">
              <w:t>Article 40(5)</w:t>
            </w:r>
          </w:p>
        </w:tc>
        <w:tc>
          <w:tcPr>
            <w:tcW w:w="2423" w:type="dxa"/>
          </w:tcPr>
          <w:p w:rsidR="008767EF" w:rsidRDefault="008767EF" w:rsidP="007C0FB3">
            <w:r w:rsidRPr="00923FBE">
              <w:t>Article 59(5)</w:t>
            </w:r>
          </w:p>
        </w:tc>
        <w:tc>
          <w:tcPr>
            <w:tcW w:w="7395" w:type="dxa"/>
            <w:shd w:val="clear" w:color="auto" w:fill="92D050"/>
          </w:tcPr>
          <w:p w:rsidR="008767EF" w:rsidRPr="001E0645" w:rsidRDefault="008767EF">
            <w:pPr>
              <w:rPr>
                <w:rFonts w:cs="Arial"/>
                <w:szCs w:val="20"/>
              </w:rPr>
            </w:pPr>
            <w:r w:rsidRPr="008767EF">
              <w:rPr>
                <w:rFonts w:cs="Arial"/>
                <w:szCs w:val="20"/>
              </w:rPr>
              <w:t>No changes</w:t>
            </w:r>
          </w:p>
        </w:tc>
      </w:tr>
      <w:tr w:rsidR="008767EF" w:rsidRPr="001E0645" w:rsidTr="003B29D9">
        <w:tc>
          <w:tcPr>
            <w:tcW w:w="14218" w:type="dxa"/>
            <w:gridSpan w:val="4"/>
            <w:shd w:val="clear" w:color="auto" w:fill="32464D"/>
          </w:tcPr>
          <w:p w:rsidR="008767EF" w:rsidRPr="008767EF" w:rsidRDefault="008767EF">
            <w:pPr>
              <w:rPr>
                <w:rFonts w:cs="Arial"/>
                <w:color w:val="FFFFFF" w:themeColor="background1"/>
                <w:szCs w:val="20"/>
              </w:rPr>
            </w:pPr>
            <w:r w:rsidRPr="008767EF">
              <w:rPr>
                <w:rFonts w:cs="Arial"/>
                <w:color w:val="FFFFFF" w:themeColor="background1"/>
                <w:szCs w:val="20"/>
              </w:rPr>
              <w:t>Reporting obligations in respect of portfolio management</w:t>
            </w:r>
          </w:p>
        </w:tc>
      </w:tr>
      <w:tr w:rsidR="0011668D" w:rsidRPr="001E0645" w:rsidTr="00261BA7">
        <w:tc>
          <w:tcPr>
            <w:tcW w:w="2229" w:type="dxa"/>
            <w:shd w:val="clear" w:color="auto" w:fill="32464D"/>
          </w:tcPr>
          <w:p w:rsidR="0011668D" w:rsidRPr="00C14BD4" w:rsidRDefault="0011668D" w:rsidP="00D804FC">
            <w:pPr>
              <w:rPr>
                <w:rFonts w:cs="Arial"/>
                <w:color w:val="FFFFFF" w:themeColor="background1"/>
                <w:szCs w:val="20"/>
              </w:rPr>
            </w:pPr>
            <w:r>
              <w:rPr>
                <w:rFonts w:cs="Arial"/>
                <w:color w:val="FFFFFF" w:themeColor="background1"/>
                <w:szCs w:val="20"/>
              </w:rPr>
              <w:t>N/A</w:t>
            </w:r>
          </w:p>
        </w:tc>
        <w:tc>
          <w:tcPr>
            <w:tcW w:w="2171" w:type="dxa"/>
          </w:tcPr>
          <w:p w:rsidR="0011668D" w:rsidRPr="00BE026B" w:rsidRDefault="0011668D" w:rsidP="00EB56CF">
            <w:r w:rsidRPr="00BE026B">
              <w:t>Article 41(1)</w:t>
            </w:r>
          </w:p>
        </w:tc>
        <w:tc>
          <w:tcPr>
            <w:tcW w:w="2423" w:type="dxa"/>
          </w:tcPr>
          <w:p w:rsidR="0011668D" w:rsidRDefault="0011668D" w:rsidP="00EB56CF">
            <w:r w:rsidRPr="00BE026B">
              <w:t>Article 60(1)</w:t>
            </w:r>
          </w:p>
        </w:tc>
        <w:tc>
          <w:tcPr>
            <w:tcW w:w="7395" w:type="dxa"/>
            <w:shd w:val="clear" w:color="auto" w:fill="92D050"/>
          </w:tcPr>
          <w:p w:rsidR="0011668D" w:rsidRPr="001E0645" w:rsidRDefault="0011668D">
            <w:pPr>
              <w:rPr>
                <w:rFonts w:cs="Arial"/>
                <w:szCs w:val="20"/>
              </w:rPr>
            </w:pPr>
            <w:r w:rsidRPr="0011668D">
              <w:rPr>
                <w:rFonts w:cs="Arial"/>
                <w:szCs w:val="20"/>
              </w:rPr>
              <w:t>Minor changes – language tidy-up.</w:t>
            </w:r>
          </w:p>
        </w:tc>
      </w:tr>
      <w:tr w:rsidR="00E54776" w:rsidRPr="001E0645" w:rsidTr="00E54776">
        <w:tc>
          <w:tcPr>
            <w:tcW w:w="2229" w:type="dxa"/>
            <w:shd w:val="clear" w:color="auto" w:fill="32464D"/>
          </w:tcPr>
          <w:p w:rsidR="00E54776" w:rsidRPr="002F08FD" w:rsidRDefault="00E54776" w:rsidP="00416C0C">
            <w:r w:rsidRPr="00E54776">
              <w:rPr>
                <w:color w:val="FFFFFF" w:themeColor="background1"/>
              </w:rPr>
              <w:t>Paragraph 4</w:t>
            </w:r>
          </w:p>
        </w:tc>
        <w:tc>
          <w:tcPr>
            <w:tcW w:w="2171" w:type="dxa"/>
          </w:tcPr>
          <w:p w:rsidR="00E54776" w:rsidRPr="002F08FD" w:rsidRDefault="00E54776" w:rsidP="00416C0C">
            <w:r w:rsidRPr="002F08FD">
              <w:t>Article 41(2) introductory paragraph and (a) to (h)</w:t>
            </w:r>
          </w:p>
        </w:tc>
        <w:tc>
          <w:tcPr>
            <w:tcW w:w="2423" w:type="dxa"/>
          </w:tcPr>
          <w:p w:rsidR="00E54776" w:rsidRDefault="00E54776" w:rsidP="00416C0C">
            <w:r w:rsidRPr="002F08FD">
              <w:t>Article 60(2) introductory paragraph and (a) to (h)</w:t>
            </w:r>
          </w:p>
        </w:tc>
        <w:tc>
          <w:tcPr>
            <w:tcW w:w="7395" w:type="dxa"/>
            <w:shd w:val="clear" w:color="auto" w:fill="FFC000"/>
          </w:tcPr>
          <w:p w:rsidR="00E54776" w:rsidRPr="00E54776" w:rsidRDefault="00E54776" w:rsidP="00E54776">
            <w:pPr>
              <w:spacing w:after="120"/>
              <w:rPr>
                <w:rFonts w:cs="Arial"/>
                <w:b/>
                <w:szCs w:val="20"/>
                <w:u w:val="single"/>
              </w:rPr>
            </w:pPr>
            <w:r w:rsidRPr="00E54776">
              <w:rPr>
                <w:rFonts w:cs="Arial"/>
                <w:b/>
                <w:szCs w:val="20"/>
                <w:u w:val="single"/>
              </w:rPr>
              <w:t>Introductory paragraph</w:t>
            </w:r>
          </w:p>
          <w:p w:rsidR="00E54776" w:rsidRPr="00E54776" w:rsidRDefault="00E54776" w:rsidP="00E54776">
            <w:pPr>
              <w:spacing w:after="120"/>
              <w:rPr>
                <w:rFonts w:cs="Arial"/>
                <w:szCs w:val="20"/>
              </w:rPr>
            </w:pPr>
            <w:r w:rsidRPr="00E54776">
              <w:rPr>
                <w:rFonts w:cs="Arial"/>
                <w:szCs w:val="20"/>
              </w:rPr>
              <w:t>MiFID 1 Implementing Directive reference to “retail client” removed.</w:t>
            </w:r>
            <w:r w:rsidR="00257698">
              <w:rPr>
                <w:rFonts w:cs="Arial"/>
                <w:szCs w:val="20"/>
              </w:rPr>
              <w:t xml:space="preserve"> </w:t>
            </w:r>
            <w:r w:rsidRPr="00E54776">
              <w:rPr>
                <w:rFonts w:cs="Arial"/>
                <w:szCs w:val="20"/>
              </w:rPr>
              <w:t>New text suggested in Technical Advice paragraph 4 on including “a fair and balanced review” incorporated into introductory paragraph.</w:t>
            </w:r>
            <w:r w:rsidR="00257698">
              <w:rPr>
                <w:rFonts w:cs="Arial"/>
                <w:szCs w:val="20"/>
              </w:rPr>
              <w:t xml:space="preserve"> </w:t>
            </w:r>
            <w:r w:rsidRPr="00E54776">
              <w:rPr>
                <w:rFonts w:cs="Arial"/>
                <w:szCs w:val="20"/>
              </w:rPr>
              <w:t>Note: where the Technical Advice sentence specifically referred to “both retail and professional clients”, the Delegated Regulation sentence does not include this, but the broadened scope to “clients” generally has already been established.</w:t>
            </w:r>
          </w:p>
          <w:p w:rsidR="00E54776" w:rsidRPr="00E54776" w:rsidRDefault="00E54776" w:rsidP="00E54776">
            <w:pPr>
              <w:spacing w:after="120"/>
              <w:rPr>
                <w:rFonts w:cs="Arial"/>
                <w:szCs w:val="20"/>
              </w:rPr>
            </w:pPr>
            <w:r w:rsidRPr="00E54776">
              <w:rPr>
                <w:rFonts w:cs="Arial"/>
                <w:szCs w:val="20"/>
              </w:rPr>
              <w:t>New text: “...provide a fair and balanced review of the activities undertaken and of the performance of the portfolio during the reporting period and shall...”.</w:t>
            </w:r>
          </w:p>
          <w:p w:rsidR="00E54776" w:rsidRPr="00E54776" w:rsidRDefault="00E54776" w:rsidP="00E54776">
            <w:pPr>
              <w:spacing w:after="120"/>
              <w:rPr>
                <w:rFonts w:cs="Arial"/>
                <w:b/>
                <w:szCs w:val="20"/>
                <w:u w:val="single"/>
              </w:rPr>
            </w:pPr>
            <w:r w:rsidRPr="00E54776">
              <w:rPr>
                <w:rFonts w:cs="Arial"/>
                <w:b/>
                <w:szCs w:val="20"/>
                <w:u w:val="single"/>
              </w:rPr>
              <w:t>DR Article 60(2)(b)</w:t>
            </w:r>
          </w:p>
          <w:p w:rsidR="00E54776" w:rsidRPr="00E54776" w:rsidRDefault="00E54776" w:rsidP="00E54776">
            <w:pPr>
              <w:spacing w:after="120"/>
              <w:rPr>
                <w:rFonts w:cs="Arial"/>
                <w:szCs w:val="20"/>
              </w:rPr>
            </w:pPr>
            <w:r w:rsidRPr="00E54776">
              <w:rPr>
                <w:rFonts w:cs="Arial"/>
                <w:szCs w:val="20"/>
              </w:rPr>
              <w:t>MiFID 1 Implementing Directive reference to “retail client” changed in the Delegated Regulation to “client” – widened scope.</w:t>
            </w:r>
          </w:p>
          <w:p w:rsidR="00E54776" w:rsidRPr="00E54776" w:rsidRDefault="00E54776" w:rsidP="00E54776">
            <w:pPr>
              <w:spacing w:after="120"/>
              <w:rPr>
                <w:rFonts w:cs="Arial"/>
                <w:b/>
                <w:szCs w:val="20"/>
                <w:u w:val="single"/>
              </w:rPr>
            </w:pPr>
            <w:r w:rsidRPr="00E54776">
              <w:rPr>
                <w:rFonts w:cs="Arial"/>
                <w:b/>
                <w:szCs w:val="20"/>
                <w:u w:val="single"/>
              </w:rPr>
              <w:t>DR Article 60(2)(h)</w:t>
            </w:r>
          </w:p>
          <w:p w:rsidR="00E54776" w:rsidRPr="0011668D" w:rsidRDefault="00E54776" w:rsidP="00E54776">
            <w:pPr>
              <w:rPr>
                <w:rFonts w:cs="Arial"/>
                <w:szCs w:val="20"/>
              </w:rPr>
            </w:pPr>
            <w:r w:rsidRPr="00E54776">
              <w:rPr>
                <w:rFonts w:cs="Arial"/>
                <w:szCs w:val="20"/>
              </w:rPr>
              <w:t>Minor amendment to Article cross-reference.</w:t>
            </w:r>
          </w:p>
        </w:tc>
      </w:tr>
      <w:tr w:rsidR="00E54776" w:rsidRPr="001E0645" w:rsidTr="00E54776">
        <w:tc>
          <w:tcPr>
            <w:tcW w:w="2229" w:type="dxa"/>
            <w:shd w:val="clear" w:color="auto" w:fill="32464D"/>
          </w:tcPr>
          <w:p w:rsidR="00E54776" w:rsidRPr="00D82F31" w:rsidRDefault="00E54776" w:rsidP="00B75AF5">
            <w:r w:rsidRPr="00E54776">
              <w:rPr>
                <w:color w:val="FFFFFF" w:themeColor="background1"/>
              </w:rPr>
              <w:t>Paragraph 5</w:t>
            </w:r>
          </w:p>
        </w:tc>
        <w:tc>
          <w:tcPr>
            <w:tcW w:w="2171" w:type="dxa"/>
          </w:tcPr>
          <w:p w:rsidR="00E54776" w:rsidRPr="00D82F31" w:rsidRDefault="00E54776" w:rsidP="00B75AF5">
            <w:r w:rsidRPr="00D82F31">
              <w:t xml:space="preserve">Article 41(3) introductory </w:t>
            </w:r>
            <w:r w:rsidRPr="00D82F31">
              <w:lastRenderedPageBreak/>
              <w:t>paragraph and 41(3)(a)</w:t>
            </w:r>
          </w:p>
        </w:tc>
        <w:tc>
          <w:tcPr>
            <w:tcW w:w="2423" w:type="dxa"/>
          </w:tcPr>
          <w:p w:rsidR="00E54776" w:rsidRDefault="00E54776" w:rsidP="00B75AF5">
            <w:r w:rsidRPr="00D82F31">
              <w:lastRenderedPageBreak/>
              <w:t>Article 60(3) introductory paragraph</w:t>
            </w:r>
          </w:p>
        </w:tc>
        <w:tc>
          <w:tcPr>
            <w:tcW w:w="7395" w:type="dxa"/>
            <w:shd w:val="clear" w:color="auto" w:fill="92D050"/>
          </w:tcPr>
          <w:p w:rsidR="00E54776" w:rsidRPr="00E54776" w:rsidRDefault="00E54776" w:rsidP="00E54776">
            <w:pPr>
              <w:spacing w:after="120"/>
              <w:rPr>
                <w:rFonts w:cs="Arial"/>
                <w:szCs w:val="20"/>
              </w:rPr>
            </w:pPr>
            <w:r w:rsidRPr="00E54776">
              <w:rPr>
                <w:rFonts w:cs="Arial"/>
                <w:szCs w:val="20"/>
              </w:rPr>
              <w:t xml:space="preserve">As directed in Technical Advice paragraph 5, the frequency of periodic statements has been increased to once every three months. In addition, MiFID 1 </w:t>
            </w:r>
            <w:r w:rsidRPr="00E54776">
              <w:rPr>
                <w:rFonts w:cs="Arial"/>
                <w:szCs w:val="20"/>
              </w:rPr>
              <w:lastRenderedPageBreak/>
              <w:t>Implementing Directive reference to “retail client” removed – widened scope.</w:t>
            </w:r>
          </w:p>
        </w:tc>
      </w:tr>
      <w:tr w:rsidR="00E54776" w:rsidRPr="001E0645" w:rsidTr="00E54776">
        <w:tc>
          <w:tcPr>
            <w:tcW w:w="2229" w:type="dxa"/>
            <w:shd w:val="clear" w:color="auto" w:fill="32464D"/>
          </w:tcPr>
          <w:p w:rsidR="00E54776" w:rsidRPr="00E54776" w:rsidRDefault="00E54776" w:rsidP="002F54D4">
            <w:pPr>
              <w:rPr>
                <w:color w:val="FFFFFF" w:themeColor="background1"/>
              </w:rPr>
            </w:pPr>
            <w:r w:rsidRPr="00E54776">
              <w:rPr>
                <w:color w:val="FFFFFF" w:themeColor="background1"/>
              </w:rPr>
              <w:lastRenderedPageBreak/>
              <w:t>Paragraph 5</w:t>
            </w:r>
          </w:p>
        </w:tc>
        <w:tc>
          <w:tcPr>
            <w:tcW w:w="2171" w:type="dxa"/>
          </w:tcPr>
          <w:p w:rsidR="00E54776" w:rsidRPr="00CC14B6" w:rsidRDefault="00E54776" w:rsidP="002F54D4">
            <w:r w:rsidRPr="00CC14B6">
              <w:t>N/A</w:t>
            </w:r>
          </w:p>
        </w:tc>
        <w:tc>
          <w:tcPr>
            <w:tcW w:w="2423" w:type="dxa"/>
          </w:tcPr>
          <w:p w:rsidR="00E54776" w:rsidRDefault="00E54776" w:rsidP="002F54D4">
            <w:r w:rsidRPr="00CC14B6">
              <w:t>Article 60(3)(a)</w:t>
            </w:r>
          </w:p>
        </w:tc>
        <w:tc>
          <w:tcPr>
            <w:tcW w:w="7395" w:type="dxa"/>
            <w:shd w:val="clear" w:color="auto" w:fill="92D050"/>
          </w:tcPr>
          <w:p w:rsidR="00E54776" w:rsidRPr="00E54776" w:rsidRDefault="00E54776" w:rsidP="00E54776">
            <w:pPr>
              <w:spacing w:after="120"/>
              <w:rPr>
                <w:rFonts w:cs="Arial"/>
                <w:szCs w:val="20"/>
              </w:rPr>
            </w:pPr>
            <w:r w:rsidRPr="00E54776">
              <w:rPr>
                <w:rFonts w:cs="Arial"/>
                <w:b/>
                <w:szCs w:val="20"/>
              </w:rPr>
              <w:t>New provision</w:t>
            </w:r>
            <w:r w:rsidRPr="00E54776">
              <w:rPr>
                <w:rFonts w:cs="Arial"/>
                <w:szCs w:val="20"/>
              </w:rPr>
              <w:t xml:space="preserve"> – as directed in Technical Advice paragraph 5, new exception to the “every three months” requirement:</w:t>
            </w:r>
          </w:p>
          <w:p w:rsidR="00E54776" w:rsidRPr="00E54776" w:rsidRDefault="00E54776" w:rsidP="00E54776">
            <w:pPr>
              <w:spacing w:after="120"/>
              <w:rPr>
                <w:rFonts w:cs="Arial"/>
                <w:szCs w:val="20"/>
              </w:rPr>
            </w:pPr>
            <w:r w:rsidRPr="00E54776">
              <w:rPr>
                <w:rFonts w:cs="Arial"/>
                <w:szCs w:val="20"/>
              </w:rPr>
              <w:t>“</w:t>
            </w:r>
            <w:r w:rsidRPr="00E54776">
              <w:rPr>
                <w:rFonts w:cs="Arial"/>
                <w:i/>
                <w:szCs w:val="20"/>
              </w:rPr>
              <w:t>where the investment firm provides its clients with access to an online system, which qualifies as a durable medium, where up-to-date valuations of the client’s portfolio can be accessed and where the client can easily access the information required by Article 63(2) and the firm has evidence that the client has accessed a valuation of their portfolio at least once during the relevant quarter</w:t>
            </w:r>
            <w:r w:rsidRPr="00E54776">
              <w:rPr>
                <w:rFonts w:cs="Arial"/>
                <w:szCs w:val="20"/>
              </w:rPr>
              <w:t>”.</w:t>
            </w:r>
          </w:p>
          <w:p w:rsidR="00E54776" w:rsidRPr="00E54776" w:rsidRDefault="00E54776" w:rsidP="00E54776">
            <w:pPr>
              <w:spacing w:after="120"/>
              <w:rPr>
                <w:rFonts w:cs="Arial"/>
                <w:szCs w:val="20"/>
              </w:rPr>
            </w:pPr>
            <w:r w:rsidRPr="00E54776">
              <w:rPr>
                <w:rFonts w:cs="Arial"/>
                <w:szCs w:val="20"/>
              </w:rPr>
              <w:t>N</w:t>
            </w:r>
            <w:r w:rsidRPr="00E54776">
              <w:rPr>
                <w:rFonts w:cs="Arial"/>
                <w:b/>
                <w:szCs w:val="20"/>
              </w:rPr>
              <w:t>OTE: Also see Delegated Regulation Article 63(2) for similar wording.</w:t>
            </w:r>
          </w:p>
        </w:tc>
      </w:tr>
      <w:tr w:rsidR="00E54776" w:rsidRPr="001E0645" w:rsidTr="00E54776">
        <w:tc>
          <w:tcPr>
            <w:tcW w:w="2229" w:type="dxa"/>
            <w:shd w:val="clear" w:color="auto" w:fill="32464D"/>
          </w:tcPr>
          <w:p w:rsidR="00E54776" w:rsidRPr="00C503F4" w:rsidRDefault="00E54776" w:rsidP="00925106">
            <w:r w:rsidRPr="00E54776">
              <w:rPr>
                <w:color w:val="FFFFFF" w:themeColor="background1"/>
              </w:rPr>
              <w:t>Paragraph 5</w:t>
            </w:r>
          </w:p>
        </w:tc>
        <w:tc>
          <w:tcPr>
            <w:tcW w:w="2171" w:type="dxa"/>
          </w:tcPr>
          <w:p w:rsidR="00E54776" w:rsidRPr="00C503F4" w:rsidRDefault="00E54776" w:rsidP="00925106">
            <w:r w:rsidRPr="00C503F4">
              <w:t>Article 41(3)(a) to (c) and final paragraphs</w:t>
            </w:r>
          </w:p>
        </w:tc>
        <w:tc>
          <w:tcPr>
            <w:tcW w:w="2423" w:type="dxa"/>
          </w:tcPr>
          <w:p w:rsidR="00E54776" w:rsidRDefault="00E54776" w:rsidP="00925106">
            <w:r w:rsidRPr="00C503F4">
              <w:t>Article 60(3)(b) to (c) and final paragraphs</w:t>
            </w:r>
          </w:p>
        </w:tc>
        <w:tc>
          <w:tcPr>
            <w:tcW w:w="7395" w:type="dxa"/>
            <w:shd w:val="clear" w:color="auto" w:fill="FFC000"/>
          </w:tcPr>
          <w:p w:rsidR="00E54776" w:rsidRPr="00E54776" w:rsidRDefault="00E54776" w:rsidP="00E54776">
            <w:pPr>
              <w:spacing w:after="120"/>
              <w:rPr>
                <w:rFonts w:cs="Arial"/>
                <w:szCs w:val="20"/>
              </w:rPr>
            </w:pPr>
            <w:r w:rsidRPr="00E54776">
              <w:rPr>
                <w:rFonts w:cs="Arial"/>
                <w:szCs w:val="20"/>
              </w:rPr>
              <w:t>MiFID 1 Implementing Directive reference to “retail client” removed – widened scope.</w:t>
            </w:r>
          </w:p>
          <w:p w:rsidR="00E54776" w:rsidRPr="00E54776" w:rsidRDefault="00E54776" w:rsidP="00E54776">
            <w:pPr>
              <w:spacing w:after="120"/>
              <w:rPr>
                <w:rFonts w:cs="Arial"/>
                <w:b/>
                <w:szCs w:val="20"/>
              </w:rPr>
            </w:pPr>
            <w:r w:rsidRPr="00E54776">
              <w:rPr>
                <w:rFonts w:cs="Arial"/>
                <w:szCs w:val="20"/>
              </w:rPr>
              <w:t>Minor changes – language and legislative reference tidy-up.</w:t>
            </w:r>
          </w:p>
        </w:tc>
      </w:tr>
      <w:tr w:rsidR="00E54776" w:rsidRPr="001E0645" w:rsidTr="00E54776">
        <w:tc>
          <w:tcPr>
            <w:tcW w:w="2229" w:type="dxa"/>
            <w:shd w:val="clear" w:color="auto" w:fill="32464D"/>
          </w:tcPr>
          <w:p w:rsidR="00E54776" w:rsidRPr="00762B75" w:rsidRDefault="00E54776" w:rsidP="00647F78">
            <w:r w:rsidRPr="00E54776">
              <w:rPr>
                <w:color w:val="FFFFFF" w:themeColor="background1"/>
              </w:rPr>
              <w:t>N/A</w:t>
            </w:r>
          </w:p>
        </w:tc>
        <w:tc>
          <w:tcPr>
            <w:tcW w:w="2171" w:type="dxa"/>
          </w:tcPr>
          <w:p w:rsidR="00E54776" w:rsidRPr="00762B75" w:rsidRDefault="00E54776" w:rsidP="00647F78">
            <w:r w:rsidRPr="00762B75">
              <w:t>Article 41(4)</w:t>
            </w:r>
          </w:p>
        </w:tc>
        <w:tc>
          <w:tcPr>
            <w:tcW w:w="2423" w:type="dxa"/>
          </w:tcPr>
          <w:p w:rsidR="00E54776" w:rsidRDefault="00E54776" w:rsidP="00647F78">
            <w:r w:rsidRPr="00762B75">
              <w:t>Article 60(4)</w:t>
            </w:r>
          </w:p>
        </w:tc>
        <w:tc>
          <w:tcPr>
            <w:tcW w:w="7395" w:type="dxa"/>
            <w:shd w:val="clear" w:color="auto" w:fill="FFC000"/>
          </w:tcPr>
          <w:p w:rsidR="00E54776" w:rsidRPr="00E54776" w:rsidRDefault="00E54776" w:rsidP="00E54776">
            <w:pPr>
              <w:spacing w:after="120"/>
              <w:rPr>
                <w:rFonts w:cs="Arial"/>
                <w:szCs w:val="20"/>
              </w:rPr>
            </w:pPr>
            <w:r w:rsidRPr="00E54776">
              <w:rPr>
                <w:rFonts w:cs="Arial"/>
                <w:szCs w:val="20"/>
              </w:rPr>
              <w:t>MiFID 1 Implementing Directive reference to “retail client” removed – widened scope.</w:t>
            </w:r>
          </w:p>
          <w:p w:rsidR="00E54776" w:rsidRPr="00E54776" w:rsidRDefault="00E54776" w:rsidP="00E54776">
            <w:pPr>
              <w:spacing w:after="120"/>
              <w:rPr>
                <w:rFonts w:cs="Arial"/>
                <w:szCs w:val="20"/>
              </w:rPr>
            </w:pPr>
            <w:r w:rsidRPr="00E54776">
              <w:rPr>
                <w:rFonts w:cs="Arial"/>
                <w:szCs w:val="20"/>
              </w:rPr>
              <w:t>Minor changes – language and legislative reference tidy-up.</w:t>
            </w:r>
          </w:p>
        </w:tc>
      </w:tr>
      <w:tr w:rsidR="00E54776" w:rsidRPr="001E0645" w:rsidTr="00C16E17">
        <w:tc>
          <w:tcPr>
            <w:tcW w:w="14218" w:type="dxa"/>
            <w:gridSpan w:val="4"/>
            <w:shd w:val="clear" w:color="auto" w:fill="32464D"/>
          </w:tcPr>
          <w:p w:rsidR="00E54776" w:rsidRPr="00E54776" w:rsidRDefault="00E54776" w:rsidP="00E54776">
            <w:pPr>
              <w:spacing w:after="120"/>
              <w:rPr>
                <w:rFonts w:cs="Arial"/>
                <w:szCs w:val="20"/>
              </w:rPr>
            </w:pPr>
            <w:r w:rsidRPr="00E54776">
              <w:rPr>
                <w:rFonts w:cs="Arial"/>
                <w:color w:val="FFFFFF" w:themeColor="background1"/>
                <w:szCs w:val="20"/>
              </w:rPr>
              <w:t>Reporting obligations in respect of eligible counterparties</w:t>
            </w:r>
          </w:p>
        </w:tc>
      </w:tr>
      <w:tr w:rsidR="00257698" w:rsidRPr="001E0645" w:rsidTr="00257698">
        <w:tc>
          <w:tcPr>
            <w:tcW w:w="2229" w:type="dxa"/>
            <w:shd w:val="clear" w:color="auto" w:fill="32464D"/>
          </w:tcPr>
          <w:p w:rsidR="00257698" w:rsidRPr="00D16B9B" w:rsidRDefault="00257698" w:rsidP="004C515B">
            <w:r w:rsidRPr="00257698">
              <w:rPr>
                <w:color w:val="FFFFFF" w:themeColor="background1"/>
              </w:rPr>
              <w:t>Paragraph 3</w:t>
            </w:r>
          </w:p>
        </w:tc>
        <w:tc>
          <w:tcPr>
            <w:tcW w:w="2171" w:type="dxa"/>
          </w:tcPr>
          <w:p w:rsidR="00257698" w:rsidRPr="00D16B9B" w:rsidRDefault="00257698" w:rsidP="004C515B">
            <w:r w:rsidRPr="00D16B9B">
              <w:t>N/A</w:t>
            </w:r>
          </w:p>
        </w:tc>
        <w:tc>
          <w:tcPr>
            <w:tcW w:w="2423" w:type="dxa"/>
          </w:tcPr>
          <w:p w:rsidR="00257698" w:rsidRDefault="00257698" w:rsidP="004C515B">
            <w:r w:rsidRPr="00D16B9B">
              <w:t>Article 61</w:t>
            </w:r>
          </w:p>
        </w:tc>
        <w:tc>
          <w:tcPr>
            <w:tcW w:w="7395" w:type="dxa"/>
            <w:shd w:val="clear" w:color="auto" w:fill="92D050"/>
          </w:tcPr>
          <w:p w:rsidR="00257698" w:rsidRPr="00257698" w:rsidRDefault="00257698" w:rsidP="00257698">
            <w:pPr>
              <w:spacing w:after="120"/>
              <w:rPr>
                <w:rFonts w:cs="Arial"/>
                <w:szCs w:val="20"/>
              </w:rPr>
            </w:pPr>
            <w:r w:rsidRPr="00257698">
              <w:rPr>
                <w:rFonts w:cs="Arial"/>
                <w:szCs w:val="20"/>
              </w:rPr>
              <w:t>As directed by Technical Advice paragraph 3, the Delegated Regulation contains a new provision which allows investment firms to enter into agreements with eligible counterparties to determine content and timing of reporting which are different from the ones applicable to retail and professional clients:</w:t>
            </w:r>
          </w:p>
          <w:p w:rsidR="00257698" w:rsidRPr="00E54776" w:rsidRDefault="00257698" w:rsidP="00257698">
            <w:pPr>
              <w:spacing w:after="120"/>
              <w:rPr>
                <w:rFonts w:cs="Arial"/>
                <w:szCs w:val="20"/>
              </w:rPr>
            </w:pPr>
            <w:r w:rsidRPr="00257698">
              <w:rPr>
                <w:rFonts w:cs="Arial"/>
                <w:szCs w:val="20"/>
              </w:rPr>
              <w:t>“</w:t>
            </w:r>
            <w:r w:rsidRPr="00257698">
              <w:rPr>
                <w:rFonts w:cs="Arial"/>
                <w:i/>
                <w:szCs w:val="20"/>
              </w:rPr>
              <w:t>The requirements applicable to reports for retail and professional clients under Articles 49 and 59 shall apply unless investment firms enter into agreements with eligible counterparties to determine content and timing of reporting.”</w:t>
            </w:r>
          </w:p>
        </w:tc>
      </w:tr>
      <w:tr w:rsidR="00257698" w:rsidRPr="001E0645" w:rsidTr="00F45B44">
        <w:tc>
          <w:tcPr>
            <w:tcW w:w="14218" w:type="dxa"/>
            <w:gridSpan w:val="4"/>
            <w:shd w:val="clear" w:color="auto" w:fill="32464D"/>
          </w:tcPr>
          <w:p w:rsidR="00257698" w:rsidRPr="00257698" w:rsidRDefault="00257698" w:rsidP="00257698">
            <w:pPr>
              <w:spacing w:after="120"/>
              <w:rPr>
                <w:rFonts w:cs="Arial"/>
                <w:szCs w:val="20"/>
              </w:rPr>
            </w:pPr>
            <w:r w:rsidRPr="00257698">
              <w:rPr>
                <w:rFonts w:cs="Arial"/>
                <w:color w:val="FFFFFF" w:themeColor="background1"/>
                <w:szCs w:val="20"/>
              </w:rPr>
              <w:t>Additional reporting obligations for portfolio management or contingent liability transactions</w:t>
            </w:r>
          </w:p>
        </w:tc>
      </w:tr>
      <w:tr w:rsidR="00257698" w:rsidRPr="001E0645" w:rsidTr="00257698">
        <w:tc>
          <w:tcPr>
            <w:tcW w:w="2229" w:type="dxa"/>
            <w:shd w:val="clear" w:color="auto" w:fill="32464D"/>
          </w:tcPr>
          <w:p w:rsidR="00257698" w:rsidRPr="00C12031" w:rsidRDefault="00257698" w:rsidP="001861E2">
            <w:r w:rsidRPr="00257698">
              <w:rPr>
                <w:color w:val="FFFFFF" w:themeColor="background1"/>
              </w:rPr>
              <w:t>Paragraph 6</w:t>
            </w:r>
          </w:p>
        </w:tc>
        <w:tc>
          <w:tcPr>
            <w:tcW w:w="2171" w:type="dxa"/>
          </w:tcPr>
          <w:p w:rsidR="00257698" w:rsidRPr="00C12031" w:rsidRDefault="00257698" w:rsidP="001861E2">
            <w:r w:rsidRPr="00C12031">
              <w:t>N/A</w:t>
            </w:r>
          </w:p>
        </w:tc>
        <w:tc>
          <w:tcPr>
            <w:tcW w:w="2423" w:type="dxa"/>
          </w:tcPr>
          <w:p w:rsidR="00257698" w:rsidRDefault="00257698" w:rsidP="001861E2">
            <w:r w:rsidRPr="00C12031">
              <w:t>Article 62(1)</w:t>
            </w:r>
          </w:p>
        </w:tc>
        <w:tc>
          <w:tcPr>
            <w:tcW w:w="7395" w:type="dxa"/>
            <w:shd w:val="clear" w:color="auto" w:fill="92D050"/>
          </w:tcPr>
          <w:p w:rsidR="00257698" w:rsidRPr="00257698" w:rsidRDefault="00257698" w:rsidP="00257698">
            <w:pPr>
              <w:spacing w:after="120"/>
              <w:rPr>
                <w:rFonts w:cs="Arial"/>
                <w:szCs w:val="20"/>
              </w:rPr>
            </w:pPr>
            <w:r w:rsidRPr="00257698">
              <w:rPr>
                <w:rFonts w:cs="Arial"/>
                <w:szCs w:val="20"/>
              </w:rPr>
              <w:t>As directed by Technical Advice paragraph 7, the Delegated Regulation contains a revised provision for retail client accounts.</w:t>
            </w:r>
            <w:r>
              <w:rPr>
                <w:rFonts w:cs="Arial"/>
                <w:szCs w:val="20"/>
              </w:rPr>
              <w:t xml:space="preserve"> </w:t>
            </w:r>
          </w:p>
          <w:p w:rsidR="00257698" w:rsidRPr="00257698" w:rsidRDefault="00257698" w:rsidP="00257698">
            <w:pPr>
              <w:spacing w:after="120"/>
              <w:rPr>
                <w:rFonts w:cs="Arial"/>
                <w:szCs w:val="20"/>
              </w:rPr>
            </w:pPr>
            <w:r w:rsidRPr="00257698">
              <w:rPr>
                <w:rFonts w:cs="Arial"/>
                <w:szCs w:val="20"/>
              </w:rPr>
              <w:t xml:space="preserve">The Delegated Regulation contains an </w:t>
            </w:r>
            <w:r w:rsidRPr="00257698">
              <w:rPr>
                <w:rFonts w:cs="Arial"/>
                <w:b/>
                <w:szCs w:val="20"/>
              </w:rPr>
              <w:t>additional requirement – not specified in the Technical Advice</w:t>
            </w:r>
            <w:r w:rsidRPr="00257698">
              <w:rPr>
                <w:rFonts w:cs="Arial"/>
                <w:szCs w:val="20"/>
              </w:rPr>
              <w:t xml:space="preserve"> – that the reporting under this paragraph “</w:t>
            </w:r>
            <w:r w:rsidRPr="00257698">
              <w:rPr>
                <w:rFonts w:cs="Arial"/>
                <w:i/>
                <w:szCs w:val="20"/>
              </w:rPr>
              <w:t xml:space="preserve">shall take place no later than the end of the business day in which the threshold is </w:t>
            </w:r>
            <w:r w:rsidRPr="00257698">
              <w:rPr>
                <w:rFonts w:cs="Arial"/>
                <w:i/>
                <w:szCs w:val="20"/>
              </w:rPr>
              <w:lastRenderedPageBreak/>
              <w:t>exceeded or, in a case where the threshold is exceeded on a non-business day, the close of the next business da</w:t>
            </w:r>
            <w:r w:rsidRPr="00257698">
              <w:rPr>
                <w:rFonts w:cs="Arial"/>
                <w:szCs w:val="20"/>
              </w:rPr>
              <w:t>y”.</w:t>
            </w:r>
          </w:p>
        </w:tc>
      </w:tr>
      <w:tr w:rsidR="00257698" w:rsidRPr="001E0645" w:rsidTr="00443FEA">
        <w:tc>
          <w:tcPr>
            <w:tcW w:w="14218" w:type="dxa"/>
            <w:gridSpan w:val="4"/>
            <w:shd w:val="clear" w:color="auto" w:fill="32464D"/>
          </w:tcPr>
          <w:p w:rsidR="00257698" w:rsidRPr="00257698" w:rsidRDefault="00257698" w:rsidP="00257698">
            <w:pPr>
              <w:spacing w:after="120"/>
              <w:rPr>
                <w:rFonts w:cs="Arial"/>
                <w:szCs w:val="20"/>
              </w:rPr>
            </w:pPr>
            <w:r w:rsidRPr="00257698">
              <w:rPr>
                <w:rFonts w:cs="Arial"/>
                <w:color w:val="FFFFFF" w:themeColor="background1"/>
                <w:szCs w:val="20"/>
              </w:rPr>
              <w:lastRenderedPageBreak/>
              <w:t>Statement of client financial instruments or client funds</w:t>
            </w:r>
          </w:p>
        </w:tc>
      </w:tr>
      <w:tr w:rsidR="00257698" w:rsidRPr="001E0645" w:rsidTr="00257698">
        <w:tc>
          <w:tcPr>
            <w:tcW w:w="2229" w:type="dxa"/>
            <w:shd w:val="clear" w:color="auto" w:fill="32464D"/>
          </w:tcPr>
          <w:p w:rsidR="00257698" w:rsidRPr="00F621D5" w:rsidRDefault="00257698" w:rsidP="00785B18">
            <w:r w:rsidRPr="00257698">
              <w:rPr>
                <w:color w:val="FFFFFF" w:themeColor="background1"/>
              </w:rPr>
              <w:t>Paragraph 8</w:t>
            </w:r>
          </w:p>
        </w:tc>
        <w:tc>
          <w:tcPr>
            <w:tcW w:w="2171" w:type="dxa"/>
          </w:tcPr>
          <w:p w:rsidR="00257698" w:rsidRPr="00F621D5" w:rsidRDefault="00257698" w:rsidP="00785B18">
            <w:r w:rsidRPr="00F621D5">
              <w:t>Article 43(1)</w:t>
            </w:r>
          </w:p>
        </w:tc>
        <w:tc>
          <w:tcPr>
            <w:tcW w:w="2423" w:type="dxa"/>
          </w:tcPr>
          <w:p w:rsidR="00257698" w:rsidRDefault="00257698" w:rsidP="00785B18">
            <w:r w:rsidRPr="00F621D5">
              <w:t>Article 63(1)</w:t>
            </w:r>
          </w:p>
        </w:tc>
        <w:tc>
          <w:tcPr>
            <w:tcW w:w="7395" w:type="dxa"/>
            <w:shd w:val="clear" w:color="auto" w:fill="92D050"/>
          </w:tcPr>
          <w:p w:rsidR="00257698" w:rsidRPr="00257698" w:rsidRDefault="00257698" w:rsidP="00257698">
            <w:pPr>
              <w:spacing w:after="120"/>
              <w:rPr>
                <w:rFonts w:cs="Arial"/>
                <w:szCs w:val="20"/>
              </w:rPr>
            </w:pPr>
            <w:r w:rsidRPr="00257698">
              <w:rPr>
                <w:rFonts w:cs="Arial"/>
                <w:szCs w:val="20"/>
              </w:rPr>
              <w:t>As directed by Technical Advice paragraph 8, the Delegated Regulation contains an enhanced requirement to provide statements on a quarterly basis (rather than once a year under the MiFID 1 Implementing Directive) and, upon client request, to provide statements more frequently at a reasonable commercial cost.</w:t>
            </w:r>
          </w:p>
          <w:p w:rsidR="00257698" w:rsidRPr="00257698" w:rsidRDefault="00257698" w:rsidP="00257698">
            <w:pPr>
              <w:spacing w:after="120"/>
              <w:rPr>
                <w:rFonts w:cs="Arial"/>
                <w:szCs w:val="20"/>
              </w:rPr>
            </w:pPr>
            <w:r w:rsidRPr="00257698">
              <w:rPr>
                <w:rFonts w:cs="Arial"/>
                <w:szCs w:val="20"/>
              </w:rPr>
              <w:t>Delegated Regulations require quarterly statements, and “</w:t>
            </w:r>
            <w:r w:rsidRPr="00257698">
              <w:rPr>
                <w:rFonts w:cs="Arial"/>
                <w:b/>
                <w:szCs w:val="20"/>
              </w:rPr>
              <w:t>Upon client request, firms shall provide such statement more frequently at a commercial cost</w:t>
            </w:r>
            <w:r w:rsidRPr="00257698">
              <w:rPr>
                <w:rFonts w:cs="Arial"/>
                <w:szCs w:val="20"/>
              </w:rPr>
              <w:t>”. MiFID previously required annual statements, no option for providing statements more frequently.</w:t>
            </w:r>
          </w:p>
        </w:tc>
      </w:tr>
      <w:tr w:rsidR="00257698" w:rsidRPr="001E0645" w:rsidTr="00257698">
        <w:tc>
          <w:tcPr>
            <w:tcW w:w="2229" w:type="dxa"/>
            <w:shd w:val="clear" w:color="auto" w:fill="32464D"/>
          </w:tcPr>
          <w:p w:rsidR="00257698" w:rsidRPr="00BC71CF" w:rsidRDefault="00257698" w:rsidP="00E82440">
            <w:r w:rsidRPr="00257698">
              <w:rPr>
                <w:color w:val="FFFFFF" w:themeColor="background1"/>
              </w:rPr>
              <w:t>N/A</w:t>
            </w:r>
          </w:p>
        </w:tc>
        <w:tc>
          <w:tcPr>
            <w:tcW w:w="2171" w:type="dxa"/>
          </w:tcPr>
          <w:p w:rsidR="00257698" w:rsidRPr="00BC71CF" w:rsidRDefault="00257698" w:rsidP="00E82440">
            <w:r w:rsidRPr="00BC71CF">
              <w:t>Article 43(2)(a)-(c)</w:t>
            </w:r>
          </w:p>
        </w:tc>
        <w:tc>
          <w:tcPr>
            <w:tcW w:w="2423" w:type="dxa"/>
          </w:tcPr>
          <w:p w:rsidR="00257698" w:rsidRDefault="00257698" w:rsidP="00E82440">
            <w:r w:rsidRPr="00BC71CF">
              <w:t>Article 63(2)(a)-(c)</w:t>
            </w:r>
          </w:p>
        </w:tc>
        <w:tc>
          <w:tcPr>
            <w:tcW w:w="7395" w:type="dxa"/>
            <w:shd w:val="clear" w:color="auto" w:fill="92D050"/>
          </w:tcPr>
          <w:p w:rsidR="00257698" w:rsidRPr="00257698" w:rsidRDefault="00257698" w:rsidP="00257698">
            <w:pPr>
              <w:spacing w:after="120"/>
              <w:rPr>
                <w:rFonts w:cs="Arial"/>
                <w:szCs w:val="20"/>
              </w:rPr>
            </w:pPr>
            <w:r w:rsidRPr="00257698">
              <w:rPr>
                <w:rFonts w:cs="Arial"/>
                <w:szCs w:val="20"/>
              </w:rPr>
              <w:t>No amendments.</w:t>
            </w:r>
          </w:p>
        </w:tc>
      </w:tr>
      <w:tr w:rsidR="00257698" w:rsidRPr="001E0645" w:rsidTr="00257698">
        <w:tc>
          <w:tcPr>
            <w:tcW w:w="2229" w:type="dxa"/>
            <w:shd w:val="clear" w:color="auto" w:fill="32464D"/>
          </w:tcPr>
          <w:p w:rsidR="00257698" w:rsidRPr="003B788F" w:rsidRDefault="00257698" w:rsidP="00422A36">
            <w:r w:rsidRPr="00257698">
              <w:rPr>
                <w:color w:val="FFFFFF" w:themeColor="background1"/>
              </w:rPr>
              <w:t>Paragraph 9</w:t>
            </w:r>
          </w:p>
        </w:tc>
        <w:tc>
          <w:tcPr>
            <w:tcW w:w="2171" w:type="dxa"/>
          </w:tcPr>
          <w:p w:rsidR="00257698" w:rsidRPr="003B788F" w:rsidRDefault="00257698" w:rsidP="00422A36">
            <w:r w:rsidRPr="003B788F">
              <w:t>N/A</w:t>
            </w:r>
          </w:p>
        </w:tc>
        <w:tc>
          <w:tcPr>
            <w:tcW w:w="2423" w:type="dxa"/>
          </w:tcPr>
          <w:p w:rsidR="00257698" w:rsidRDefault="00257698" w:rsidP="00422A36">
            <w:r w:rsidRPr="003B788F">
              <w:t>Article 63(2)(d)-(f)</w:t>
            </w:r>
          </w:p>
        </w:tc>
        <w:tc>
          <w:tcPr>
            <w:tcW w:w="7395" w:type="dxa"/>
            <w:shd w:val="clear" w:color="auto" w:fill="92D050"/>
          </w:tcPr>
          <w:p w:rsidR="00257698" w:rsidRPr="00257698" w:rsidRDefault="00257698" w:rsidP="00257698">
            <w:pPr>
              <w:spacing w:after="120"/>
              <w:rPr>
                <w:rFonts w:cs="Arial"/>
                <w:szCs w:val="20"/>
              </w:rPr>
            </w:pPr>
            <w:r w:rsidRPr="00257698">
              <w:rPr>
                <w:rFonts w:cs="Arial"/>
                <w:szCs w:val="20"/>
              </w:rPr>
              <w:t xml:space="preserve">As directed by Technical Advice paragraph 9, Delegated Regulation Article 63(2) contains </w:t>
            </w:r>
            <w:r w:rsidRPr="00257698">
              <w:rPr>
                <w:rFonts w:cs="Arial"/>
                <w:b/>
                <w:szCs w:val="20"/>
              </w:rPr>
              <w:t>three additional provisions in relation to the content of the statements to clients.</w:t>
            </w:r>
          </w:p>
        </w:tc>
      </w:tr>
      <w:tr w:rsidR="00257698" w:rsidRPr="001E0645" w:rsidTr="00257698">
        <w:tc>
          <w:tcPr>
            <w:tcW w:w="2229" w:type="dxa"/>
            <w:shd w:val="clear" w:color="auto" w:fill="32464D"/>
          </w:tcPr>
          <w:p w:rsidR="00257698" w:rsidRPr="00620C02" w:rsidRDefault="00257698" w:rsidP="00236623">
            <w:r w:rsidRPr="00257698">
              <w:rPr>
                <w:color w:val="FFFFFF" w:themeColor="background1"/>
              </w:rPr>
              <w:t>Paragraph 5</w:t>
            </w:r>
          </w:p>
        </w:tc>
        <w:tc>
          <w:tcPr>
            <w:tcW w:w="2171" w:type="dxa"/>
          </w:tcPr>
          <w:p w:rsidR="00257698" w:rsidRPr="00620C02" w:rsidRDefault="00257698" w:rsidP="00236623">
            <w:r w:rsidRPr="00620C02">
              <w:t>Article 43(2) wording after bullets.</w:t>
            </w:r>
          </w:p>
        </w:tc>
        <w:tc>
          <w:tcPr>
            <w:tcW w:w="2423" w:type="dxa"/>
          </w:tcPr>
          <w:p w:rsidR="00257698" w:rsidRDefault="00257698" w:rsidP="00236623">
            <w:r w:rsidRPr="00620C02">
              <w:t>Article 63(2) wording after bullets</w:t>
            </w:r>
          </w:p>
        </w:tc>
        <w:tc>
          <w:tcPr>
            <w:tcW w:w="7395" w:type="dxa"/>
            <w:shd w:val="clear" w:color="auto" w:fill="92D050"/>
          </w:tcPr>
          <w:p w:rsidR="00257698" w:rsidRPr="00257698" w:rsidRDefault="00257698" w:rsidP="00257698">
            <w:pPr>
              <w:spacing w:after="120"/>
              <w:rPr>
                <w:rFonts w:cs="Arial"/>
                <w:szCs w:val="20"/>
              </w:rPr>
            </w:pPr>
            <w:r w:rsidRPr="00257698">
              <w:rPr>
                <w:rFonts w:cs="Arial"/>
                <w:szCs w:val="20"/>
              </w:rPr>
              <w:t xml:space="preserve">No change to first paragraph. </w:t>
            </w:r>
          </w:p>
          <w:p w:rsidR="00257698" w:rsidRPr="00257698" w:rsidRDefault="00257698" w:rsidP="00257698">
            <w:pPr>
              <w:spacing w:after="120"/>
              <w:rPr>
                <w:rFonts w:cs="Arial"/>
                <w:szCs w:val="20"/>
              </w:rPr>
            </w:pPr>
            <w:r w:rsidRPr="00257698">
              <w:rPr>
                <w:rFonts w:cs="Arial"/>
                <w:szCs w:val="20"/>
              </w:rPr>
              <w:t xml:space="preserve">Second paragraph – </w:t>
            </w:r>
            <w:r w:rsidRPr="00257698">
              <w:rPr>
                <w:rFonts w:cs="Arial"/>
                <w:b/>
                <w:szCs w:val="20"/>
              </w:rPr>
              <w:t>new provision</w:t>
            </w:r>
            <w:r w:rsidRPr="00257698">
              <w:rPr>
                <w:rFonts w:cs="Arial"/>
                <w:szCs w:val="20"/>
              </w:rPr>
              <w:t xml:space="preserve"> – as directed in Technical Advice paragraph 5, new exception to the “every three months” requirement:</w:t>
            </w:r>
          </w:p>
          <w:p w:rsidR="00257698" w:rsidRPr="00257698" w:rsidRDefault="00257698" w:rsidP="00257698">
            <w:pPr>
              <w:spacing w:after="120"/>
              <w:rPr>
                <w:rFonts w:cs="Arial"/>
                <w:szCs w:val="20"/>
              </w:rPr>
            </w:pPr>
            <w:r w:rsidRPr="00257698">
              <w:rPr>
                <w:rFonts w:cs="Arial"/>
                <w:szCs w:val="20"/>
              </w:rPr>
              <w:t>“</w:t>
            </w:r>
            <w:r w:rsidRPr="00257698">
              <w:rPr>
                <w:rFonts w:cs="Arial"/>
                <w:i/>
                <w:szCs w:val="20"/>
              </w:rPr>
              <w:t>The periodic statement of client assets referred to in paragraph 1 shall not be provided where the investment firm provides its clients with access to an online system, which qualifies as a durable medium, where up-to-date statements of client’s financial instruments or funds can be easily accessed by the client and the firm has evidence that the client has accessed this statement at least once during the relevant quarter</w:t>
            </w:r>
            <w:r w:rsidRPr="00257698">
              <w:rPr>
                <w:rFonts w:cs="Arial"/>
                <w:szCs w:val="20"/>
              </w:rPr>
              <w:t>”.</w:t>
            </w:r>
          </w:p>
          <w:p w:rsidR="00257698" w:rsidRPr="00257698" w:rsidRDefault="00257698" w:rsidP="00257698">
            <w:pPr>
              <w:spacing w:after="120"/>
              <w:rPr>
                <w:rFonts w:cs="Arial"/>
                <w:b/>
                <w:szCs w:val="20"/>
              </w:rPr>
            </w:pPr>
            <w:r w:rsidRPr="00257698">
              <w:rPr>
                <w:rFonts w:cs="Arial"/>
                <w:b/>
                <w:szCs w:val="20"/>
              </w:rPr>
              <w:t>NOTE: Also see Delegated Regulation Article 60(3)(a) for similar wording.</w:t>
            </w:r>
          </w:p>
        </w:tc>
      </w:tr>
      <w:tr w:rsidR="00257698" w:rsidRPr="001E0645" w:rsidTr="00257698">
        <w:tc>
          <w:tcPr>
            <w:tcW w:w="2229" w:type="dxa"/>
            <w:shd w:val="clear" w:color="auto" w:fill="32464D"/>
          </w:tcPr>
          <w:p w:rsidR="00257698" w:rsidRPr="00296675" w:rsidRDefault="00257698" w:rsidP="006F4652">
            <w:r w:rsidRPr="00257698">
              <w:rPr>
                <w:color w:val="FFFFFF" w:themeColor="background1"/>
              </w:rPr>
              <w:t>N/A</w:t>
            </w:r>
          </w:p>
        </w:tc>
        <w:tc>
          <w:tcPr>
            <w:tcW w:w="2171" w:type="dxa"/>
          </w:tcPr>
          <w:p w:rsidR="00257698" w:rsidRPr="00296675" w:rsidRDefault="00257698" w:rsidP="006F4652">
            <w:r w:rsidRPr="00296675">
              <w:t>Article 43(3)</w:t>
            </w:r>
          </w:p>
        </w:tc>
        <w:tc>
          <w:tcPr>
            <w:tcW w:w="2423" w:type="dxa"/>
          </w:tcPr>
          <w:p w:rsidR="00257698" w:rsidRDefault="00257698" w:rsidP="006F4652">
            <w:r w:rsidRPr="00296675">
              <w:t>Article 63(3)</w:t>
            </w:r>
          </w:p>
        </w:tc>
        <w:tc>
          <w:tcPr>
            <w:tcW w:w="7395" w:type="dxa"/>
            <w:shd w:val="clear" w:color="auto" w:fill="92D050"/>
          </w:tcPr>
          <w:p w:rsidR="00257698" w:rsidRPr="00257698" w:rsidRDefault="00257698" w:rsidP="00257698">
            <w:pPr>
              <w:spacing w:after="120"/>
              <w:rPr>
                <w:rFonts w:cs="Arial"/>
                <w:szCs w:val="20"/>
              </w:rPr>
            </w:pPr>
            <w:r w:rsidRPr="00257698">
              <w:rPr>
                <w:rFonts w:cs="Arial"/>
                <w:szCs w:val="20"/>
              </w:rPr>
              <w:t>Minor changes – language tidy-up.</w:t>
            </w:r>
          </w:p>
        </w:tc>
      </w:tr>
    </w:tbl>
    <w:p w:rsidR="002971A1" w:rsidRPr="001E0645" w:rsidRDefault="002971A1">
      <w:pPr>
        <w:rPr>
          <w:rFonts w:cs="Arial"/>
          <w:szCs w:val="20"/>
        </w:rPr>
      </w:pPr>
    </w:p>
    <w:p w:rsidR="00990647" w:rsidRDefault="00990647">
      <w:pPr>
        <w:spacing w:after="200" w:line="276" w:lineRule="auto"/>
        <w:rPr>
          <w:rFonts w:cs="Arial"/>
          <w:szCs w:val="20"/>
        </w:rPr>
        <w:sectPr w:rsidR="00990647" w:rsidSect="00CB058A">
          <w:headerReference w:type="default" r:id="rId10"/>
          <w:footerReference w:type="default" r:id="rId11"/>
          <w:pgSz w:w="16838" w:h="11906" w:orient="landscape" w:code="9"/>
          <w:pgMar w:top="1418" w:right="1418" w:bottom="1418" w:left="1418" w:header="709" w:footer="709" w:gutter="0"/>
          <w:cols w:space="708"/>
          <w:docGrid w:linePitch="360"/>
        </w:sectPr>
      </w:pPr>
    </w:p>
    <w:p w:rsidR="002971A1" w:rsidRPr="00C14BD4" w:rsidRDefault="008647EA" w:rsidP="00C14BD4">
      <w:pPr>
        <w:pStyle w:val="ssPara1"/>
        <w:jc w:val="center"/>
        <w:rPr>
          <w:b/>
        </w:rPr>
      </w:pPr>
      <w:r>
        <w:rPr>
          <w:b/>
        </w:rPr>
        <w:lastRenderedPageBreak/>
        <w:t>Client Reporting</w:t>
      </w:r>
    </w:p>
    <w:p w:rsidR="002971A1" w:rsidRPr="00C14BD4" w:rsidRDefault="002971A1" w:rsidP="00C14BD4">
      <w:pPr>
        <w:pStyle w:val="ssPara1"/>
        <w:jc w:val="center"/>
        <w:rPr>
          <w:b/>
        </w:rPr>
      </w:pPr>
      <w:r w:rsidRPr="00C14BD4">
        <w:rPr>
          <w:b/>
        </w:rPr>
        <w:t>Technical Advice</w:t>
      </w:r>
    </w:p>
    <w:p w:rsidR="008647EA" w:rsidRDefault="008647EA" w:rsidP="008647EA">
      <w:pPr>
        <w:pStyle w:val="ListParagraph"/>
        <w:numPr>
          <w:ilvl w:val="0"/>
          <w:numId w:val="32"/>
        </w:numPr>
        <w:spacing w:after="200" w:line="276" w:lineRule="auto"/>
        <w:ind w:hanging="720"/>
      </w:pPr>
      <w:r>
        <w:t xml:space="preserve">The content of Articles 40 to 43 of the MiFID Implementing Directive should be modified in the following areas. </w:t>
      </w:r>
    </w:p>
    <w:p w:rsidR="008647EA" w:rsidRPr="008647EA" w:rsidRDefault="008647EA" w:rsidP="008647EA">
      <w:pPr>
        <w:spacing w:after="200" w:line="276" w:lineRule="auto"/>
        <w:rPr>
          <w:b/>
        </w:rPr>
      </w:pPr>
      <w:r w:rsidRPr="008647EA">
        <w:rPr>
          <w:b/>
        </w:rPr>
        <w:t xml:space="preserve">Reporting obligations – Application to different categories of clients </w:t>
      </w:r>
    </w:p>
    <w:p w:rsidR="008647EA" w:rsidRDefault="008647EA" w:rsidP="008647EA">
      <w:pPr>
        <w:spacing w:after="200" w:line="276" w:lineRule="auto"/>
        <w:ind w:left="720" w:hanging="720"/>
      </w:pPr>
      <w:r>
        <w:t xml:space="preserve">2. </w:t>
      </w:r>
      <w:r>
        <w:tab/>
        <w:t xml:space="preserve">Investment firms should send execution reports to professional clients no later than the first business day following execution. The content of the reports for professional clients and eligible counterparties as well as the exceptions in terms of timing of the reports and exceptions applicable to certain financial instruments should be aligned with the requirements applicable to reports for retail clients, both for portfolio management and the carrying out of orders. </w:t>
      </w:r>
    </w:p>
    <w:p w:rsidR="008647EA" w:rsidRDefault="008647EA" w:rsidP="008647EA">
      <w:pPr>
        <w:spacing w:after="200" w:line="276" w:lineRule="auto"/>
        <w:ind w:left="720" w:hanging="720"/>
      </w:pPr>
      <w:r>
        <w:t xml:space="preserve">3. </w:t>
      </w:r>
      <w:r>
        <w:tab/>
        <w:t xml:space="preserve">Investment firms should be allowed to enter into agreements with eligible counterparties to determine content and timing of reporting which are different from the ones applicable to retail and professional clients. </w:t>
      </w:r>
    </w:p>
    <w:p w:rsidR="008647EA" w:rsidRPr="008647EA" w:rsidRDefault="008647EA" w:rsidP="008647EA">
      <w:pPr>
        <w:spacing w:after="200" w:line="276" w:lineRule="auto"/>
        <w:ind w:left="720" w:hanging="720"/>
        <w:rPr>
          <w:b/>
        </w:rPr>
      </w:pPr>
      <w:r w:rsidRPr="008647EA">
        <w:rPr>
          <w:b/>
        </w:rPr>
        <w:t xml:space="preserve">Reporting obligations in respect of portfolio management </w:t>
      </w:r>
    </w:p>
    <w:p w:rsidR="008647EA" w:rsidRDefault="008647EA" w:rsidP="008647EA">
      <w:pPr>
        <w:spacing w:after="200" w:line="276" w:lineRule="auto"/>
        <w:ind w:left="720" w:hanging="720"/>
      </w:pPr>
      <w:r>
        <w:t xml:space="preserve">4. </w:t>
      </w:r>
      <w:r>
        <w:tab/>
        <w:t xml:space="preserve">Reporting obligations for portfolio management should include a fair and balanced review of the activities undertaken and of the performance of the portfolio during the relevant period, for both retail and professional clients. </w:t>
      </w:r>
    </w:p>
    <w:p w:rsidR="008647EA" w:rsidRDefault="008647EA" w:rsidP="008647EA">
      <w:pPr>
        <w:spacing w:after="200" w:line="276" w:lineRule="auto"/>
        <w:ind w:left="720" w:hanging="720"/>
      </w:pPr>
      <w:r>
        <w:t xml:space="preserve">5. </w:t>
      </w:r>
      <w:r>
        <w:tab/>
        <w:t xml:space="preserve">The basic frequency for reports for portfolio management services should be quarterly instead of every six months. If a firm provides its clients with access to an online system, which qualifies as a durable medium, where up-to-date valuations of the client’s portfolio can be accessed, the firm does not need to provide a periodic report for the quarter where : </w:t>
      </w:r>
    </w:p>
    <w:p w:rsidR="008647EA" w:rsidRDefault="008647EA" w:rsidP="008647EA">
      <w:pPr>
        <w:spacing w:after="200" w:line="276" w:lineRule="auto"/>
        <w:ind w:left="720"/>
      </w:pPr>
      <w:r>
        <w:t>i. the client can easily access the information required by Article 43(2) of the current MiFID implementing directive through the same system, and.</w:t>
      </w:r>
    </w:p>
    <w:p w:rsidR="008647EA" w:rsidRDefault="008647EA" w:rsidP="008647EA">
      <w:pPr>
        <w:spacing w:after="200" w:line="276" w:lineRule="auto"/>
        <w:ind w:left="720"/>
      </w:pPr>
      <w:r>
        <w:t xml:space="preserve"> ii. It has evidence that the client has accessed a valuation of their portfolio at least once during the quarter. </w:t>
      </w:r>
    </w:p>
    <w:p w:rsidR="008647EA" w:rsidRPr="008647EA" w:rsidRDefault="008647EA" w:rsidP="008647EA">
      <w:pPr>
        <w:spacing w:after="200" w:line="276" w:lineRule="auto"/>
        <w:rPr>
          <w:b/>
        </w:rPr>
      </w:pPr>
      <w:r w:rsidRPr="008647EA">
        <w:rPr>
          <w:b/>
        </w:rPr>
        <w:t xml:space="preserve">Reporting obligations on losses in respect of portfolio management or contingent liability transactions </w:t>
      </w:r>
    </w:p>
    <w:p w:rsidR="008647EA" w:rsidRDefault="008647EA" w:rsidP="008647EA">
      <w:pPr>
        <w:spacing w:after="200" w:line="276" w:lineRule="auto"/>
        <w:ind w:left="720" w:hanging="720"/>
      </w:pPr>
      <w:r>
        <w:t xml:space="preserve">6. </w:t>
      </w:r>
      <w:r>
        <w:tab/>
        <w:t xml:space="preserve">Investment firms that provide the service of portfolio management shall report to the client where the overall value of the portfolio at the beginning of each reporting period depreciates by 10% and thereafter at multiples of 10%. </w:t>
      </w:r>
    </w:p>
    <w:p w:rsidR="008647EA" w:rsidRDefault="008647EA" w:rsidP="008647EA">
      <w:pPr>
        <w:spacing w:after="200" w:line="276" w:lineRule="auto"/>
        <w:ind w:left="720" w:hanging="720"/>
      </w:pPr>
      <w:r>
        <w:t xml:space="preserve">7. </w:t>
      </w:r>
      <w:r>
        <w:tab/>
        <w:t xml:space="preserve">Investment firms that hold a retail client account that includes positions in leveraged financial instruments or contingent liability transactions shall report to the client, where the initial value of each instrument depreciates by 10% and thereafter at multiples of 10%. Reporting under this paragraph should be on an instrument-by-instrument basis unless otherwise agreed with the client. </w:t>
      </w:r>
    </w:p>
    <w:p w:rsidR="008647EA" w:rsidRPr="008647EA" w:rsidRDefault="008647EA" w:rsidP="008647EA">
      <w:pPr>
        <w:spacing w:after="200" w:line="276" w:lineRule="auto"/>
        <w:ind w:left="720" w:hanging="720"/>
        <w:rPr>
          <w:b/>
        </w:rPr>
      </w:pPr>
      <w:r w:rsidRPr="008647EA">
        <w:rPr>
          <w:b/>
        </w:rPr>
        <w:t xml:space="preserve">Reporting obligations in respect of statements to clients on their holdings of instruments and funds </w:t>
      </w:r>
    </w:p>
    <w:p w:rsidR="008647EA" w:rsidRPr="008647EA" w:rsidRDefault="008647EA" w:rsidP="008647EA">
      <w:pPr>
        <w:spacing w:after="200" w:line="276" w:lineRule="auto"/>
        <w:ind w:left="720" w:hanging="720"/>
      </w:pPr>
      <w:r w:rsidRPr="008647EA">
        <w:rPr>
          <w:b/>
        </w:rPr>
        <w:t>8.</w:t>
      </w:r>
      <w:r w:rsidRPr="008647EA">
        <w:rPr>
          <w:b/>
        </w:rPr>
        <w:tab/>
      </w:r>
      <w:r w:rsidRPr="008647EA">
        <w:t xml:space="preserve">Investment firms should provide statements to clients on their financial instruments and funds on a quarterly basis and should provide such statements more frequently on request at reasonable commercial cost. </w:t>
      </w:r>
    </w:p>
    <w:p w:rsidR="008647EA" w:rsidRPr="008647EA" w:rsidRDefault="008647EA">
      <w:pPr>
        <w:spacing w:after="200" w:line="276" w:lineRule="auto"/>
      </w:pPr>
      <w:r w:rsidRPr="008647EA">
        <w:t xml:space="preserve">9. </w:t>
      </w:r>
      <w:r w:rsidRPr="008647EA">
        <w:tab/>
        <w:t xml:space="preserve">Statements concerning reporting obligations concerning client assets should include: </w:t>
      </w:r>
    </w:p>
    <w:p w:rsidR="008647EA" w:rsidRPr="008647EA" w:rsidRDefault="008647EA" w:rsidP="008647EA">
      <w:pPr>
        <w:spacing w:after="200" w:line="276" w:lineRule="auto"/>
        <w:ind w:left="720"/>
      </w:pPr>
      <w:r w:rsidRPr="008647EA">
        <w:t xml:space="preserve">i. a clear indication of the assets or funds which are subject to MiFID protections and those that are not, such as those that are subject to TTCA; </w:t>
      </w:r>
    </w:p>
    <w:p w:rsidR="008647EA" w:rsidRPr="008647EA" w:rsidRDefault="008647EA" w:rsidP="008647EA">
      <w:pPr>
        <w:spacing w:after="200" w:line="276" w:lineRule="auto"/>
        <w:ind w:left="720"/>
      </w:pPr>
      <w:r w:rsidRPr="008647EA">
        <w:t xml:space="preserve">ii. a clear indication of which assets are affected by some peculiarities in their ownership status, for instance due to some security interest; and iii. the market or estimated value, when the market value is not available, of the financial instruments included in the statement with a clear indication of the fact that the absence of a market price is likely to be indicative of a lack of liquidity. The evaluation of the estimated value shall be done by the firm on a best effort basis. </w:t>
      </w:r>
    </w:p>
    <w:p w:rsidR="002971A1" w:rsidRDefault="008647EA" w:rsidP="008647EA">
      <w:pPr>
        <w:spacing w:after="200" w:line="276" w:lineRule="auto"/>
        <w:ind w:left="720" w:hanging="720"/>
      </w:pPr>
      <w:r w:rsidRPr="008647EA">
        <w:t xml:space="preserve">10. </w:t>
      </w:r>
      <w:r w:rsidRPr="008647EA">
        <w:tab/>
        <w:t>Regarding reporting obligations in respect of cost and charges, ESMA refers to its technical advice in relation to Article 24(4) of MiFID II (considered in the ‘Disclosure of costs and charges’ section of this Final Report)</w:t>
      </w:r>
      <w:r>
        <w:t>.</w:t>
      </w:r>
    </w:p>
    <w:p w:rsidR="008647EA" w:rsidRPr="008647EA" w:rsidRDefault="008647EA" w:rsidP="008647EA">
      <w:pPr>
        <w:spacing w:after="200" w:line="276" w:lineRule="auto"/>
        <w:ind w:left="720" w:hanging="720"/>
        <w:rPr>
          <w:rFonts w:cs="Arial"/>
          <w:b/>
          <w:szCs w:val="20"/>
        </w:rPr>
      </w:pPr>
    </w:p>
    <w:p w:rsidR="008647EA" w:rsidRPr="008647EA" w:rsidRDefault="008647EA" w:rsidP="008647EA">
      <w:pPr>
        <w:pStyle w:val="ssPara1"/>
        <w:numPr>
          <w:ilvl w:val="0"/>
          <w:numId w:val="31"/>
        </w:numPr>
        <w:jc w:val="left"/>
        <w:rPr>
          <w:rFonts w:cs="Arial"/>
          <w:b/>
          <w:color w:val="4B5156"/>
          <w:szCs w:val="20"/>
        </w:rPr>
      </w:pPr>
      <w:r w:rsidRPr="008647EA">
        <w:rPr>
          <w:rFonts w:cs="Arial"/>
          <w:b/>
          <w:szCs w:val="20"/>
        </w:rPr>
        <w:t xml:space="preserve">Client Reporting - </w:t>
      </w:r>
      <w:r w:rsidR="002971A1" w:rsidRPr="008647EA">
        <w:rPr>
          <w:rFonts w:cs="Arial"/>
          <w:b/>
          <w:szCs w:val="20"/>
        </w:rPr>
        <w:t>Delegated Regulation</w:t>
      </w:r>
      <w:r w:rsidRPr="008647EA">
        <w:rPr>
          <w:rFonts w:cs="Arial"/>
          <w:b/>
          <w:szCs w:val="20"/>
        </w:rPr>
        <w:t xml:space="preserve"> – see </w:t>
      </w:r>
      <w:hyperlink r:id="rId12" w:tgtFrame="_blank" w:history="1">
        <w:r w:rsidRPr="008647EA">
          <w:rPr>
            <w:rStyle w:val="Hyperlink"/>
            <w:rFonts w:cs="Arial"/>
            <w:b/>
            <w:color w:val="00675D"/>
            <w:szCs w:val="20"/>
          </w:rPr>
          <w:t xml:space="preserve">DR April 2016 - </w:t>
        </w:r>
        <w:proofErr w:type="spellStart"/>
        <w:r w:rsidRPr="008647EA">
          <w:rPr>
            <w:rStyle w:val="Hyperlink"/>
            <w:rFonts w:cs="Arial"/>
            <w:b/>
            <w:color w:val="00675D"/>
            <w:szCs w:val="20"/>
          </w:rPr>
          <w:t>Chp</w:t>
        </w:r>
        <w:proofErr w:type="spellEnd"/>
        <w:r w:rsidRPr="008647EA">
          <w:rPr>
            <w:rStyle w:val="Hyperlink"/>
            <w:rFonts w:cs="Arial"/>
            <w:b/>
            <w:color w:val="00675D"/>
            <w:szCs w:val="20"/>
          </w:rPr>
          <w:t xml:space="preserve"> 3 S4, Art 59-63 Reporting to clients</w:t>
        </w:r>
      </w:hyperlink>
      <w:r w:rsidRPr="008647EA">
        <w:rPr>
          <w:rFonts w:cs="Arial"/>
          <w:b/>
          <w:color w:val="4B5156"/>
          <w:szCs w:val="20"/>
        </w:rPr>
        <w:t> </w:t>
      </w:r>
    </w:p>
    <w:p w:rsidR="002971A1" w:rsidRPr="00C14BD4" w:rsidRDefault="002971A1" w:rsidP="008647EA">
      <w:pPr>
        <w:pStyle w:val="ssNoHeading1"/>
        <w:numPr>
          <w:ilvl w:val="0"/>
          <w:numId w:val="0"/>
        </w:numPr>
        <w:ind w:left="709"/>
        <w:rPr>
          <w:szCs w:val="20"/>
        </w:rPr>
      </w:pPr>
      <w:r w:rsidRPr="001E0645">
        <w:t>.</w:t>
      </w:r>
    </w:p>
    <w:sectPr w:rsidR="002971A1" w:rsidRPr="00C14BD4" w:rsidSect="00990647">
      <w:headerReference w:type="default" r:id="rId13"/>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A331B" w:rsidRDefault="00AA331B" w:rsidP="00C14BD4">
      <w:r>
        <w:separator/>
      </w:r>
    </w:p>
  </w:endnote>
  <w:endnote w:type="continuationSeparator" w:id="0">
    <w:p w:rsidR="00AA331B" w:rsidRDefault="00AA331B" w:rsidP="00C14B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Expert Sans Regular">
    <w:altName w:val="Courier New"/>
    <w:panose1 w:val="00000000000000000000"/>
    <w:charset w:val="00"/>
    <w:family w:val="auto"/>
    <w:notTrueType/>
    <w:pitch w:val="variable"/>
    <w:sig w:usb0="00000001" w:usb1="00000000"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53FC" w:rsidRPr="003252CD" w:rsidRDefault="001F53FC">
    <w:pPr>
      <w:rPr>
        <w:sz w:val="12"/>
        <w:szCs w:val="12"/>
      </w:rPr>
    </w:pPr>
  </w:p>
  <w:p w:rsidR="001F53FC" w:rsidRPr="003252CD" w:rsidRDefault="001F53FC" w:rsidP="00E74DB4">
    <w:pPr>
      <w:rPr>
        <w:sz w:val="12"/>
        <w:szCs w:val="12"/>
      </w:rPr>
    </w:pPr>
    <w:r w:rsidRPr="003252CD">
      <w:rPr>
        <w:sz w:val="12"/>
        <w:szCs w:val="12"/>
      </w:rPr>
      <w:t xml:space="preserve"> </w:t>
    </w:r>
    <w:r w:rsidR="0064577C" w:rsidRPr="003252CD">
      <w:rPr>
        <w:sz w:val="12"/>
        <w:szCs w:val="12"/>
      </w:rPr>
      <w:fldChar w:fldCharType="begin"/>
    </w:r>
    <w:r w:rsidRPr="003252CD">
      <w:rPr>
        <w:sz w:val="12"/>
        <w:szCs w:val="12"/>
      </w:rPr>
      <w:instrText xml:space="preserve"> DOCPROPERTY  document_number </w:instrText>
    </w:r>
    <w:r w:rsidR="0064577C" w:rsidRPr="003252CD">
      <w:rPr>
        <w:sz w:val="12"/>
        <w:szCs w:val="12"/>
      </w:rPr>
      <w:fldChar w:fldCharType="separate"/>
    </w:r>
    <w:r w:rsidR="00381DDC">
      <w:rPr>
        <w:sz w:val="12"/>
        <w:szCs w:val="12"/>
      </w:rPr>
      <w:t>62052754 V1 -  - UK1</w:t>
    </w:r>
    <w:r w:rsidR="0064577C" w:rsidRPr="003252CD">
      <w:rPr>
        <w:sz w:val="12"/>
        <w:szCs w:val="12"/>
      </w:rPr>
      <w:fldChar w:fldCharType="end"/>
    </w:r>
    <w:r w:rsidRPr="003252CD">
      <w:rPr>
        <w:sz w:val="12"/>
        <w:szCs w:val="1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A331B" w:rsidRDefault="00AA331B" w:rsidP="00C14BD4">
      <w:r>
        <w:separator/>
      </w:r>
    </w:p>
  </w:footnote>
  <w:footnote w:type="continuationSeparator" w:id="0">
    <w:p w:rsidR="00AA331B" w:rsidRDefault="00AA331B" w:rsidP="00C14B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4BD4" w:rsidRDefault="00C14BD4" w:rsidP="00A7460B">
    <w:pPr>
      <w:jc w:val="right"/>
      <w:rPr>
        <w:rFonts w:cs="Arial"/>
        <w:sz w:val="16"/>
        <w:szCs w:val="16"/>
      </w:rPr>
    </w:pPr>
    <w:r>
      <w:rPr>
        <w:rFonts w:cs="Arial"/>
        <w:noProof/>
        <w:sz w:val="16"/>
        <w:szCs w:val="16"/>
        <w:lang w:eastAsia="en-GB"/>
      </w:rPr>
      <w:drawing>
        <wp:inline distT="0" distB="0" distL="0" distR="0" wp14:anchorId="7057EE7B" wp14:editId="7864E3D5">
          <wp:extent cx="2505673" cy="609653"/>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FID2 Manager logo.png"/>
                  <pic:cNvPicPr/>
                </pic:nvPicPr>
                <pic:blipFill>
                  <a:blip r:embed="rId1">
                    <a:extLst>
                      <a:ext uri="{28A0092B-C50C-407E-A947-70E740481C1C}">
                        <a14:useLocalDpi xmlns:a14="http://schemas.microsoft.com/office/drawing/2010/main" val="0"/>
                      </a:ext>
                    </a:extLst>
                  </a:blip>
                  <a:stretch>
                    <a:fillRect/>
                  </a:stretch>
                </pic:blipFill>
                <pic:spPr>
                  <a:xfrm>
                    <a:off x="0" y="0"/>
                    <a:ext cx="2505673" cy="609653"/>
                  </a:xfrm>
                  <a:prstGeom prst="rect">
                    <a:avLst/>
                  </a:prstGeom>
                </pic:spPr>
              </pic:pic>
            </a:graphicData>
          </a:graphic>
        </wp:inline>
      </w:drawing>
    </w:r>
  </w:p>
  <w:p w:rsidR="00A7460B" w:rsidRPr="00A7460B" w:rsidRDefault="008647EA" w:rsidP="00A7460B">
    <w:pPr>
      <w:jc w:val="right"/>
      <w:rPr>
        <w:rFonts w:cs="Arial"/>
        <w:sz w:val="16"/>
        <w:szCs w:val="16"/>
      </w:rPr>
    </w:pPr>
    <w:r>
      <w:rPr>
        <w:rFonts w:cs="Arial"/>
        <w:sz w:val="16"/>
        <w:szCs w:val="16"/>
      </w:rPr>
      <w:t>20 June 2016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47EA" w:rsidRDefault="008647EA" w:rsidP="00A7460B">
    <w:pPr>
      <w:jc w:val="right"/>
      <w:rPr>
        <w:rFonts w:cs="Arial"/>
        <w:sz w:val="16"/>
        <w:szCs w:val="16"/>
      </w:rPr>
    </w:pPr>
    <w:r>
      <w:rPr>
        <w:rFonts w:cs="Arial"/>
        <w:noProof/>
        <w:sz w:val="16"/>
        <w:szCs w:val="16"/>
        <w:lang w:eastAsia="en-GB"/>
      </w:rPr>
      <w:drawing>
        <wp:inline distT="0" distB="0" distL="0" distR="0" wp14:anchorId="2844C7F0" wp14:editId="71B70BD7">
          <wp:extent cx="2505673" cy="609653"/>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FID2 Manager logo.png"/>
                  <pic:cNvPicPr/>
                </pic:nvPicPr>
                <pic:blipFill>
                  <a:blip r:embed="rId1">
                    <a:extLst>
                      <a:ext uri="{28A0092B-C50C-407E-A947-70E740481C1C}">
                        <a14:useLocalDpi xmlns:a14="http://schemas.microsoft.com/office/drawing/2010/main" val="0"/>
                      </a:ext>
                    </a:extLst>
                  </a:blip>
                  <a:stretch>
                    <a:fillRect/>
                  </a:stretch>
                </pic:blipFill>
                <pic:spPr>
                  <a:xfrm>
                    <a:off x="0" y="0"/>
                    <a:ext cx="2505673" cy="609653"/>
                  </a:xfrm>
                  <a:prstGeom prst="rect">
                    <a:avLst/>
                  </a:prstGeom>
                </pic:spPr>
              </pic:pic>
            </a:graphicData>
          </a:graphic>
        </wp:inline>
      </w:drawing>
    </w:r>
  </w:p>
  <w:p w:rsidR="008647EA" w:rsidRPr="00A7460B" w:rsidRDefault="008647EA" w:rsidP="00A7460B">
    <w:pPr>
      <w:jc w:val="right"/>
      <w:rPr>
        <w:rFonts w:cs="Arial"/>
        <w:sz w:val="16"/>
        <w:szCs w:val="16"/>
      </w:rPr>
    </w:pPr>
    <w:r>
      <w:rPr>
        <w:rFonts w:cs="Arial"/>
        <w:sz w:val="16"/>
        <w:szCs w:val="16"/>
      </w:rPr>
      <w:t>20 June 2016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512FE1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3621A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1E25B6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AF216E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BF48E2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6E4924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B9681D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3C48CC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266DE1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4E806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1A3027"/>
    <w:multiLevelType w:val="multilevel"/>
    <w:tmpl w:val="3650ECEA"/>
    <w:name w:val="Schedule"/>
    <w:lvl w:ilvl="0">
      <w:start w:val="1"/>
      <w:numFmt w:val="none"/>
      <w:pStyle w:val="ssRestartSchedule"/>
      <w:suff w:val="nothing"/>
      <w:lvlText w:val=""/>
      <w:lvlJc w:val="left"/>
      <w:pPr>
        <w:ind w:left="0" w:firstLine="0"/>
      </w:pPr>
      <w:rPr>
        <w:rFonts w:hint="default"/>
      </w:rPr>
    </w:lvl>
    <w:lvl w:ilvl="1">
      <w:start w:val="1"/>
      <w:numFmt w:val="decimal"/>
      <w:pStyle w:val="ssqSchedule"/>
      <w:suff w:val="nothing"/>
      <w:lvlText w:val="schedule %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1" w15:restartNumberingAfterBreak="0">
    <w:nsid w:val="06941B78"/>
    <w:multiLevelType w:val="multilevel"/>
    <w:tmpl w:val="904EA4D2"/>
    <w:name w:val="Part"/>
    <w:lvl w:ilvl="0">
      <w:start w:val="1"/>
      <w:numFmt w:val="none"/>
      <w:pStyle w:val="ssRestartPart"/>
      <w:suff w:val="nothing"/>
      <w:lvlText w:val=""/>
      <w:lvlJc w:val="left"/>
      <w:pPr>
        <w:ind w:left="0" w:firstLine="0"/>
      </w:pPr>
      <w:rPr>
        <w:rFonts w:hint="default"/>
      </w:rPr>
    </w:lvl>
    <w:lvl w:ilvl="1">
      <w:start w:val="1"/>
      <w:numFmt w:val="decimal"/>
      <w:pStyle w:val="ssqPart"/>
      <w:suff w:val="nothing"/>
      <w:lvlText w:val="part %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 w15:restartNumberingAfterBreak="0">
    <w:nsid w:val="0CFD6BC0"/>
    <w:multiLevelType w:val="multilevel"/>
    <w:tmpl w:val="AF0AC594"/>
    <w:lvl w:ilvl="0">
      <w:start w:val="1"/>
      <w:numFmt w:val="none"/>
      <w:suff w:val="nothing"/>
      <w:lvlText w:val=""/>
      <w:lvlJc w:val="left"/>
      <w:pPr>
        <w:ind w:left="0" w:firstLine="0"/>
      </w:pPr>
      <w:rPr>
        <w:rFonts w:hint="default"/>
      </w:rPr>
    </w:lvl>
    <w:lvl w:ilvl="1">
      <w:start w:val="1"/>
      <w:numFmt w:val="decimal"/>
      <w:lvlText w:val="%2."/>
      <w:lvlJc w:val="left"/>
      <w:pPr>
        <w:tabs>
          <w:tab w:val="num" w:pos="0"/>
        </w:tabs>
        <w:ind w:left="709" w:hanging="709"/>
      </w:pPr>
      <w:rPr>
        <w:rFonts w:hint="default"/>
      </w:rPr>
    </w:lvl>
    <w:lvl w:ilvl="2">
      <w:start w:val="1"/>
      <w:numFmt w:val="decimal"/>
      <w:lvlText w:val="%2.%3"/>
      <w:lvlJc w:val="left"/>
      <w:pPr>
        <w:tabs>
          <w:tab w:val="num" w:pos="0"/>
        </w:tabs>
        <w:ind w:left="709" w:hanging="709"/>
      </w:pPr>
      <w:rPr>
        <w:rFonts w:hint="default"/>
      </w:rPr>
    </w:lvl>
    <w:lvl w:ilvl="3">
      <w:start w:val="1"/>
      <w:numFmt w:val="upperLetter"/>
      <w:lvlText w:val="(%4)"/>
      <w:lvlJc w:val="left"/>
      <w:pPr>
        <w:tabs>
          <w:tab w:val="num" w:pos="0"/>
        </w:tabs>
        <w:ind w:left="1418" w:hanging="709"/>
      </w:pPr>
      <w:rPr>
        <w:rFonts w:hint="default"/>
      </w:rPr>
    </w:lvl>
    <w:lvl w:ilvl="4">
      <w:start w:val="1"/>
      <w:numFmt w:val="decimal"/>
      <w:lvlText w:val="(%5)"/>
      <w:lvlJc w:val="left"/>
      <w:pPr>
        <w:tabs>
          <w:tab w:val="num" w:pos="0"/>
        </w:tabs>
        <w:ind w:left="1985" w:hanging="567"/>
      </w:pPr>
      <w:rPr>
        <w:rFonts w:hint="default"/>
      </w:rPr>
    </w:lvl>
    <w:lvl w:ilvl="5">
      <w:start w:val="1"/>
      <w:numFmt w:val="lowerLetter"/>
      <w:lvlText w:val="(%6)"/>
      <w:lvlJc w:val="left"/>
      <w:pPr>
        <w:tabs>
          <w:tab w:val="num" w:pos="0"/>
        </w:tabs>
        <w:ind w:left="2552" w:hanging="567"/>
      </w:pPr>
      <w:rPr>
        <w:rFonts w:hint="default"/>
      </w:rPr>
    </w:lvl>
    <w:lvl w:ilvl="6">
      <w:start w:val="1"/>
      <w:numFmt w:val="lowerRoman"/>
      <w:lvlText w:val="(%7)"/>
      <w:lvlJc w:val="left"/>
      <w:pPr>
        <w:tabs>
          <w:tab w:val="num" w:pos="0"/>
        </w:tabs>
        <w:ind w:left="2552" w:hanging="567"/>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274A6C09"/>
    <w:multiLevelType w:val="multilevel"/>
    <w:tmpl w:val="2E528D2A"/>
    <w:lvl w:ilvl="0">
      <w:start w:val="1"/>
      <w:numFmt w:val="none"/>
      <w:suff w:val="nothing"/>
      <w:lvlText w:val=""/>
      <w:lvlJc w:val="left"/>
      <w:pPr>
        <w:ind w:left="0" w:firstLine="0"/>
      </w:pPr>
      <w:rPr>
        <w:rFonts w:hint="default"/>
      </w:rPr>
    </w:lvl>
    <w:lvl w:ilvl="1">
      <w:start w:val="1"/>
      <w:numFmt w:val="decimal"/>
      <w:lvlText w:val="%2."/>
      <w:lvlJc w:val="left"/>
      <w:pPr>
        <w:tabs>
          <w:tab w:val="num" w:pos="0"/>
        </w:tabs>
        <w:ind w:left="709" w:hanging="709"/>
      </w:pPr>
      <w:rPr>
        <w:rFonts w:hint="default"/>
      </w:rPr>
    </w:lvl>
    <w:lvl w:ilvl="2">
      <w:start w:val="1"/>
      <w:numFmt w:val="decimal"/>
      <w:lvlText w:val="%2.%3"/>
      <w:lvlJc w:val="left"/>
      <w:pPr>
        <w:tabs>
          <w:tab w:val="num" w:pos="0"/>
        </w:tabs>
        <w:ind w:left="709" w:hanging="709"/>
      </w:pPr>
      <w:rPr>
        <w:rFonts w:hint="default"/>
      </w:rPr>
    </w:lvl>
    <w:lvl w:ilvl="3">
      <w:start w:val="1"/>
      <w:numFmt w:val="upperLetter"/>
      <w:lvlText w:val="(%4)"/>
      <w:lvlJc w:val="left"/>
      <w:pPr>
        <w:tabs>
          <w:tab w:val="num" w:pos="0"/>
        </w:tabs>
        <w:ind w:left="1418" w:hanging="709"/>
      </w:pPr>
      <w:rPr>
        <w:rFonts w:hint="default"/>
      </w:rPr>
    </w:lvl>
    <w:lvl w:ilvl="4">
      <w:start w:val="1"/>
      <w:numFmt w:val="decimal"/>
      <w:lvlText w:val="(%5)"/>
      <w:lvlJc w:val="left"/>
      <w:pPr>
        <w:tabs>
          <w:tab w:val="num" w:pos="0"/>
        </w:tabs>
        <w:ind w:left="1985" w:hanging="567"/>
      </w:pPr>
      <w:rPr>
        <w:rFonts w:hint="default"/>
      </w:rPr>
    </w:lvl>
    <w:lvl w:ilvl="5">
      <w:start w:val="1"/>
      <w:numFmt w:val="lowerLetter"/>
      <w:lvlText w:val="(%6)"/>
      <w:lvlJc w:val="left"/>
      <w:pPr>
        <w:tabs>
          <w:tab w:val="num" w:pos="0"/>
        </w:tabs>
        <w:ind w:left="2552" w:hanging="567"/>
      </w:pPr>
      <w:rPr>
        <w:rFonts w:hint="default"/>
      </w:rPr>
    </w:lvl>
    <w:lvl w:ilvl="6">
      <w:start w:val="1"/>
      <w:numFmt w:val="lowerRoman"/>
      <w:lvlText w:val="(%7)"/>
      <w:lvlJc w:val="left"/>
      <w:pPr>
        <w:tabs>
          <w:tab w:val="num" w:pos="0"/>
        </w:tabs>
        <w:ind w:left="2835" w:hanging="283"/>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4" w15:restartNumberingAfterBreak="0">
    <w:nsid w:val="2782607B"/>
    <w:multiLevelType w:val="multilevel"/>
    <w:tmpl w:val="49EC7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087586"/>
    <w:multiLevelType w:val="multilevel"/>
    <w:tmpl w:val="0409001D"/>
    <w:name w:val="Simmons&amp;Simmons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2C92269D"/>
    <w:multiLevelType w:val="multilevel"/>
    <w:tmpl w:val="FAD8ED86"/>
    <w:lvl w:ilvl="0">
      <w:start w:val="1"/>
      <w:numFmt w:val="none"/>
      <w:suff w:val="nothing"/>
      <w:lvlText w:val=""/>
      <w:lvlJc w:val="left"/>
      <w:pPr>
        <w:ind w:left="0" w:firstLine="0"/>
      </w:pPr>
      <w:rPr>
        <w:rFonts w:hint="default"/>
      </w:rPr>
    </w:lvl>
    <w:lvl w:ilvl="1">
      <w:start w:val="1"/>
      <w:numFmt w:val="decimal"/>
      <w:lvlText w:val="%2."/>
      <w:lvlJc w:val="left"/>
      <w:pPr>
        <w:tabs>
          <w:tab w:val="num" w:pos="0"/>
        </w:tabs>
        <w:ind w:left="709" w:hanging="709"/>
      </w:pPr>
      <w:rPr>
        <w:rFonts w:hint="default"/>
      </w:rPr>
    </w:lvl>
    <w:lvl w:ilvl="2">
      <w:start w:val="1"/>
      <w:numFmt w:val="decimal"/>
      <w:lvlText w:val="%2.%3"/>
      <w:lvlJc w:val="left"/>
      <w:pPr>
        <w:tabs>
          <w:tab w:val="num" w:pos="0"/>
        </w:tabs>
        <w:ind w:left="709" w:hanging="709"/>
      </w:pPr>
      <w:rPr>
        <w:rFonts w:hint="default"/>
      </w:rPr>
    </w:lvl>
    <w:lvl w:ilvl="3">
      <w:start w:val="1"/>
      <w:numFmt w:val="upperLetter"/>
      <w:lvlText w:val="(%4)"/>
      <w:lvlJc w:val="left"/>
      <w:pPr>
        <w:tabs>
          <w:tab w:val="num" w:pos="0"/>
        </w:tabs>
        <w:ind w:left="1418" w:hanging="709"/>
      </w:pPr>
      <w:rPr>
        <w:rFonts w:hint="default"/>
      </w:rPr>
    </w:lvl>
    <w:lvl w:ilvl="4">
      <w:start w:val="1"/>
      <w:numFmt w:val="decimal"/>
      <w:lvlText w:val="(%5)"/>
      <w:lvlJc w:val="left"/>
      <w:pPr>
        <w:tabs>
          <w:tab w:val="num" w:pos="0"/>
        </w:tabs>
        <w:ind w:left="1985" w:hanging="567"/>
      </w:pPr>
      <w:rPr>
        <w:rFonts w:hint="default"/>
      </w:rPr>
    </w:lvl>
    <w:lvl w:ilvl="5">
      <w:start w:val="1"/>
      <w:numFmt w:val="lowerLetter"/>
      <w:lvlText w:val="(%6)"/>
      <w:lvlJc w:val="left"/>
      <w:pPr>
        <w:tabs>
          <w:tab w:val="num" w:pos="0"/>
        </w:tabs>
        <w:ind w:left="2552" w:hanging="567"/>
      </w:pPr>
      <w:rPr>
        <w:rFonts w:hint="default"/>
      </w:rPr>
    </w:lvl>
    <w:lvl w:ilvl="6">
      <w:start w:val="1"/>
      <w:numFmt w:val="lowerRoman"/>
      <w:lvlText w:val="(%7)"/>
      <w:lvlJc w:val="left"/>
      <w:pPr>
        <w:tabs>
          <w:tab w:val="num" w:pos="3119"/>
        </w:tabs>
        <w:ind w:left="3119" w:hanging="567"/>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35232DDC"/>
    <w:multiLevelType w:val="multilevel"/>
    <w:tmpl w:val="0409001D"/>
    <w:name w:val="Simmons&amp;Simmon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36BB5FBE"/>
    <w:multiLevelType w:val="multilevel"/>
    <w:tmpl w:val="93FE0BF6"/>
    <w:name w:val="Appendix"/>
    <w:lvl w:ilvl="0">
      <w:start w:val="1"/>
      <w:numFmt w:val="none"/>
      <w:pStyle w:val="ssRestartAppendix"/>
      <w:suff w:val="nothing"/>
      <w:lvlText w:val=""/>
      <w:lvlJc w:val="left"/>
      <w:pPr>
        <w:ind w:left="0" w:firstLine="0"/>
      </w:pPr>
      <w:rPr>
        <w:rFonts w:hint="default"/>
      </w:rPr>
    </w:lvl>
    <w:lvl w:ilvl="1">
      <w:start w:val="1"/>
      <w:numFmt w:val="decimal"/>
      <w:pStyle w:val="ssqAppendix"/>
      <w:suff w:val="nothing"/>
      <w:lvlText w:val="appendix %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15:restartNumberingAfterBreak="0">
    <w:nsid w:val="38F96FE3"/>
    <w:multiLevelType w:val="multilevel"/>
    <w:tmpl w:val="DEEEF714"/>
    <w:name w:val="Exhibit"/>
    <w:lvl w:ilvl="0">
      <w:start w:val="1"/>
      <w:numFmt w:val="none"/>
      <w:pStyle w:val="ssRestartExhibit"/>
      <w:suff w:val="nothing"/>
      <w:lvlText w:val=""/>
      <w:lvlJc w:val="left"/>
      <w:pPr>
        <w:ind w:left="0" w:firstLine="0"/>
      </w:pPr>
      <w:rPr>
        <w:rFonts w:hint="default"/>
      </w:rPr>
    </w:lvl>
    <w:lvl w:ilvl="1">
      <w:start w:val="1"/>
      <w:numFmt w:val="decimal"/>
      <w:pStyle w:val="ssqExhibit"/>
      <w:suff w:val="nothing"/>
      <w:lvlText w:val="exhibit %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0" w15:restartNumberingAfterBreak="0">
    <w:nsid w:val="390B0FE2"/>
    <w:multiLevelType w:val="multilevel"/>
    <w:tmpl w:val="0409001D"/>
    <w:name w:val="Simmons&amp;Simmons5"/>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3C055996"/>
    <w:multiLevelType w:val="multilevel"/>
    <w:tmpl w:val="3EA809C4"/>
    <w:lvl w:ilvl="0">
      <w:start w:val="1"/>
      <w:numFmt w:val="none"/>
      <w:suff w:val="nothing"/>
      <w:lvlText w:val=""/>
      <w:lvlJc w:val="left"/>
      <w:pPr>
        <w:ind w:left="0" w:firstLine="0"/>
      </w:pPr>
      <w:rPr>
        <w:rFonts w:hint="default"/>
      </w:rPr>
    </w:lvl>
    <w:lvl w:ilvl="1">
      <w:start w:val="1"/>
      <w:numFmt w:val="decimal"/>
      <w:suff w:val="nothing"/>
      <w:lvlText w:val="schedule %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2" w15:restartNumberingAfterBreak="0">
    <w:nsid w:val="47D03AF3"/>
    <w:multiLevelType w:val="multilevel"/>
    <w:tmpl w:val="30C6A426"/>
    <w:lvl w:ilvl="0">
      <w:start w:val="1"/>
      <w:numFmt w:val="none"/>
      <w:suff w:val="nothing"/>
      <w:lvlText w:val=""/>
      <w:lvlJc w:val="left"/>
      <w:pPr>
        <w:ind w:left="0" w:firstLine="0"/>
      </w:pPr>
      <w:rPr>
        <w:rFonts w:hint="default"/>
      </w:rPr>
    </w:lvl>
    <w:lvl w:ilvl="1">
      <w:start w:val="1"/>
      <w:numFmt w:val="decimal"/>
      <w:lvlText w:val="%2."/>
      <w:lvlJc w:val="left"/>
      <w:pPr>
        <w:tabs>
          <w:tab w:val="num" w:pos="709"/>
        </w:tabs>
        <w:ind w:left="709" w:hanging="709"/>
      </w:pPr>
      <w:rPr>
        <w:rFonts w:hint="default"/>
      </w:rPr>
    </w:lvl>
    <w:lvl w:ilvl="2">
      <w:start w:val="1"/>
      <w:numFmt w:val="decimal"/>
      <w:lvlText w:val="%2.%3"/>
      <w:lvlJc w:val="left"/>
      <w:pPr>
        <w:tabs>
          <w:tab w:val="num" w:pos="709"/>
        </w:tabs>
        <w:ind w:left="709" w:hanging="709"/>
      </w:pPr>
      <w:rPr>
        <w:rFonts w:hint="default"/>
      </w:rPr>
    </w:lvl>
    <w:lvl w:ilvl="3">
      <w:start w:val="1"/>
      <w:numFmt w:val="upperLetter"/>
      <w:lvlText w:val="(%4)"/>
      <w:lvlJc w:val="left"/>
      <w:pPr>
        <w:tabs>
          <w:tab w:val="num" w:pos="1418"/>
        </w:tabs>
        <w:ind w:left="1418" w:hanging="709"/>
      </w:pPr>
      <w:rPr>
        <w:rFonts w:hint="default"/>
      </w:rPr>
    </w:lvl>
    <w:lvl w:ilvl="4">
      <w:start w:val="1"/>
      <w:numFmt w:val="decimal"/>
      <w:lvlText w:val="(%5)"/>
      <w:lvlJc w:val="left"/>
      <w:pPr>
        <w:tabs>
          <w:tab w:val="num" w:pos="1985"/>
        </w:tabs>
        <w:ind w:left="1985" w:hanging="567"/>
      </w:pPr>
      <w:rPr>
        <w:rFonts w:hint="default"/>
      </w:rPr>
    </w:lvl>
    <w:lvl w:ilvl="5">
      <w:start w:val="1"/>
      <w:numFmt w:val="lowerLetter"/>
      <w:lvlText w:val="(%6)"/>
      <w:lvlJc w:val="left"/>
      <w:pPr>
        <w:tabs>
          <w:tab w:val="num" w:pos="2552"/>
        </w:tabs>
        <w:ind w:left="2552" w:hanging="567"/>
      </w:pPr>
      <w:rPr>
        <w:rFonts w:hint="default"/>
      </w:rPr>
    </w:lvl>
    <w:lvl w:ilvl="6">
      <w:start w:val="1"/>
      <w:numFmt w:val="lowerRoman"/>
      <w:lvlText w:val="(%7)"/>
      <w:lvlJc w:val="left"/>
      <w:pPr>
        <w:tabs>
          <w:tab w:val="num" w:pos="3119"/>
        </w:tabs>
        <w:ind w:left="3119" w:hanging="567"/>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3" w15:restartNumberingAfterBreak="0">
    <w:nsid w:val="4F1A6F9C"/>
    <w:multiLevelType w:val="multilevel"/>
    <w:tmpl w:val="0409001D"/>
    <w:name w:val="Simmons&amp;Simmon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54C31542"/>
    <w:multiLevelType w:val="hybridMultilevel"/>
    <w:tmpl w:val="E3E2E9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6E670E2"/>
    <w:multiLevelType w:val="multilevel"/>
    <w:tmpl w:val="89806CD0"/>
    <w:lvl w:ilvl="0">
      <w:start w:val="1"/>
      <w:numFmt w:val="none"/>
      <w:suff w:val="nothing"/>
      <w:lvlText w:val=""/>
      <w:lvlJc w:val="left"/>
      <w:pPr>
        <w:ind w:left="0" w:firstLine="0"/>
      </w:pPr>
      <w:rPr>
        <w:rFonts w:hint="default"/>
      </w:rPr>
    </w:lvl>
    <w:lvl w:ilvl="1">
      <w:start w:val="1"/>
      <w:numFmt w:val="decimal"/>
      <w:lvlText w:val="%2."/>
      <w:lvlJc w:val="left"/>
      <w:pPr>
        <w:tabs>
          <w:tab w:val="num" w:pos="0"/>
        </w:tabs>
        <w:ind w:left="709" w:hanging="709"/>
      </w:pPr>
      <w:rPr>
        <w:rFonts w:hint="default"/>
      </w:rPr>
    </w:lvl>
    <w:lvl w:ilvl="2">
      <w:start w:val="1"/>
      <w:numFmt w:val="decimal"/>
      <w:lvlText w:val="%2.%3"/>
      <w:lvlJc w:val="left"/>
      <w:pPr>
        <w:tabs>
          <w:tab w:val="num" w:pos="0"/>
        </w:tabs>
        <w:ind w:left="709" w:hanging="709"/>
      </w:pPr>
      <w:rPr>
        <w:rFonts w:hint="default"/>
      </w:rPr>
    </w:lvl>
    <w:lvl w:ilvl="3">
      <w:start w:val="1"/>
      <w:numFmt w:val="upperLetter"/>
      <w:lvlText w:val="(%4)"/>
      <w:lvlJc w:val="left"/>
      <w:pPr>
        <w:tabs>
          <w:tab w:val="num" w:pos="0"/>
        </w:tabs>
        <w:ind w:left="1418" w:hanging="709"/>
      </w:pPr>
      <w:rPr>
        <w:rFonts w:hint="default"/>
      </w:rPr>
    </w:lvl>
    <w:lvl w:ilvl="4">
      <w:start w:val="1"/>
      <w:numFmt w:val="decimal"/>
      <w:lvlText w:val="(%5)"/>
      <w:lvlJc w:val="left"/>
      <w:pPr>
        <w:tabs>
          <w:tab w:val="num" w:pos="0"/>
        </w:tabs>
        <w:ind w:left="1985" w:hanging="567"/>
      </w:pPr>
      <w:rPr>
        <w:rFonts w:hint="default"/>
      </w:rPr>
    </w:lvl>
    <w:lvl w:ilvl="5">
      <w:start w:val="1"/>
      <w:numFmt w:val="lowerLetter"/>
      <w:lvlText w:val="(%6)"/>
      <w:lvlJc w:val="left"/>
      <w:pPr>
        <w:tabs>
          <w:tab w:val="num" w:pos="0"/>
        </w:tabs>
        <w:ind w:left="2552" w:hanging="567"/>
      </w:pPr>
      <w:rPr>
        <w:rFonts w:hint="default"/>
      </w:rPr>
    </w:lvl>
    <w:lvl w:ilvl="6">
      <w:start w:val="1"/>
      <w:numFmt w:val="lowerRoman"/>
      <w:lvlText w:val="(%7)"/>
      <w:lvlJc w:val="left"/>
      <w:pPr>
        <w:tabs>
          <w:tab w:val="num" w:pos="0"/>
        </w:tabs>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6" w15:restartNumberingAfterBreak="0">
    <w:nsid w:val="5C7D703E"/>
    <w:multiLevelType w:val="hybridMultilevel"/>
    <w:tmpl w:val="78969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8F558E0"/>
    <w:multiLevelType w:val="multilevel"/>
    <w:tmpl w:val="0BCCCE9C"/>
    <w:lvl w:ilvl="0">
      <w:start w:val="1"/>
      <w:numFmt w:val="none"/>
      <w:suff w:val="nothing"/>
      <w:lvlText w:val=""/>
      <w:lvlJc w:val="left"/>
      <w:pPr>
        <w:ind w:left="0" w:firstLine="0"/>
      </w:pPr>
      <w:rPr>
        <w:rFonts w:hint="default"/>
      </w:rPr>
    </w:lvl>
    <w:lvl w:ilvl="1">
      <w:start w:val="1"/>
      <w:numFmt w:val="decimal"/>
      <w:lvlText w:val="%2."/>
      <w:lvlJc w:val="left"/>
      <w:pPr>
        <w:tabs>
          <w:tab w:val="num" w:pos="0"/>
        </w:tabs>
        <w:ind w:left="709" w:hanging="709"/>
      </w:pPr>
      <w:rPr>
        <w:rFonts w:hint="default"/>
      </w:rPr>
    </w:lvl>
    <w:lvl w:ilvl="2">
      <w:start w:val="1"/>
      <w:numFmt w:val="decimal"/>
      <w:lvlText w:val="%2.%3"/>
      <w:lvlJc w:val="left"/>
      <w:pPr>
        <w:tabs>
          <w:tab w:val="num" w:pos="0"/>
        </w:tabs>
        <w:ind w:left="709" w:hanging="709"/>
      </w:pPr>
      <w:rPr>
        <w:rFonts w:hint="default"/>
      </w:rPr>
    </w:lvl>
    <w:lvl w:ilvl="3">
      <w:start w:val="1"/>
      <w:numFmt w:val="upperLetter"/>
      <w:lvlText w:val="(%4)"/>
      <w:lvlJc w:val="left"/>
      <w:pPr>
        <w:tabs>
          <w:tab w:val="num" w:pos="0"/>
        </w:tabs>
        <w:ind w:left="1418" w:hanging="709"/>
      </w:pPr>
      <w:rPr>
        <w:rFonts w:hint="default"/>
      </w:rPr>
    </w:lvl>
    <w:lvl w:ilvl="4">
      <w:start w:val="1"/>
      <w:numFmt w:val="decimal"/>
      <w:suff w:val="nothing"/>
      <w:lvlText w:val="(%5)"/>
      <w:lvlJc w:val="left"/>
      <w:pPr>
        <w:ind w:left="1985" w:hanging="567"/>
      </w:pPr>
      <w:rPr>
        <w:rFonts w:hint="default"/>
      </w:rPr>
    </w:lvl>
    <w:lvl w:ilvl="5">
      <w:start w:val="1"/>
      <w:numFmt w:val="lowerLetter"/>
      <w:lvlText w:val="(%6)"/>
      <w:lvlJc w:val="left"/>
      <w:pPr>
        <w:tabs>
          <w:tab w:val="num" w:pos="0"/>
        </w:tabs>
        <w:ind w:left="2552" w:hanging="567"/>
      </w:pPr>
      <w:rPr>
        <w:rFonts w:hint="default"/>
      </w:rPr>
    </w:lvl>
    <w:lvl w:ilvl="6">
      <w:start w:val="1"/>
      <w:numFmt w:val="lowerRoman"/>
      <w:lvlText w:val="(%7)"/>
      <w:lvlJc w:val="left"/>
      <w:pPr>
        <w:tabs>
          <w:tab w:val="num" w:pos="0"/>
        </w:tabs>
        <w:ind w:left="3119" w:hanging="567"/>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8" w15:restartNumberingAfterBreak="0">
    <w:nsid w:val="73C2384B"/>
    <w:multiLevelType w:val="multilevel"/>
    <w:tmpl w:val="B680C116"/>
    <w:lvl w:ilvl="0">
      <w:start w:val="1"/>
      <w:numFmt w:val="none"/>
      <w:suff w:val="nothing"/>
      <w:lvlText w:val=""/>
      <w:lvlJc w:val="left"/>
      <w:pPr>
        <w:ind w:left="0" w:firstLine="0"/>
      </w:pPr>
      <w:rPr>
        <w:rFonts w:hint="default"/>
      </w:rPr>
    </w:lvl>
    <w:lvl w:ilvl="1">
      <w:start w:val="1"/>
      <w:numFmt w:val="decimal"/>
      <w:lvlText w:val="%2."/>
      <w:lvlJc w:val="left"/>
      <w:pPr>
        <w:tabs>
          <w:tab w:val="num" w:pos="0"/>
        </w:tabs>
        <w:ind w:left="709" w:hanging="709"/>
      </w:pPr>
      <w:rPr>
        <w:rFonts w:hint="default"/>
      </w:rPr>
    </w:lvl>
    <w:lvl w:ilvl="2">
      <w:start w:val="1"/>
      <w:numFmt w:val="decimal"/>
      <w:lvlText w:val="%2.%3"/>
      <w:lvlJc w:val="left"/>
      <w:pPr>
        <w:tabs>
          <w:tab w:val="num" w:pos="0"/>
        </w:tabs>
        <w:ind w:left="709" w:hanging="709"/>
      </w:pPr>
      <w:rPr>
        <w:rFonts w:hint="default"/>
      </w:rPr>
    </w:lvl>
    <w:lvl w:ilvl="3">
      <w:start w:val="1"/>
      <w:numFmt w:val="upperLetter"/>
      <w:lvlText w:val="(%4)"/>
      <w:lvlJc w:val="left"/>
      <w:pPr>
        <w:tabs>
          <w:tab w:val="num" w:pos="0"/>
        </w:tabs>
        <w:ind w:left="1418" w:hanging="709"/>
      </w:pPr>
      <w:rPr>
        <w:rFonts w:hint="default"/>
      </w:rPr>
    </w:lvl>
    <w:lvl w:ilvl="4">
      <w:start w:val="1"/>
      <w:numFmt w:val="decimal"/>
      <w:lvlText w:val="(%5)"/>
      <w:lvlJc w:val="left"/>
      <w:pPr>
        <w:tabs>
          <w:tab w:val="num" w:pos="0"/>
        </w:tabs>
        <w:ind w:left="1985" w:hanging="567"/>
      </w:pPr>
      <w:rPr>
        <w:rFonts w:hint="default"/>
      </w:rPr>
    </w:lvl>
    <w:lvl w:ilvl="5">
      <w:start w:val="1"/>
      <w:numFmt w:val="lowerLetter"/>
      <w:lvlText w:val="(%6)"/>
      <w:lvlJc w:val="left"/>
      <w:pPr>
        <w:tabs>
          <w:tab w:val="num" w:pos="0"/>
        </w:tabs>
        <w:ind w:left="2552" w:hanging="567"/>
      </w:pPr>
      <w:rPr>
        <w:rFonts w:hint="default"/>
      </w:rPr>
    </w:lvl>
    <w:lvl w:ilvl="6">
      <w:start w:val="1"/>
      <w:numFmt w:val="lowerRoman"/>
      <w:lvlText w:val="(%7)"/>
      <w:lvlJc w:val="left"/>
      <w:pPr>
        <w:tabs>
          <w:tab w:val="num" w:pos="0"/>
        </w:tabs>
        <w:ind w:left="3119" w:hanging="567"/>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9" w15:restartNumberingAfterBreak="0">
    <w:nsid w:val="752B37AC"/>
    <w:multiLevelType w:val="multilevel"/>
    <w:tmpl w:val="4442EDA6"/>
    <w:name w:val="Simmons&amp;Simmons"/>
    <w:lvl w:ilvl="0">
      <w:start w:val="1"/>
      <w:numFmt w:val="none"/>
      <w:pStyle w:val="ssRestartNumber"/>
      <w:suff w:val="nothing"/>
      <w:lvlText w:val=""/>
      <w:lvlJc w:val="left"/>
      <w:pPr>
        <w:ind w:left="0" w:firstLine="0"/>
      </w:pPr>
      <w:rPr>
        <w:rFonts w:hint="default"/>
      </w:rPr>
    </w:lvl>
    <w:lvl w:ilvl="1">
      <w:start w:val="1"/>
      <w:numFmt w:val="decimal"/>
      <w:pStyle w:val="Heading1"/>
      <w:lvlText w:val="%2."/>
      <w:lvlJc w:val="left"/>
      <w:pPr>
        <w:tabs>
          <w:tab w:val="num" w:pos="709"/>
        </w:tabs>
        <w:ind w:left="709" w:hanging="709"/>
      </w:pPr>
      <w:rPr>
        <w:rFonts w:hint="default"/>
        <w:b w:val="0"/>
        <w:i w:val="0"/>
        <w:u w:val="none"/>
      </w:rPr>
    </w:lvl>
    <w:lvl w:ilvl="2">
      <w:start w:val="1"/>
      <w:numFmt w:val="decimal"/>
      <w:pStyle w:val="Heading2"/>
      <w:lvlText w:val="%2.%3"/>
      <w:lvlJc w:val="left"/>
      <w:pPr>
        <w:tabs>
          <w:tab w:val="num" w:pos="709"/>
        </w:tabs>
        <w:ind w:left="709" w:hanging="709"/>
      </w:pPr>
      <w:rPr>
        <w:rFonts w:hint="default"/>
        <w:b w:val="0"/>
        <w:i w:val="0"/>
      </w:rPr>
    </w:lvl>
    <w:lvl w:ilvl="3">
      <w:start w:val="1"/>
      <w:numFmt w:val="upperLetter"/>
      <w:pStyle w:val="Heading3"/>
      <w:lvlText w:val="(%4)"/>
      <w:lvlJc w:val="left"/>
      <w:pPr>
        <w:tabs>
          <w:tab w:val="num" w:pos="1418"/>
        </w:tabs>
        <w:ind w:left="1418" w:hanging="709"/>
      </w:pPr>
      <w:rPr>
        <w:rFonts w:hint="default"/>
        <w:b w:val="0"/>
        <w:i w:val="0"/>
      </w:rPr>
    </w:lvl>
    <w:lvl w:ilvl="4">
      <w:start w:val="1"/>
      <w:numFmt w:val="decimal"/>
      <w:pStyle w:val="Heading4"/>
      <w:lvlText w:val="(%5)"/>
      <w:lvlJc w:val="left"/>
      <w:pPr>
        <w:tabs>
          <w:tab w:val="num" w:pos="1985"/>
        </w:tabs>
        <w:ind w:left="1985" w:hanging="567"/>
      </w:pPr>
      <w:rPr>
        <w:rFonts w:hint="default"/>
        <w:b w:val="0"/>
        <w:i w:val="0"/>
      </w:rPr>
    </w:lvl>
    <w:lvl w:ilvl="5">
      <w:start w:val="1"/>
      <w:numFmt w:val="lowerLetter"/>
      <w:pStyle w:val="Heading5"/>
      <w:lvlText w:val="(%6)"/>
      <w:lvlJc w:val="left"/>
      <w:pPr>
        <w:tabs>
          <w:tab w:val="num" w:pos="2552"/>
        </w:tabs>
        <w:ind w:left="2552" w:hanging="567"/>
      </w:pPr>
      <w:rPr>
        <w:rFonts w:hint="default"/>
        <w:b w:val="0"/>
        <w:i w:val="0"/>
      </w:rPr>
    </w:lvl>
    <w:lvl w:ilvl="6">
      <w:start w:val="1"/>
      <w:numFmt w:val="lowerRoman"/>
      <w:pStyle w:val="Heading6"/>
      <w:lvlText w:val="(%7)"/>
      <w:lvlJc w:val="left"/>
      <w:pPr>
        <w:tabs>
          <w:tab w:val="num" w:pos="3119"/>
        </w:tabs>
        <w:ind w:left="3119" w:hanging="567"/>
      </w:pPr>
      <w:rPr>
        <w:rFonts w:hint="default"/>
        <w:b w:val="0"/>
        <w:i w:val="0"/>
      </w:rPr>
    </w:lvl>
    <w:lvl w:ilvl="7">
      <w:start w:val="1"/>
      <w:numFmt w:val="none"/>
      <w:pStyle w:val="Heading7"/>
      <w:suff w:val="nothing"/>
      <w:lvlText w:val=""/>
      <w:lvlJc w:val="left"/>
      <w:pPr>
        <w:ind w:left="0" w:firstLine="0"/>
      </w:pPr>
      <w:rPr>
        <w:rFonts w:hint="default"/>
      </w:rPr>
    </w:lvl>
    <w:lvl w:ilvl="8">
      <w:start w:val="1"/>
      <w:numFmt w:val="none"/>
      <w:pStyle w:val="Heading8"/>
      <w:suff w:val="nothing"/>
      <w:lvlText w:val=""/>
      <w:lvlJc w:val="left"/>
      <w:pPr>
        <w:ind w:left="0" w:firstLine="0"/>
      </w:pPr>
      <w:rPr>
        <w:rFonts w:hint="default"/>
      </w:rPr>
    </w:lvl>
  </w:abstractNum>
  <w:abstractNum w:abstractNumId="30" w15:restartNumberingAfterBreak="0">
    <w:nsid w:val="7B6B16F3"/>
    <w:multiLevelType w:val="multilevel"/>
    <w:tmpl w:val="E1EC99DE"/>
    <w:lvl w:ilvl="0">
      <w:start w:val="1"/>
      <w:numFmt w:val="none"/>
      <w:suff w:val="nothing"/>
      <w:lvlText w:val=""/>
      <w:lvlJc w:val="left"/>
      <w:pPr>
        <w:ind w:left="0" w:firstLine="0"/>
      </w:pPr>
      <w:rPr>
        <w:rFonts w:hint="default"/>
      </w:rPr>
    </w:lvl>
    <w:lvl w:ilvl="1">
      <w:start w:val="1"/>
      <w:numFmt w:val="decimal"/>
      <w:lvlText w:val="%2."/>
      <w:lvlJc w:val="left"/>
      <w:pPr>
        <w:tabs>
          <w:tab w:val="num" w:pos="0"/>
        </w:tabs>
        <w:ind w:left="709" w:hanging="709"/>
      </w:pPr>
      <w:rPr>
        <w:rFonts w:hint="default"/>
      </w:rPr>
    </w:lvl>
    <w:lvl w:ilvl="2">
      <w:start w:val="1"/>
      <w:numFmt w:val="decimal"/>
      <w:lvlText w:val="%2.%3"/>
      <w:lvlJc w:val="left"/>
      <w:pPr>
        <w:tabs>
          <w:tab w:val="num" w:pos="0"/>
        </w:tabs>
        <w:ind w:left="709" w:hanging="709"/>
      </w:pPr>
      <w:rPr>
        <w:rFonts w:hint="default"/>
      </w:rPr>
    </w:lvl>
    <w:lvl w:ilvl="3">
      <w:start w:val="1"/>
      <w:numFmt w:val="upperLetter"/>
      <w:lvlText w:val="(%4)"/>
      <w:lvlJc w:val="left"/>
      <w:pPr>
        <w:tabs>
          <w:tab w:val="num" w:pos="0"/>
        </w:tabs>
        <w:ind w:left="1418" w:hanging="709"/>
      </w:pPr>
      <w:rPr>
        <w:rFonts w:hint="default"/>
      </w:rPr>
    </w:lvl>
    <w:lvl w:ilvl="4">
      <w:start w:val="1"/>
      <w:numFmt w:val="decimal"/>
      <w:lvlText w:val="(%5)"/>
      <w:lvlJc w:val="left"/>
      <w:pPr>
        <w:tabs>
          <w:tab w:val="num" w:pos="0"/>
        </w:tabs>
        <w:ind w:left="1985" w:hanging="567"/>
      </w:pPr>
      <w:rPr>
        <w:rFonts w:hint="default"/>
      </w:rPr>
    </w:lvl>
    <w:lvl w:ilvl="5">
      <w:start w:val="1"/>
      <w:numFmt w:val="lowerLetter"/>
      <w:lvlText w:val="(%6)"/>
      <w:lvlJc w:val="left"/>
      <w:pPr>
        <w:tabs>
          <w:tab w:val="num" w:pos="0"/>
        </w:tabs>
        <w:ind w:left="2552" w:hanging="567"/>
      </w:pPr>
      <w:rPr>
        <w:rFonts w:hint="default"/>
      </w:rPr>
    </w:lvl>
    <w:lvl w:ilvl="6">
      <w:start w:val="1"/>
      <w:numFmt w:val="lowerRoman"/>
      <w:lvlText w:val="(%7)"/>
      <w:lvlJc w:val="left"/>
      <w:pPr>
        <w:tabs>
          <w:tab w:val="num" w:pos="0"/>
        </w:tabs>
        <w:ind w:left="2835" w:hanging="567"/>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1" w15:restartNumberingAfterBreak="0">
    <w:nsid w:val="7F540CB0"/>
    <w:multiLevelType w:val="multilevel"/>
    <w:tmpl w:val="B2FA9EDC"/>
    <w:lvl w:ilvl="0">
      <w:start w:val="1"/>
      <w:numFmt w:val="none"/>
      <w:suff w:val="nothing"/>
      <w:lvlText w:val=""/>
      <w:lvlJc w:val="left"/>
      <w:pPr>
        <w:ind w:left="0" w:firstLine="0"/>
      </w:pPr>
      <w:rPr>
        <w:rFonts w:hint="default"/>
      </w:rPr>
    </w:lvl>
    <w:lvl w:ilvl="1">
      <w:start w:val="1"/>
      <w:numFmt w:val="decimal"/>
      <w:lvlText w:val="%2."/>
      <w:lvlJc w:val="left"/>
      <w:pPr>
        <w:tabs>
          <w:tab w:val="num" w:pos="0"/>
        </w:tabs>
        <w:ind w:left="709" w:hanging="709"/>
      </w:pPr>
      <w:rPr>
        <w:rFonts w:hint="default"/>
      </w:rPr>
    </w:lvl>
    <w:lvl w:ilvl="2">
      <w:start w:val="1"/>
      <w:numFmt w:val="decimal"/>
      <w:lvlText w:val="%2.%3"/>
      <w:lvlJc w:val="left"/>
      <w:pPr>
        <w:tabs>
          <w:tab w:val="num" w:pos="0"/>
        </w:tabs>
        <w:ind w:left="709" w:hanging="709"/>
      </w:pPr>
      <w:rPr>
        <w:rFonts w:hint="default"/>
      </w:rPr>
    </w:lvl>
    <w:lvl w:ilvl="3">
      <w:start w:val="1"/>
      <w:numFmt w:val="upperLetter"/>
      <w:lvlText w:val="(%4)"/>
      <w:lvlJc w:val="left"/>
      <w:pPr>
        <w:tabs>
          <w:tab w:val="num" w:pos="0"/>
        </w:tabs>
        <w:ind w:left="1418" w:hanging="709"/>
      </w:pPr>
      <w:rPr>
        <w:rFonts w:hint="default"/>
      </w:rPr>
    </w:lvl>
    <w:lvl w:ilvl="4">
      <w:start w:val="1"/>
      <w:numFmt w:val="decimal"/>
      <w:lvlText w:val="(%5)"/>
      <w:lvlJc w:val="left"/>
      <w:pPr>
        <w:tabs>
          <w:tab w:val="num" w:pos="0"/>
        </w:tabs>
        <w:ind w:left="1985" w:hanging="567"/>
      </w:pPr>
      <w:rPr>
        <w:rFonts w:hint="default"/>
      </w:rPr>
    </w:lvl>
    <w:lvl w:ilvl="5">
      <w:start w:val="1"/>
      <w:numFmt w:val="lowerLetter"/>
      <w:lvlText w:val="(%6)"/>
      <w:lvlJc w:val="left"/>
      <w:pPr>
        <w:tabs>
          <w:tab w:val="num" w:pos="0"/>
        </w:tabs>
        <w:ind w:left="2552" w:hanging="567"/>
      </w:pPr>
      <w:rPr>
        <w:rFonts w:hint="default"/>
      </w:rPr>
    </w:lvl>
    <w:lvl w:ilvl="6">
      <w:start w:val="1"/>
      <w:numFmt w:val="lowerRoman"/>
      <w:lvlText w:val="(%7)"/>
      <w:lvlJc w:val="left"/>
      <w:pPr>
        <w:tabs>
          <w:tab w:val="num" w:pos="0"/>
        </w:tabs>
        <w:ind w:left="3119" w:hanging="567"/>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abstractNumId w:val="29"/>
  </w:num>
  <w:num w:numId="2">
    <w:abstractNumId w:val="17"/>
  </w:num>
  <w:num w:numId="3">
    <w:abstractNumId w:val="23"/>
  </w:num>
  <w:num w:numId="4">
    <w:abstractNumId w:val="15"/>
  </w:num>
  <w:num w:numId="5">
    <w:abstractNumId w:val="20"/>
  </w:num>
  <w:num w:numId="6">
    <w:abstractNumId w:val="27"/>
  </w:num>
  <w:num w:numId="7">
    <w:abstractNumId w:val="28"/>
  </w:num>
  <w:num w:numId="8">
    <w:abstractNumId w:val="25"/>
  </w:num>
  <w:num w:numId="9">
    <w:abstractNumId w:val="12"/>
  </w:num>
  <w:num w:numId="10">
    <w:abstractNumId w:val="30"/>
  </w:num>
  <w:num w:numId="11">
    <w:abstractNumId w:val="13"/>
  </w:num>
  <w:num w:numId="12">
    <w:abstractNumId w:val="31"/>
  </w:num>
  <w:num w:numId="13">
    <w:abstractNumId w:val="11"/>
  </w:num>
  <w:num w:numId="14">
    <w:abstractNumId w:val="10"/>
  </w:num>
  <w:num w:numId="15">
    <w:abstractNumId w:val="21"/>
  </w:num>
  <w:num w:numId="16">
    <w:abstractNumId w:val="19"/>
  </w:num>
  <w:num w:numId="17">
    <w:abstractNumId w:val="16"/>
  </w:num>
  <w:num w:numId="18">
    <w:abstractNumId w:val="22"/>
  </w:num>
  <w:num w:numId="19">
    <w:abstractNumId w:val="18"/>
  </w:num>
  <w:num w:numId="20">
    <w:abstractNumId w:val="9"/>
  </w:num>
  <w:num w:numId="21">
    <w:abstractNumId w:val="7"/>
  </w:num>
  <w:num w:numId="22">
    <w:abstractNumId w:val="6"/>
  </w:num>
  <w:num w:numId="23">
    <w:abstractNumId w:val="5"/>
  </w:num>
  <w:num w:numId="24">
    <w:abstractNumId w:val="4"/>
  </w:num>
  <w:num w:numId="25">
    <w:abstractNumId w:val="0"/>
  </w:num>
  <w:num w:numId="26">
    <w:abstractNumId w:val="1"/>
  </w:num>
  <w:num w:numId="27">
    <w:abstractNumId w:val="2"/>
  </w:num>
  <w:num w:numId="28">
    <w:abstractNumId w:val="3"/>
  </w:num>
  <w:num w:numId="29">
    <w:abstractNumId w:val="8"/>
  </w:num>
  <w:num w:numId="30">
    <w:abstractNumId w:val="14"/>
  </w:num>
  <w:num w:numId="31">
    <w:abstractNumId w:val="26"/>
  </w:num>
  <w:num w:numId="3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3A5"/>
    <w:rsid w:val="00072072"/>
    <w:rsid w:val="0008206C"/>
    <w:rsid w:val="00094146"/>
    <w:rsid w:val="000F4286"/>
    <w:rsid w:val="001153B6"/>
    <w:rsid w:val="0011668D"/>
    <w:rsid w:val="00126D51"/>
    <w:rsid w:val="00175581"/>
    <w:rsid w:val="0017715A"/>
    <w:rsid w:val="001955B3"/>
    <w:rsid w:val="001B24D8"/>
    <w:rsid w:val="001E0645"/>
    <w:rsid w:val="001E43A5"/>
    <w:rsid w:val="001F21EF"/>
    <w:rsid w:val="001F53FC"/>
    <w:rsid w:val="00213975"/>
    <w:rsid w:val="00220094"/>
    <w:rsid w:val="00257698"/>
    <w:rsid w:val="00261BA7"/>
    <w:rsid w:val="002906AA"/>
    <w:rsid w:val="0029381C"/>
    <w:rsid w:val="002960E1"/>
    <w:rsid w:val="002971A1"/>
    <w:rsid w:val="002A6843"/>
    <w:rsid w:val="002E4D24"/>
    <w:rsid w:val="002F49E3"/>
    <w:rsid w:val="00301554"/>
    <w:rsid w:val="00311015"/>
    <w:rsid w:val="003252CD"/>
    <w:rsid w:val="00381DDC"/>
    <w:rsid w:val="00390328"/>
    <w:rsid w:val="003C310D"/>
    <w:rsid w:val="003E16E2"/>
    <w:rsid w:val="003F2EB0"/>
    <w:rsid w:val="0044328B"/>
    <w:rsid w:val="004C7C3F"/>
    <w:rsid w:val="00502393"/>
    <w:rsid w:val="0056687A"/>
    <w:rsid w:val="00620716"/>
    <w:rsid w:val="0062234B"/>
    <w:rsid w:val="0064577C"/>
    <w:rsid w:val="006457B8"/>
    <w:rsid w:val="00695E51"/>
    <w:rsid w:val="006E7FB2"/>
    <w:rsid w:val="00767452"/>
    <w:rsid w:val="007A7E9F"/>
    <w:rsid w:val="00822DBB"/>
    <w:rsid w:val="008647EA"/>
    <w:rsid w:val="008767EF"/>
    <w:rsid w:val="008A3338"/>
    <w:rsid w:val="008A4EB4"/>
    <w:rsid w:val="00920739"/>
    <w:rsid w:val="0096097B"/>
    <w:rsid w:val="00980174"/>
    <w:rsid w:val="00990647"/>
    <w:rsid w:val="009B0A35"/>
    <w:rsid w:val="00A7460B"/>
    <w:rsid w:val="00AA331B"/>
    <w:rsid w:val="00AC41A4"/>
    <w:rsid w:val="00AE07E3"/>
    <w:rsid w:val="00AE6F9C"/>
    <w:rsid w:val="00AF5BA0"/>
    <w:rsid w:val="00B14584"/>
    <w:rsid w:val="00B53254"/>
    <w:rsid w:val="00BB285E"/>
    <w:rsid w:val="00BD7939"/>
    <w:rsid w:val="00BD7D3A"/>
    <w:rsid w:val="00C04072"/>
    <w:rsid w:val="00C11828"/>
    <w:rsid w:val="00C14BD4"/>
    <w:rsid w:val="00C27680"/>
    <w:rsid w:val="00CA7274"/>
    <w:rsid w:val="00CB058A"/>
    <w:rsid w:val="00D74945"/>
    <w:rsid w:val="00D804FC"/>
    <w:rsid w:val="00D812DA"/>
    <w:rsid w:val="00D845E5"/>
    <w:rsid w:val="00DD060C"/>
    <w:rsid w:val="00E54776"/>
    <w:rsid w:val="00E72948"/>
    <w:rsid w:val="00E74DB4"/>
    <w:rsid w:val="00E85801"/>
    <w:rsid w:val="00E85E2E"/>
    <w:rsid w:val="00EB2152"/>
    <w:rsid w:val="00EB6C5A"/>
    <w:rsid w:val="00EC237A"/>
    <w:rsid w:val="00EF5631"/>
    <w:rsid w:val="00F13CBE"/>
    <w:rsid w:val="00F2199C"/>
    <w:rsid w:val="00F32C2B"/>
    <w:rsid w:val="00F66402"/>
    <w:rsid w:val="00F71671"/>
    <w:rsid w:val="00FB2994"/>
    <w:rsid w:val="00FC3F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A619544-B385-446A-8792-B61953C6D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No Spacing" w:qFormat="1"/>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971A1"/>
    <w:pPr>
      <w:jc w:val="both"/>
    </w:pPr>
    <w:rPr>
      <w:rFonts w:ascii="Arial" w:hAnsi="Arial"/>
      <w:szCs w:val="22"/>
      <w:lang w:eastAsia="zh-CN"/>
    </w:rPr>
  </w:style>
  <w:style w:type="paragraph" w:styleId="Heading1">
    <w:name w:val="heading 1"/>
    <w:basedOn w:val="Normal"/>
    <w:next w:val="ssPara1"/>
    <w:qFormat/>
    <w:rsid w:val="00CA65D2"/>
    <w:pPr>
      <w:keepNext/>
      <w:widowControl w:val="0"/>
      <w:numPr>
        <w:ilvl w:val="1"/>
        <w:numId w:val="1"/>
      </w:numPr>
      <w:spacing w:after="260"/>
      <w:outlineLvl w:val="0"/>
    </w:pPr>
    <w:rPr>
      <w:rFonts w:cs="Arial"/>
      <w:b/>
      <w:bCs/>
      <w:kern w:val="32"/>
      <w:szCs w:val="32"/>
      <w:u w:val="single"/>
    </w:rPr>
  </w:style>
  <w:style w:type="paragraph" w:styleId="Heading2">
    <w:name w:val="heading 2"/>
    <w:basedOn w:val="Normal"/>
    <w:next w:val="ssPara2"/>
    <w:qFormat/>
    <w:rsid w:val="00CA65D2"/>
    <w:pPr>
      <w:keepNext/>
      <w:widowControl w:val="0"/>
      <w:numPr>
        <w:ilvl w:val="2"/>
        <w:numId w:val="1"/>
      </w:numPr>
      <w:spacing w:after="260"/>
      <w:outlineLvl w:val="1"/>
    </w:pPr>
    <w:rPr>
      <w:rFonts w:cs="Arial"/>
      <w:b/>
      <w:bCs/>
      <w:iCs/>
    </w:rPr>
  </w:style>
  <w:style w:type="paragraph" w:styleId="Heading3">
    <w:name w:val="heading 3"/>
    <w:basedOn w:val="Normal"/>
    <w:next w:val="ssPara3"/>
    <w:qFormat/>
    <w:rsid w:val="00CA65D2"/>
    <w:pPr>
      <w:keepNext/>
      <w:widowControl w:val="0"/>
      <w:numPr>
        <w:ilvl w:val="3"/>
        <w:numId w:val="1"/>
      </w:numPr>
      <w:spacing w:after="260"/>
      <w:outlineLvl w:val="2"/>
    </w:pPr>
    <w:rPr>
      <w:rFonts w:cs="Arial"/>
      <w:b/>
      <w:bCs/>
      <w:szCs w:val="26"/>
    </w:rPr>
  </w:style>
  <w:style w:type="paragraph" w:styleId="Heading4">
    <w:name w:val="heading 4"/>
    <w:basedOn w:val="Normal"/>
    <w:next w:val="ssPara4"/>
    <w:qFormat/>
    <w:rsid w:val="00CA65D2"/>
    <w:pPr>
      <w:keepNext/>
      <w:widowControl w:val="0"/>
      <w:numPr>
        <w:ilvl w:val="4"/>
        <w:numId w:val="1"/>
      </w:numPr>
      <w:spacing w:after="260"/>
      <w:outlineLvl w:val="3"/>
    </w:pPr>
    <w:rPr>
      <w:b/>
      <w:bCs/>
      <w:szCs w:val="28"/>
    </w:rPr>
  </w:style>
  <w:style w:type="paragraph" w:styleId="Heading5">
    <w:name w:val="heading 5"/>
    <w:basedOn w:val="Normal"/>
    <w:next w:val="ssPara5"/>
    <w:qFormat/>
    <w:rsid w:val="00CA65D2"/>
    <w:pPr>
      <w:keepNext/>
      <w:widowControl w:val="0"/>
      <w:numPr>
        <w:ilvl w:val="5"/>
        <w:numId w:val="1"/>
      </w:numPr>
      <w:spacing w:after="260"/>
      <w:outlineLvl w:val="4"/>
    </w:pPr>
    <w:rPr>
      <w:b/>
      <w:bCs/>
      <w:iCs/>
    </w:rPr>
  </w:style>
  <w:style w:type="paragraph" w:styleId="Heading6">
    <w:name w:val="heading 6"/>
    <w:basedOn w:val="Normal"/>
    <w:next w:val="ssPara6"/>
    <w:qFormat/>
    <w:rsid w:val="00CA65D2"/>
    <w:pPr>
      <w:keepNext/>
      <w:widowControl w:val="0"/>
      <w:numPr>
        <w:ilvl w:val="6"/>
        <w:numId w:val="1"/>
      </w:numPr>
      <w:spacing w:after="260"/>
      <w:outlineLvl w:val="5"/>
    </w:pPr>
    <w:rPr>
      <w:b/>
      <w:bCs/>
    </w:rPr>
  </w:style>
  <w:style w:type="paragraph" w:styleId="Heading7">
    <w:name w:val="heading 7"/>
    <w:basedOn w:val="Normal"/>
    <w:next w:val="Normal"/>
    <w:qFormat/>
    <w:rsid w:val="00CA65D2"/>
    <w:pPr>
      <w:numPr>
        <w:ilvl w:val="7"/>
        <w:numId w:val="1"/>
      </w:numPr>
      <w:outlineLvl w:val="6"/>
    </w:pPr>
    <w:rPr>
      <w:szCs w:val="24"/>
    </w:rPr>
  </w:style>
  <w:style w:type="paragraph" w:styleId="Heading8">
    <w:name w:val="heading 8"/>
    <w:basedOn w:val="Normal"/>
    <w:next w:val="Normal"/>
    <w:qFormat/>
    <w:rsid w:val="00CA65D2"/>
    <w:pPr>
      <w:numPr>
        <w:ilvl w:val="8"/>
        <w:numId w:val="1"/>
      </w:numPr>
      <w:outlineLvl w:val="7"/>
    </w:pPr>
    <w:rPr>
      <w:iCs/>
      <w:szCs w:val="24"/>
    </w:rPr>
  </w:style>
  <w:style w:type="paragraph" w:styleId="Heading9">
    <w:name w:val="heading 9"/>
    <w:basedOn w:val="Normal"/>
    <w:next w:val="Normal"/>
    <w:qFormat/>
    <w:rsid w:val="00367A27"/>
    <w:pPr>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sPara1">
    <w:name w:val="ssPara1"/>
    <w:basedOn w:val="Normal"/>
    <w:rsid w:val="0060762C"/>
    <w:pPr>
      <w:spacing w:after="260"/>
    </w:pPr>
  </w:style>
  <w:style w:type="paragraph" w:customStyle="1" w:styleId="ssPara2">
    <w:name w:val="ssPara2"/>
    <w:basedOn w:val="Normal"/>
    <w:rsid w:val="0060762C"/>
    <w:pPr>
      <w:spacing w:after="260"/>
      <w:ind w:left="709"/>
    </w:pPr>
  </w:style>
  <w:style w:type="paragraph" w:customStyle="1" w:styleId="ssPara3">
    <w:name w:val="ssPara3"/>
    <w:basedOn w:val="Normal"/>
    <w:rsid w:val="0060762C"/>
    <w:pPr>
      <w:spacing w:after="260"/>
      <w:ind w:left="1418"/>
    </w:pPr>
  </w:style>
  <w:style w:type="paragraph" w:customStyle="1" w:styleId="ssPara4">
    <w:name w:val="ssPara4"/>
    <w:basedOn w:val="Normal"/>
    <w:rsid w:val="0060762C"/>
    <w:pPr>
      <w:spacing w:after="260"/>
      <w:ind w:left="1985"/>
    </w:pPr>
  </w:style>
  <w:style w:type="paragraph" w:customStyle="1" w:styleId="ssPara5">
    <w:name w:val="ssPara5"/>
    <w:basedOn w:val="Normal"/>
    <w:rsid w:val="0060762C"/>
    <w:pPr>
      <w:spacing w:after="260"/>
      <w:ind w:left="2552"/>
    </w:pPr>
  </w:style>
  <w:style w:type="paragraph" w:customStyle="1" w:styleId="ssPara6">
    <w:name w:val="ssPara6"/>
    <w:basedOn w:val="Normal"/>
    <w:rsid w:val="0060762C"/>
    <w:pPr>
      <w:spacing w:after="260"/>
      <w:ind w:left="3119"/>
    </w:pPr>
  </w:style>
  <w:style w:type="paragraph" w:customStyle="1" w:styleId="ssNoHeading1">
    <w:name w:val="ssNoHeading1"/>
    <w:basedOn w:val="Heading1"/>
    <w:rsid w:val="00B060B8"/>
    <w:pPr>
      <w:keepNext w:val="0"/>
      <w:widowControl/>
    </w:pPr>
    <w:rPr>
      <w:b w:val="0"/>
      <w:szCs w:val="22"/>
      <w:u w:val="none"/>
    </w:rPr>
  </w:style>
  <w:style w:type="paragraph" w:customStyle="1" w:styleId="ssNoHeading2">
    <w:name w:val="ssNoHeading2"/>
    <w:basedOn w:val="Heading2"/>
    <w:rsid w:val="00B060B8"/>
    <w:pPr>
      <w:keepNext w:val="0"/>
      <w:widowControl/>
    </w:pPr>
    <w:rPr>
      <w:b w:val="0"/>
    </w:rPr>
  </w:style>
  <w:style w:type="paragraph" w:customStyle="1" w:styleId="ssNoHeading3">
    <w:name w:val="ssNoHeading3"/>
    <w:basedOn w:val="Heading3"/>
    <w:rsid w:val="00B060B8"/>
    <w:pPr>
      <w:keepNext w:val="0"/>
      <w:widowControl/>
    </w:pPr>
    <w:rPr>
      <w:b w:val="0"/>
    </w:rPr>
  </w:style>
  <w:style w:type="paragraph" w:customStyle="1" w:styleId="ssNoHeading4">
    <w:name w:val="ssNoHeading4"/>
    <w:basedOn w:val="Heading4"/>
    <w:rsid w:val="00B060B8"/>
    <w:pPr>
      <w:keepNext w:val="0"/>
      <w:widowControl/>
    </w:pPr>
    <w:rPr>
      <w:b w:val="0"/>
    </w:rPr>
  </w:style>
  <w:style w:type="paragraph" w:customStyle="1" w:styleId="ssNoHeading5">
    <w:name w:val="ssNoHeading5"/>
    <w:basedOn w:val="Heading5"/>
    <w:rsid w:val="00B060B8"/>
    <w:pPr>
      <w:keepNext w:val="0"/>
      <w:widowControl/>
    </w:pPr>
    <w:rPr>
      <w:b w:val="0"/>
    </w:rPr>
  </w:style>
  <w:style w:type="paragraph" w:customStyle="1" w:styleId="ssNoHeading6">
    <w:name w:val="ssNoHeading6"/>
    <w:basedOn w:val="Heading6"/>
    <w:rsid w:val="00B060B8"/>
    <w:pPr>
      <w:keepNext w:val="0"/>
      <w:widowControl/>
    </w:pPr>
    <w:rPr>
      <w:b w:val="0"/>
    </w:rPr>
  </w:style>
  <w:style w:type="paragraph" w:customStyle="1" w:styleId="ssRestartNumber">
    <w:name w:val="ssRestartNumber"/>
    <w:basedOn w:val="Normal"/>
    <w:next w:val="ssPara1"/>
    <w:rsid w:val="00CA65D2"/>
    <w:pPr>
      <w:numPr>
        <w:numId w:val="1"/>
      </w:numPr>
    </w:pPr>
    <w:rPr>
      <w:color w:val="FF0000"/>
    </w:rPr>
  </w:style>
  <w:style w:type="paragraph" w:customStyle="1" w:styleId="ssqPart">
    <w:name w:val="ssqPart"/>
    <w:basedOn w:val="Normal"/>
    <w:next w:val="ssPara1"/>
    <w:rsid w:val="00DB29D9"/>
    <w:pPr>
      <w:numPr>
        <w:ilvl w:val="1"/>
        <w:numId w:val="13"/>
      </w:numPr>
      <w:spacing w:after="260"/>
      <w:jc w:val="center"/>
    </w:pPr>
    <w:rPr>
      <w:b/>
      <w:caps/>
    </w:rPr>
  </w:style>
  <w:style w:type="paragraph" w:customStyle="1" w:styleId="ssRestartPart">
    <w:name w:val="ssRestartPart"/>
    <w:basedOn w:val="Normal"/>
    <w:next w:val="ssPara1"/>
    <w:rsid w:val="00DB29D9"/>
    <w:pPr>
      <w:numPr>
        <w:numId w:val="13"/>
      </w:numPr>
    </w:pPr>
    <w:rPr>
      <w:color w:val="FF0000"/>
    </w:rPr>
  </w:style>
  <w:style w:type="paragraph" w:customStyle="1" w:styleId="ssRestartSchedule">
    <w:name w:val="ssRestartSchedule"/>
    <w:basedOn w:val="Normal"/>
    <w:next w:val="ssPara1"/>
    <w:rsid w:val="008B5DC3"/>
    <w:pPr>
      <w:numPr>
        <w:numId w:val="14"/>
      </w:numPr>
    </w:pPr>
    <w:rPr>
      <w:color w:val="FF0000"/>
    </w:rPr>
  </w:style>
  <w:style w:type="paragraph" w:customStyle="1" w:styleId="ssqSchedule">
    <w:name w:val="ssqSchedule"/>
    <w:basedOn w:val="Normal"/>
    <w:next w:val="ssPara1"/>
    <w:rsid w:val="008B5DC3"/>
    <w:pPr>
      <w:numPr>
        <w:ilvl w:val="1"/>
        <w:numId w:val="14"/>
      </w:numPr>
      <w:spacing w:after="260"/>
      <w:jc w:val="center"/>
    </w:pPr>
    <w:rPr>
      <w:b/>
      <w:caps/>
    </w:rPr>
  </w:style>
  <w:style w:type="paragraph" w:customStyle="1" w:styleId="ssqExhibit">
    <w:name w:val="ssqExhibit"/>
    <w:basedOn w:val="Normal"/>
    <w:next w:val="ssPara1"/>
    <w:rsid w:val="002468A8"/>
    <w:pPr>
      <w:numPr>
        <w:ilvl w:val="1"/>
        <w:numId w:val="16"/>
      </w:numPr>
      <w:spacing w:after="260"/>
      <w:jc w:val="center"/>
    </w:pPr>
    <w:rPr>
      <w:b/>
      <w:caps/>
    </w:rPr>
  </w:style>
  <w:style w:type="paragraph" w:customStyle="1" w:styleId="ssRestartExhibit">
    <w:name w:val="ssRestartExhibit"/>
    <w:basedOn w:val="Normal"/>
    <w:next w:val="ssPara1"/>
    <w:rsid w:val="002468A8"/>
    <w:pPr>
      <w:numPr>
        <w:numId w:val="16"/>
      </w:numPr>
    </w:pPr>
    <w:rPr>
      <w:color w:val="FF0000"/>
    </w:rPr>
  </w:style>
  <w:style w:type="paragraph" w:customStyle="1" w:styleId="ssqToCAdd">
    <w:name w:val="ssqToCAdd"/>
    <w:basedOn w:val="ssPara1"/>
    <w:next w:val="ssPara1"/>
    <w:rsid w:val="0034673E"/>
  </w:style>
  <w:style w:type="paragraph" w:customStyle="1" w:styleId="ssqAppendix">
    <w:name w:val="ssqAppendix"/>
    <w:basedOn w:val="Normal"/>
    <w:next w:val="ssPara1"/>
    <w:rsid w:val="00CB7D04"/>
    <w:pPr>
      <w:numPr>
        <w:ilvl w:val="1"/>
        <w:numId w:val="19"/>
      </w:numPr>
      <w:spacing w:after="260"/>
      <w:jc w:val="center"/>
    </w:pPr>
    <w:rPr>
      <w:b/>
      <w:caps/>
    </w:rPr>
  </w:style>
  <w:style w:type="paragraph" w:customStyle="1" w:styleId="ssRestartAppendix">
    <w:name w:val="ssRestartAppendix"/>
    <w:basedOn w:val="Normal"/>
    <w:next w:val="ssPara1"/>
    <w:rsid w:val="004108F5"/>
    <w:pPr>
      <w:numPr>
        <w:numId w:val="19"/>
      </w:numPr>
    </w:pPr>
    <w:rPr>
      <w:color w:val="FF0000"/>
    </w:rPr>
  </w:style>
  <w:style w:type="paragraph" w:styleId="TOC1">
    <w:name w:val="toc 1"/>
    <w:basedOn w:val="Normal"/>
    <w:next w:val="Normal"/>
    <w:autoRedefine/>
    <w:rsid w:val="00800C13"/>
    <w:pPr>
      <w:tabs>
        <w:tab w:val="right" w:leader="dot" w:pos="9497"/>
      </w:tabs>
      <w:spacing w:before="220"/>
      <w:ind w:left="709" w:right="595" w:hanging="709"/>
    </w:pPr>
  </w:style>
  <w:style w:type="paragraph" w:styleId="TOC2">
    <w:name w:val="toc 2"/>
    <w:basedOn w:val="Normal"/>
    <w:next w:val="Normal"/>
    <w:autoRedefine/>
    <w:rsid w:val="0098314B"/>
    <w:pPr>
      <w:tabs>
        <w:tab w:val="right" w:leader="dot" w:pos="9497"/>
      </w:tabs>
      <w:ind w:left="1418" w:right="595" w:hanging="709"/>
    </w:pPr>
  </w:style>
  <w:style w:type="paragraph" w:styleId="TOC3">
    <w:name w:val="toc 3"/>
    <w:basedOn w:val="Normal"/>
    <w:next w:val="Normal"/>
    <w:autoRedefine/>
    <w:rsid w:val="00D33221"/>
    <w:pPr>
      <w:tabs>
        <w:tab w:val="right" w:leader="dot" w:pos="9497"/>
      </w:tabs>
      <w:ind w:left="2127" w:right="595" w:hanging="709"/>
    </w:pPr>
  </w:style>
  <w:style w:type="paragraph" w:styleId="TOC4">
    <w:name w:val="toc 4"/>
    <w:basedOn w:val="Normal"/>
    <w:next w:val="Normal"/>
    <w:autoRedefine/>
    <w:rsid w:val="00D33221"/>
    <w:pPr>
      <w:tabs>
        <w:tab w:val="right" w:leader="dot" w:pos="9497"/>
      </w:tabs>
      <w:ind w:left="2694" w:right="595" w:hanging="709"/>
    </w:pPr>
  </w:style>
  <w:style w:type="paragraph" w:styleId="BodyText">
    <w:name w:val="Body Text"/>
    <w:basedOn w:val="Normal"/>
    <w:link w:val="BodyTextChar"/>
    <w:rsid w:val="00D04C79"/>
    <w:pPr>
      <w:spacing w:after="120"/>
    </w:pPr>
  </w:style>
  <w:style w:type="character" w:customStyle="1" w:styleId="BodyTextChar">
    <w:name w:val="Body Text Char"/>
    <w:link w:val="BodyText"/>
    <w:rsid w:val="00D04C79"/>
    <w:rPr>
      <w:rFonts w:ascii="Arial" w:hAnsi="Arial"/>
      <w:sz w:val="22"/>
      <w:szCs w:val="22"/>
      <w:lang w:eastAsia="zh-CN"/>
    </w:rPr>
  </w:style>
  <w:style w:type="character" w:styleId="Hyperlink">
    <w:name w:val="Hyperlink"/>
    <w:basedOn w:val="DefaultParagraphFont"/>
    <w:rsid w:val="002971A1"/>
    <w:rPr>
      <w:color w:val="0000FF" w:themeColor="hyperlink"/>
      <w:u w:val="single"/>
    </w:rPr>
  </w:style>
  <w:style w:type="paragraph" w:styleId="Header">
    <w:name w:val="header"/>
    <w:basedOn w:val="Normal"/>
    <w:link w:val="HeaderChar"/>
    <w:rsid w:val="00C14BD4"/>
    <w:pPr>
      <w:tabs>
        <w:tab w:val="center" w:pos="4513"/>
        <w:tab w:val="right" w:pos="9026"/>
      </w:tabs>
    </w:pPr>
  </w:style>
  <w:style w:type="character" w:customStyle="1" w:styleId="HeaderChar">
    <w:name w:val="Header Char"/>
    <w:basedOn w:val="DefaultParagraphFont"/>
    <w:link w:val="Header"/>
    <w:rsid w:val="00C14BD4"/>
    <w:rPr>
      <w:rFonts w:ascii="Arial" w:hAnsi="Arial"/>
      <w:szCs w:val="22"/>
      <w:lang w:eastAsia="zh-CN"/>
    </w:rPr>
  </w:style>
  <w:style w:type="paragraph" w:styleId="Footer">
    <w:name w:val="footer"/>
    <w:basedOn w:val="Normal"/>
    <w:link w:val="FooterChar"/>
    <w:rsid w:val="00C14BD4"/>
    <w:pPr>
      <w:tabs>
        <w:tab w:val="center" w:pos="4513"/>
        <w:tab w:val="right" w:pos="9026"/>
      </w:tabs>
    </w:pPr>
  </w:style>
  <w:style w:type="character" w:customStyle="1" w:styleId="FooterChar">
    <w:name w:val="Footer Char"/>
    <w:basedOn w:val="DefaultParagraphFont"/>
    <w:link w:val="Footer"/>
    <w:rsid w:val="00C14BD4"/>
    <w:rPr>
      <w:rFonts w:ascii="Arial" w:hAnsi="Arial"/>
      <w:szCs w:val="22"/>
      <w:lang w:eastAsia="zh-CN"/>
    </w:rPr>
  </w:style>
  <w:style w:type="paragraph" w:styleId="BalloonText">
    <w:name w:val="Balloon Text"/>
    <w:basedOn w:val="Normal"/>
    <w:link w:val="BalloonTextChar"/>
    <w:rsid w:val="00990647"/>
    <w:rPr>
      <w:rFonts w:ascii="Tahoma" w:hAnsi="Tahoma" w:cs="Tahoma"/>
      <w:sz w:val="16"/>
      <w:szCs w:val="16"/>
    </w:rPr>
  </w:style>
  <w:style w:type="character" w:customStyle="1" w:styleId="BalloonTextChar">
    <w:name w:val="Balloon Text Char"/>
    <w:basedOn w:val="DefaultParagraphFont"/>
    <w:link w:val="BalloonText"/>
    <w:rsid w:val="00990647"/>
    <w:rPr>
      <w:rFonts w:ascii="Tahoma" w:hAnsi="Tahoma" w:cs="Tahoma"/>
      <w:sz w:val="16"/>
      <w:szCs w:val="16"/>
      <w:lang w:eastAsia="zh-CN"/>
    </w:rPr>
  </w:style>
  <w:style w:type="paragraph" w:styleId="ListParagraph">
    <w:name w:val="List Paragraph"/>
    <w:basedOn w:val="Normal"/>
    <w:qFormat/>
    <w:rsid w:val="008647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7726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sma.europa.eu/sites/default/files/library/2015/11/2014-1569_final_report_-_esmas_technical_advice_to_the_commission_on_mifid_ii_and_mifir.pdf"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lexica.authoring.simmons.local/~/media/Files/Microsites/MiFID/MiFID2%20legislative/DR%20April%202016%20%20Chp3%20S4%20Art%205963%20Reporting%20to%20Clients.DOC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c.europa.eu/transparency/regdoc/rep/3/2016/EN/3-2016-2398-EN-F1-1.PDF"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arclays">
      <a:majorFont>
        <a:latin typeface="Expert Sans Regular"/>
        <a:ea typeface=""/>
        <a:cs typeface=""/>
      </a:majorFont>
      <a:minorFont>
        <a:latin typeface="Expert Sans Regular"/>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19C20C-07E7-4215-9A41-FC1F29B1FD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1858</Words>
  <Characters>10594</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Barclays Capital</Company>
  <LinksUpToDate>false</LinksUpToDate>
  <CharactersWithSpaces>12428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miloshju</dc:creator>
  <cp:keywords/>
  <dc:description/>
  <cp:lastModifiedBy>Sally Anderson</cp:lastModifiedBy>
  <cp:revision>2</cp:revision>
  <cp:lastPrinted>2016-05-09T08:58:00Z</cp:lastPrinted>
  <dcterms:created xsi:type="dcterms:W3CDTF">2019-10-13T19:46:00Z</dcterms:created>
  <dcterms:modified xsi:type="dcterms:W3CDTF">2019-10-13T19:46:00Z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_number">
    <vt:lpwstr>62052754 V1 -  - UK1</vt:lpwstr>
  </property>
  <property fmtid="{D5CDD505-2E9C-101B-9397-08002B2CF9AE}" pid="3" name="MAIL_MSG_ID1">
    <vt:lpwstr>gFAA5ajW4yTOEjsUWegmEaMvhwTCUiH3wPwgejqPOGr3lMI7kUqv71u6lxlA3avENxPlkKxAc1/bRBam
s44nX6mmc1t/Y9tZgcgretB28te0JhQquKaMN3TAK+Gv8V+DtkVpgWaq1YQGvtOms44nX6mmc1t/
Y9tZgcgretB28te0JhQquKaMN3TAK94Ht2OBOLYItQCxS4KjBGZDmXSO84+i/kSDtjGbjikkGnkj
Kib0NKxmjlrXoDA2P</vt:lpwstr>
  </property>
  <property fmtid="{D5CDD505-2E9C-101B-9397-08002B2CF9AE}" pid="4" name="MAIL_MSG_ID2">
    <vt:lpwstr>Pr3/Kt6brdBMPJej4ir1saDyEFc1VhRCugTF1S9rv70H08OvX4oyJnDlDCz
p6+teYT4F7CYQtO0YekOLSzfnvN6Iyj61GoGoA==</vt:lpwstr>
  </property>
  <property fmtid="{D5CDD505-2E9C-101B-9397-08002B2CF9AE}" pid="5" name="RESPONSE_SENDER_NAME">
    <vt:lpwstr>gAAAJ+PfKkF/6hhwWohgfD5oazfTC0la50X6</vt:lpwstr>
  </property>
  <property fmtid="{D5CDD505-2E9C-101B-9397-08002B2CF9AE}" pid="6" name="EMAIL_OWNER_ADDRESS">
    <vt:lpwstr>ABAAmylTnWthiz/2U7+Qrsc8j5QjBWqELp1c7a3PO8GaG+pB90Gz5/oitapwLxQF8LeS</vt:lpwstr>
  </property>
  <property fmtid="{D5CDD505-2E9C-101B-9397-08002B2CF9AE}" pid="7" name="WS_TRACKING_ID">
    <vt:lpwstr>9f8c03ca-6b0e-4adf-810c-f8c8155681c8</vt:lpwstr>
  </property>
</Properties>
</file>