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B22" w:rsidRDefault="00D13B22" w:rsidP="00D13B22">
      <w:pPr>
        <w:spacing w:line="358" w:lineRule="exact"/>
        <w:ind w:left="72" w:right="72"/>
        <w:jc w:val="both"/>
        <w:textAlignment w:val="baseline"/>
      </w:pPr>
      <w:r>
        <w:t xml:space="preserve">11/12/2015 | ESMA/2015/1858 </w:t>
      </w:r>
    </w:p>
    <w:p w:rsidR="000A4CA4" w:rsidRPr="00D13B22" w:rsidRDefault="003E106F" w:rsidP="00D13B22">
      <w:pPr>
        <w:spacing w:line="358" w:lineRule="exact"/>
        <w:ind w:left="72" w:right="72"/>
        <w:jc w:val="both"/>
        <w:textAlignment w:val="baseline"/>
      </w:pPr>
      <w:r w:rsidRPr="00C817FB">
        <w:rPr>
          <w:rFonts w:ascii="Arial" w:eastAsia="Arial" w:hAnsi="Arial"/>
          <w:b/>
          <w:color w:val="000000"/>
          <w:sz w:val="28"/>
          <w:lang w:val="en-GB"/>
        </w:rPr>
        <w:t>ITS 5: Draft im</w:t>
      </w:r>
      <w:bookmarkStart w:id="0" w:name="_GoBack"/>
      <w:bookmarkEnd w:id="0"/>
      <w:r w:rsidRPr="00C817FB">
        <w:rPr>
          <w:rFonts w:ascii="Arial" w:eastAsia="Arial" w:hAnsi="Arial"/>
          <w:b/>
          <w:color w:val="000000"/>
          <w:sz w:val="28"/>
          <w:lang w:val="en-GB"/>
        </w:rPr>
        <w:t>plementing technical standards on the format and timing of weekly position reports (Article 58(7) of MiFID</w:t>
      </w:r>
      <w:r>
        <w:rPr>
          <w:rFonts w:ascii="Arial" w:eastAsia="Arial" w:hAnsi="Arial"/>
          <w:b/>
          <w:color w:val="000000"/>
          <w:sz w:val="28"/>
          <w:lang w:val="pt-PT"/>
        </w:rPr>
        <w:t xml:space="preserve"> II)</w:t>
      </w:r>
    </w:p>
    <w:p w:rsidR="000A4CA4" w:rsidRDefault="003E106F">
      <w:pPr>
        <w:spacing w:after="1114"/>
        <w:ind w:left="70" w:right="5023"/>
        <w:textAlignment w:val="baseline"/>
      </w:pPr>
      <w:r>
        <w:rPr>
          <w:noProof/>
          <w:lang w:val="en-GB" w:eastAsia="en-GB"/>
        </w:rPr>
        <w:drawing>
          <wp:inline distT="0" distB="0" distL="0" distR="0">
            <wp:extent cx="2609215" cy="762000"/>
            <wp:effectExtent l="0" t="0" r="0" b="0"/>
            <wp:docPr id="31" name="pic"/>
            <wp:cNvGraphicFramePr/>
            <a:graphic xmlns:a="http://schemas.openxmlformats.org/drawingml/2006/main">
              <a:graphicData uri="http://schemas.openxmlformats.org/drawingml/2006/picture">
                <pic:pic xmlns:pic="http://schemas.openxmlformats.org/drawingml/2006/picture">
                  <pic:nvPicPr>
                    <pic:cNvPr id="32" name="test1"/>
                    <pic:cNvPicPr preferRelativeResize="0"/>
                  </pic:nvPicPr>
                  <pic:blipFill>
                    <a:blip r:embed="rId9"/>
                    <a:stretch>
                      <a:fillRect/>
                    </a:stretch>
                  </pic:blipFill>
                  <pic:spPr>
                    <a:xfrm>
                      <a:off x="0" y="0"/>
                      <a:ext cx="2609215" cy="762000"/>
                    </a:xfrm>
                    <a:prstGeom prst="rect">
                      <a:avLst/>
                    </a:prstGeom>
                  </pic:spPr>
                </pic:pic>
              </a:graphicData>
            </a:graphic>
          </wp:inline>
        </w:drawing>
      </w:r>
    </w:p>
    <w:p w:rsidR="000A4CA4" w:rsidRDefault="003E106F">
      <w:pPr>
        <w:spacing w:after="1460"/>
        <w:ind w:left="5096" w:right="2484"/>
        <w:textAlignment w:val="baseline"/>
      </w:pPr>
      <w:r>
        <w:rPr>
          <w:noProof/>
          <w:lang w:val="en-GB" w:eastAsia="en-GB"/>
        </w:rPr>
        <w:drawing>
          <wp:inline distT="0" distB="0" distL="0" distR="0">
            <wp:extent cx="1029970" cy="313690"/>
            <wp:effectExtent l="0" t="0" r="0" b="0"/>
            <wp:docPr id="33" name="pic"/>
            <wp:cNvGraphicFramePr/>
            <a:graphic xmlns:a="http://schemas.openxmlformats.org/drawingml/2006/main">
              <a:graphicData uri="http://schemas.openxmlformats.org/drawingml/2006/picture">
                <pic:pic xmlns:pic="http://schemas.openxmlformats.org/drawingml/2006/picture">
                  <pic:nvPicPr>
                    <pic:cNvPr id="34" name="test1"/>
                    <pic:cNvPicPr preferRelativeResize="0"/>
                  </pic:nvPicPr>
                  <pic:blipFill>
                    <a:blip r:embed="rId10"/>
                    <a:stretch>
                      <a:fillRect/>
                    </a:stretch>
                  </pic:blipFill>
                  <pic:spPr>
                    <a:xfrm>
                      <a:off x="0" y="0"/>
                      <a:ext cx="1029970" cy="313690"/>
                    </a:xfrm>
                    <a:prstGeom prst="rect">
                      <a:avLst/>
                    </a:prstGeom>
                  </pic:spPr>
                </pic:pic>
              </a:graphicData>
            </a:graphic>
          </wp:inline>
        </w:drawing>
      </w:r>
    </w:p>
    <w:p w:rsidR="000A4CA4" w:rsidRDefault="003E106F">
      <w:pPr>
        <w:spacing w:after="954"/>
        <w:ind w:left="1563" w:right="1692"/>
        <w:textAlignment w:val="baseline"/>
      </w:pPr>
      <w:r>
        <w:rPr>
          <w:noProof/>
          <w:lang w:val="en-GB" w:eastAsia="en-GB"/>
        </w:rPr>
        <w:drawing>
          <wp:inline distT="0" distB="0" distL="0" distR="0">
            <wp:extent cx="3776345" cy="535940"/>
            <wp:effectExtent l="0" t="0" r="0" b="0"/>
            <wp:docPr id="35" name="pic"/>
            <wp:cNvGraphicFramePr/>
            <a:graphic xmlns:a="http://schemas.openxmlformats.org/drawingml/2006/main">
              <a:graphicData uri="http://schemas.openxmlformats.org/drawingml/2006/picture">
                <pic:pic xmlns:pic="http://schemas.openxmlformats.org/drawingml/2006/picture">
                  <pic:nvPicPr>
                    <pic:cNvPr id="36" name="test1"/>
                    <pic:cNvPicPr preferRelativeResize="0"/>
                  </pic:nvPicPr>
                  <pic:blipFill>
                    <a:blip r:embed="rId11"/>
                    <a:stretch>
                      <a:fillRect/>
                    </a:stretch>
                  </pic:blipFill>
                  <pic:spPr>
                    <a:xfrm>
                      <a:off x="0" y="0"/>
                      <a:ext cx="3776345" cy="535940"/>
                    </a:xfrm>
                    <a:prstGeom prst="rect">
                      <a:avLst/>
                    </a:prstGeom>
                  </pic:spPr>
                </pic:pic>
              </a:graphicData>
            </a:graphic>
          </wp:inline>
        </w:drawing>
      </w:r>
    </w:p>
    <w:p w:rsidR="000A4CA4" w:rsidRPr="00C817FB" w:rsidRDefault="003E106F">
      <w:pPr>
        <w:spacing w:line="290" w:lineRule="exact"/>
        <w:jc w:val="center"/>
        <w:textAlignment w:val="baseline"/>
        <w:rPr>
          <w:rFonts w:ascii="Arial" w:eastAsia="Arial" w:hAnsi="Arial"/>
          <w:b/>
          <w:color w:val="000000"/>
          <w:spacing w:val="-1"/>
          <w:sz w:val="23"/>
          <w:lang w:val="en-GB"/>
        </w:rPr>
      </w:pPr>
      <w:r w:rsidRPr="00C817FB">
        <w:rPr>
          <w:rFonts w:ascii="Arial" w:eastAsia="Arial" w:hAnsi="Arial"/>
          <w:b/>
          <w:color w:val="000000"/>
          <w:spacing w:val="-1"/>
          <w:sz w:val="23"/>
          <w:lang w:val="en-GB"/>
        </w:rPr>
        <w:t>COMMISSION IMPLEMENTING REGULATION (EU)</w:t>
      </w:r>
      <w:r>
        <w:rPr>
          <w:rFonts w:ascii="Arial" w:eastAsia="Arial" w:hAnsi="Arial"/>
          <w:b/>
          <w:color w:val="000000"/>
          <w:spacing w:val="-1"/>
          <w:lang w:val="pt-PT"/>
        </w:rPr>
        <w:t xml:space="preserve"> No</w:t>
      </w:r>
      <w:r w:rsidRPr="00C817FB">
        <w:rPr>
          <w:rFonts w:ascii="Arial" w:eastAsia="Arial" w:hAnsi="Arial"/>
          <w:b/>
          <w:color w:val="000000"/>
          <w:spacing w:val="-1"/>
          <w:sz w:val="23"/>
          <w:lang w:val="en-GB"/>
        </w:rPr>
        <w:t xml:space="preserve"> .../... </w:t>
      </w:r>
      <w:r w:rsidRPr="00C817FB">
        <w:rPr>
          <w:rFonts w:ascii="Arial" w:eastAsia="Arial" w:hAnsi="Arial"/>
          <w:b/>
          <w:color w:val="000000"/>
          <w:spacing w:val="-1"/>
          <w:lang w:val="en-GB"/>
        </w:rPr>
        <w:t xml:space="preserve">laying down implementing </w:t>
      </w:r>
      <w:r w:rsidRPr="00C817FB">
        <w:rPr>
          <w:rFonts w:ascii="Arial" w:eastAsia="Arial" w:hAnsi="Arial"/>
          <w:b/>
          <w:color w:val="000000"/>
          <w:spacing w:val="-1"/>
          <w:lang w:val="en-GB"/>
        </w:rPr>
        <w:br/>
        <w:t xml:space="preserve">technical standards with regard to the format and the timing of position reports by </w:t>
      </w:r>
      <w:r w:rsidRPr="00C817FB">
        <w:rPr>
          <w:rFonts w:ascii="Arial" w:eastAsia="Arial" w:hAnsi="Arial"/>
          <w:b/>
          <w:color w:val="000000"/>
          <w:spacing w:val="-1"/>
          <w:lang w:val="en-GB"/>
        </w:rPr>
        <w:br/>
        <w:t xml:space="preserve">investment firms and market operators of trading venues according to Directive </w:t>
      </w:r>
      <w:r w:rsidRPr="00C817FB">
        <w:rPr>
          <w:rFonts w:ascii="Arial" w:eastAsia="Arial" w:hAnsi="Arial"/>
          <w:b/>
          <w:color w:val="000000"/>
          <w:spacing w:val="-1"/>
          <w:lang w:val="en-GB"/>
        </w:rPr>
        <w:br/>
        <w:t>2014/65/EU of the European Parliament and of the Council on markets in</w:t>
      </w:r>
      <w:r>
        <w:rPr>
          <w:rFonts w:ascii="Arial" w:eastAsia="Arial" w:hAnsi="Arial"/>
          <w:b/>
          <w:color w:val="000000"/>
          <w:spacing w:val="-1"/>
          <w:lang w:val="pt-PT"/>
        </w:rPr>
        <w:t xml:space="preserve"> financial</w:t>
      </w:r>
      <w:r w:rsidRPr="00C817FB">
        <w:rPr>
          <w:rFonts w:ascii="Arial" w:eastAsia="Arial" w:hAnsi="Arial"/>
          <w:b/>
          <w:color w:val="000000"/>
          <w:spacing w:val="-1"/>
          <w:lang w:val="en-GB"/>
        </w:rPr>
        <w:t xml:space="preserve"> </w:t>
      </w:r>
      <w:r w:rsidRPr="00C817FB">
        <w:rPr>
          <w:rFonts w:ascii="Arial" w:eastAsia="Arial" w:hAnsi="Arial"/>
          <w:b/>
          <w:color w:val="000000"/>
          <w:spacing w:val="-1"/>
          <w:lang w:val="en-GB"/>
        </w:rPr>
        <w:br/>
        <w:t>instruments</w:t>
      </w:r>
    </w:p>
    <w:p w:rsidR="000A4CA4" w:rsidRPr="00C817FB" w:rsidRDefault="003E106F">
      <w:pPr>
        <w:spacing w:before="284" w:line="258" w:lineRule="exact"/>
        <w:jc w:val="center"/>
        <w:textAlignment w:val="baseline"/>
        <w:rPr>
          <w:rFonts w:ascii="Arial" w:eastAsia="Arial" w:hAnsi="Arial"/>
          <w:b/>
          <w:color w:val="000000"/>
          <w:spacing w:val="14"/>
          <w:lang w:val="en-GB"/>
        </w:rPr>
      </w:pPr>
      <w:r w:rsidRPr="00C817FB">
        <w:rPr>
          <w:rFonts w:ascii="Arial" w:eastAsia="Arial" w:hAnsi="Arial"/>
          <w:b/>
          <w:color w:val="000000"/>
          <w:spacing w:val="14"/>
          <w:lang w:val="en-GB"/>
        </w:rPr>
        <w:t>of [ ]</w:t>
      </w:r>
    </w:p>
    <w:p w:rsidR="000A4CA4" w:rsidRPr="00C817FB" w:rsidRDefault="003E106F">
      <w:pPr>
        <w:spacing w:before="284" w:line="258" w:lineRule="exact"/>
        <w:jc w:val="center"/>
        <w:textAlignment w:val="baseline"/>
        <w:rPr>
          <w:rFonts w:ascii="Arial" w:eastAsia="Arial" w:hAnsi="Arial"/>
          <w:b/>
          <w:color w:val="000000"/>
          <w:lang w:val="en-GB"/>
        </w:rPr>
      </w:pPr>
      <w:r w:rsidRPr="00C817FB">
        <w:rPr>
          <w:rFonts w:ascii="Arial" w:eastAsia="Arial" w:hAnsi="Arial"/>
          <w:b/>
          <w:color w:val="000000"/>
          <w:lang w:val="en-GB"/>
        </w:rPr>
        <w:t>(Text with EEA relevance)</w:t>
      </w:r>
    </w:p>
    <w:p w:rsidR="000A4CA4" w:rsidRPr="00C817FB" w:rsidRDefault="003E106F">
      <w:pPr>
        <w:spacing w:before="285" w:line="251" w:lineRule="exact"/>
        <w:ind w:left="72"/>
        <w:textAlignment w:val="baseline"/>
        <w:rPr>
          <w:rFonts w:ascii="Arial" w:eastAsia="Arial" w:hAnsi="Arial"/>
          <w:color w:val="000000"/>
          <w:lang w:val="en-GB"/>
        </w:rPr>
      </w:pPr>
      <w:r w:rsidRPr="00C817FB">
        <w:rPr>
          <w:rFonts w:ascii="Arial" w:eastAsia="Arial" w:hAnsi="Arial"/>
          <w:color w:val="000000"/>
          <w:lang w:val="en-GB"/>
        </w:rPr>
        <w:t>THE EUROPEAN COMMISSION,</w:t>
      </w:r>
    </w:p>
    <w:p w:rsidR="000A4CA4" w:rsidRPr="00C817FB" w:rsidRDefault="003E106F">
      <w:pPr>
        <w:spacing w:before="291" w:line="251" w:lineRule="exact"/>
        <w:ind w:left="72"/>
        <w:textAlignment w:val="baseline"/>
        <w:rPr>
          <w:rFonts w:ascii="Arial" w:eastAsia="Arial" w:hAnsi="Arial"/>
          <w:color w:val="000000"/>
          <w:lang w:val="en-GB"/>
        </w:rPr>
      </w:pPr>
      <w:r w:rsidRPr="00C817FB">
        <w:rPr>
          <w:rFonts w:ascii="Arial" w:eastAsia="Arial" w:hAnsi="Arial"/>
          <w:color w:val="000000"/>
          <w:lang w:val="en-GB"/>
        </w:rPr>
        <w:t>Having regard to the Treaty on the Functioning of the European Union,</w:t>
      </w:r>
    </w:p>
    <w:p w:rsidR="000A4CA4" w:rsidRDefault="000A4CA4">
      <w:pPr>
        <w:sectPr w:rsidR="000A4CA4">
          <w:headerReference w:type="even" r:id="rId12"/>
          <w:headerReference w:type="default" r:id="rId13"/>
          <w:footerReference w:type="even" r:id="rId14"/>
          <w:footerReference w:type="default" r:id="rId15"/>
          <w:headerReference w:type="first" r:id="rId16"/>
          <w:footerReference w:type="first" r:id="rId17"/>
          <w:pgSz w:w="11909" w:h="14990"/>
          <w:pgMar w:top="440" w:right="1361" w:bottom="1094" w:left="1346" w:header="720" w:footer="720" w:gutter="0"/>
          <w:cols w:space="720"/>
        </w:sectPr>
      </w:pPr>
    </w:p>
    <w:p w:rsidR="000A4CA4" w:rsidRPr="00C817FB" w:rsidRDefault="003E106F">
      <w:pPr>
        <w:spacing w:line="298" w:lineRule="exact"/>
        <w:ind w:left="72" w:right="72"/>
        <w:jc w:val="both"/>
        <w:textAlignment w:val="baseline"/>
        <w:rPr>
          <w:rFonts w:ascii="Arial" w:eastAsia="Arial" w:hAnsi="Arial"/>
          <w:color w:val="000000"/>
          <w:lang w:val="en-GB"/>
        </w:rPr>
      </w:pPr>
      <w:r w:rsidRPr="00C817FB">
        <w:rPr>
          <w:rFonts w:ascii="Arial" w:eastAsia="Arial" w:hAnsi="Arial"/>
          <w:color w:val="000000"/>
          <w:lang w:val="en-GB"/>
        </w:rPr>
        <w:lastRenderedPageBreak/>
        <w:t>Having regard to Directive 2014/65/EU of 15 May 2014 of the European Parliament and of the Council on markets in</w:t>
      </w:r>
      <w:r>
        <w:rPr>
          <w:rFonts w:ascii="Arial" w:eastAsia="Arial" w:hAnsi="Arial"/>
          <w:color w:val="000000"/>
          <w:lang w:val="pt-PT"/>
        </w:rPr>
        <w:t xml:space="preserve"> financial</w:t>
      </w:r>
      <w:r w:rsidRPr="00C817FB">
        <w:rPr>
          <w:rFonts w:ascii="Arial" w:eastAsia="Arial" w:hAnsi="Arial"/>
          <w:color w:val="000000"/>
          <w:lang w:val="en-GB"/>
        </w:rPr>
        <w:t xml:space="preserve"> instruments and amending Directive 2002/92/EC and Directive 2011/61/EU</w:t>
      </w:r>
      <w:r w:rsidR="008B2542">
        <w:rPr>
          <w:rStyle w:val="FootnoteReference"/>
          <w:rFonts w:ascii="Arial" w:eastAsia="Arial" w:hAnsi="Arial"/>
          <w:color w:val="000000"/>
          <w:lang w:val="en-GB"/>
        </w:rPr>
        <w:footnoteReference w:id="1"/>
      </w:r>
      <w:r w:rsidRPr="00C817FB">
        <w:rPr>
          <w:rFonts w:ascii="Arial" w:eastAsia="Arial" w:hAnsi="Arial"/>
          <w:color w:val="000000"/>
          <w:lang w:val="en-GB"/>
        </w:rPr>
        <w:t>), and in</w:t>
      </w:r>
      <w:r>
        <w:rPr>
          <w:rFonts w:ascii="Arial" w:eastAsia="Arial" w:hAnsi="Arial"/>
          <w:color w:val="000000"/>
          <w:lang w:val="pt-PT"/>
        </w:rPr>
        <w:t xml:space="preserve"> particular</w:t>
      </w:r>
      <w:r w:rsidRPr="00C817FB">
        <w:rPr>
          <w:rFonts w:ascii="Arial" w:eastAsia="Arial" w:hAnsi="Arial"/>
          <w:color w:val="000000"/>
          <w:lang w:val="en-GB"/>
        </w:rPr>
        <w:t xml:space="preserve"> Article 58(7) thereof,</w:t>
      </w:r>
    </w:p>
    <w:p w:rsidR="000A4CA4" w:rsidRDefault="003E106F">
      <w:pPr>
        <w:spacing w:before="301" w:line="257" w:lineRule="exact"/>
        <w:ind w:left="72" w:right="72"/>
        <w:textAlignment w:val="baseline"/>
        <w:rPr>
          <w:rFonts w:ascii="Arial" w:eastAsia="Arial" w:hAnsi="Arial"/>
          <w:color w:val="000000"/>
          <w:spacing w:val="-3"/>
          <w:lang w:val="de-DE"/>
        </w:rPr>
      </w:pPr>
      <w:r>
        <w:rPr>
          <w:rFonts w:ascii="Arial" w:eastAsia="Arial" w:hAnsi="Arial"/>
          <w:color w:val="000000"/>
          <w:spacing w:val="-3"/>
          <w:lang w:val="de-DE"/>
        </w:rPr>
        <w:t>Whereas:</w:t>
      </w:r>
    </w:p>
    <w:p w:rsidR="000A4CA4" w:rsidRPr="00C817FB" w:rsidRDefault="003E106F">
      <w:pPr>
        <w:numPr>
          <w:ilvl w:val="0"/>
          <w:numId w:val="42"/>
        </w:numPr>
        <w:tabs>
          <w:tab w:val="clear" w:pos="576"/>
          <w:tab w:val="left" w:pos="648"/>
        </w:tabs>
        <w:spacing w:before="259" w:line="290" w:lineRule="exact"/>
        <w:ind w:left="648" w:right="72" w:hanging="576"/>
        <w:jc w:val="both"/>
        <w:textAlignment w:val="baseline"/>
        <w:rPr>
          <w:rFonts w:ascii="Arial" w:eastAsia="Arial" w:hAnsi="Arial"/>
          <w:color w:val="000000"/>
          <w:spacing w:val="-1"/>
          <w:lang w:val="en-GB"/>
        </w:rPr>
      </w:pPr>
      <w:r w:rsidRPr="00C817FB">
        <w:rPr>
          <w:rFonts w:ascii="Arial" w:eastAsia="Arial" w:hAnsi="Arial"/>
          <w:color w:val="000000"/>
          <w:spacing w:val="-1"/>
          <w:lang w:val="en-GB"/>
        </w:rPr>
        <w:t>In order to bring greater transparency to markets in commodity derivatives, emission allowances and derivatives thereof, market operators and investment firms operating a trading venue on which these</w:t>
      </w:r>
      <w:r>
        <w:rPr>
          <w:rFonts w:ascii="Arial" w:eastAsia="Arial" w:hAnsi="Arial"/>
          <w:color w:val="000000"/>
          <w:spacing w:val="-1"/>
          <w:lang w:val="pt-PT"/>
        </w:rPr>
        <w:t xml:space="preserve"> financial</w:t>
      </w:r>
      <w:r w:rsidRPr="00C817FB">
        <w:rPr>
          <w:rFonts w:ascii="Arial" w:eastAsia="Arial" w:hAnsi="Arial"/>
          <w:color w:val="000000"/>
          <w:spacing w:val="-1"/>
          <w:lang w:val="en-GB"/>
        </w:rPr>
        <w:t xml:space="preserve"> instruments trade should submit a weekly report to the European Securities and Markets Authority (ESMA) showing the aggregate number of persons holding the contract and the total open position</w:t>
      </w:r>
      <w:r>
        <w:rPr>
          <w:rFonts w:ascii="Arial" w:eastAsia="Arial" w:hAnsi="Arial"/>
          <w:color w:val="000000"/>
          <w:spacing w:val="-1"/>
          <w:lang w:val="pt-PT"/>
        </w:rPr>
        <w:t xml:space="preserve"> for</w:t>
      </w:r>
      <w:r w:rsidRPr="00C817FB">
        <w:rPr>
          <w:rFonts w:ascii="Arial" w:eastAsia="Arial" w:hAnsi="Arial"/>
          <w:color w:val="000000"/>
          <w:spacing w:val="-1"/>
          <w:lang w:val="en-GB"/>
        </w:rPr>
        <w:t xml:space="preserve"> each commodity derivative, emission allowance or derivative thereof which exceeds the thresholds specified in [</w:t>
      </w:r>
      <w:r w:rsidRPr="00C817FB">
        <w:rPr>
          <w:rFonts w:ascii="Arial" w:eastAsia="Arial" w:hAnsi="Arial"/>
          <w:i/>
          <w:color w:val="000000"/>
          <w:spacing w:val="-1"/>
          <w:lang w:val="en-GB"/>
        </w:rPr>
        <w:t>insert reference to Commission Delegated Regulation on MiFID</w:t>
      </w:r>
      <w:r>
        <w:rPr>
          <w:rFonts w:ascii="Arial" w:eastAsia="Arial" w:hAnsi="Arial"/>
          <w:i/>
          <w:color w:val="000000"/>
          <w:spacing w:val="-1"/>
          <w:lang w:val="pt-PT"/>
        </w:rPr>
        <w:t xml:space="preserve"> II</w:t>
      </w:r>
      <w:r>
        <w:rPr>
          <w:rFonts w:ascii="Arial" w:eastAsia="Arial" w:hAnsi="Arial"/>
          <w:color w:val="000000"/>
          <w:spacing w:val="-1"/>
          <w:lang w:val="pt-PT"/>
        </w:rPr>
        <w:t>].</w:t>
      </w:r>
    </w:p>
    <w:p w:rsidR="000A4CA4" w:rsidRPr="00C817FB" w:rsidRDefault="003E106F">
      <w:pPr>
        <w:numPr>
          <w:ilvl w:val="0"/>
          <w:numId w:val="42"/>
        </w:numPr>
        <w:tabs>
          <w:tab w:val="clear" w:pos="576"/>
          <w:tab w:val="left" w:pos="648"/>
        </w:tabs>
        <w:spacing w:before="247" w:line="291" w:lineRule="exact"/>
        <w:ind w:left="648" w:right="72" w:hanging="576"/>
        <w:jc w:val="both"/>
        <w:textAlignment w:val="baseline"/>
        <w:rPr>
          <w:rFonts w:ascii="Arial" w:eastAsia="Arial" w:hAnsi="Arial"/>
          <w:color w:val="000000"/>
          <w:lang w:val="en-GB"/>
        </w:rPr>
      </w:pPr>
      <w:r w:rsidRPr="00C817FB">
        <w:rPr>
          <w:rFonts w:ascii="Arial" w:eastAsia="Arial" w:hAnsi="Arial"/>
          <w:color w:val="000000"/>
          <w:lang w:val="en-GB"/>
        </w:rPr>
        <w:t>Timely submission of reports (already individually published by the respective trading venues) in a standard machine-readable format facilitates the timely aggregate publication by ESMA of all reports in the Union in respect of the previous calendar week.</w:t>
      </w:r>
    </w:p>
    <w:p w:rsidR="000A4CA4" w:rsidRPr="00C817FB" w:rsidRDefault="003E106F">
      <w:pPr>
        <w:numPr>
          <w:ilvl w:val="0"/>
          <w:numId w:val="42"/>
        </w:numPr>
        <w:tabs>
          <w:tab w:val="clear" w:pos="576"/>
          <w:tab w:val="left" w:pos="648"/>
        </w:tabs>
        <w:spacing w:before="247" w:line="291" w:lineRule="exact"/>
        <w:ind w:left="648" w:right="72" w:hanging="576"/>
        <w:jc w:val="both"/>
        <w:textAlignment w:val="baseline"/>
        <w:rPr>
          <w:rFonts w:ascii="Arial" w:eastAsia="Arial" w:hAnsi="Arial"/>
          <w:color w:val="000000"/>
          <w:lang w:val="en-GB"/>
        </w:rPr>
      </w:pPr>
      <w:r w:rsidRPr="00C817FB">
        <w:rPr>
          <w:rFonts w:ascii="Arial" w:eastAsia="Arial" w:hAnsi="Arial"/>
          <w:color w:val="000000"/>
          <w:lang w:val="en-GB"/>
        </w:rPr>
        <w:t>Market operators and investment firms operating a trading venue should submit these reports to ESMA in respect of the positions held at the close of business of the previous calendar week by 17.30 CET of the Wednesday of each successive week to ensure a timely aggregate publication of all reports in the Union in respect of the previous calendar week. If any of Monday, Tuesday or Wednesday of the successive week</w:t>
      </w:r>
      <w:r>
        <w:rPr>
          <w:rFonts w:ascii="Arial" w:eastAsia="Arial" w:hAnsi="Arial"/>
          <w:color w:val="000000"/>
          <w:lang w:val="pt-PT"/>
        </w:rPr>
        <w:t xml:space="preserve"> are</w:t>
      </w:r>
      <w:r w:rsidRPr="00C817FB">
        <w:rPr>
          <w:rFonts w:ascii="Arial" w:eastAsia="Arial" w:hAnsi="Arial"/>
          <w:color w:val="000000"/>
          <w:lang w:val="en-GB"/>
        </w:rPr>
        <w:t xml:space="preserve"> not a working day market operators and investment firms may submit those reports at the latest by Thursday 17.30 CET in order not to impose overly burdensome requirements. ESMA should in any</w:t>
      </w:r>
      <w:r>
        <w:rPr>
          <w:rFonts w:ascii="Arial" w:eastAsia="Arial" w:hAnsi="Arial"/>
          <w:color w:val="000000"/>
          <w:lang w:val="pt-PT"/>
        </w:rPr>
        <w:t xml:space="preserve"> case</w:t>
      </w:r>
      <w:r w:rsidRPr="00C817FB">
        <w:rPr>
          <w:rFonts w:ascii="Arial" w:eastAsia="Arial" w:hAnsi="Arial"/>
          <w:color w:val="000000"/>
          <w:lang w:val="en-GB"/>
        </w:rPr>
        <w:t xml:space="preserve"> not publish these reports before they have been published individually by the respective trading venues.</w:t>
      </w:r>
    </w:p>
    <w:p w:rsidR="000A4CA4" w:rsidRPr="00C817FB" w:rsidRDefault="003E106F">
      <w:pPr>
        <w:numPr>
          <w:ilvl w:val="0"/>
          <w:numId w:val="42"/>
        </w:numPr>
        <w:tabs>
          <w:tab w:val="clear" w:pos="576"/>
          <w:tab w:val="left" w:pos="648"/>
        </w:tabs>
        <w:spacing w:before="231" w:line="313" w:lineRule="exact"/>
        <w:ind w:left="648" w:right="72" w:hanging="576"/>
        <w:jc w:val="both"/>
        <w:textAlignment w:val="baseline"/>
        <w:rPr>
          <w:rFonts w:ascii="Arial" w:eastAsia="Arial" w:hAnsi="Arial"/>
          <w:color w:val="000000"/>
          <w:lang w:val="en-GB"/>
        </w:rPr>
      </w:pPr>
      <w:r w:rsidRPr="00C817FB">
        <w:rPr>
          <w:rFonts w:ascii="Arial" w:eastAsia="Arial" w:hAnsi="Arial"/>
          <w:color w:val="000000"/>
          <w:lang w:val="en-GB"/>
        </w:rPr>
        <w:t>The new legislation of the European Parliament and of the Council on markets in</w:t>
      </w:r>
      <w:r>
        <w:rPr>
          <w:rFonts w:ascii="Arial" w:eastAsia="Arial" w:hAnsi="Arial"/>
          <w:color w:val="000000"/>
          <w:lang w:val="pt-PT"/>
        </w:rPr>
        <w:t xml:space="preserve"> financial</w:t>
      </w:r>
      <w:r w:rsidRPr="00C817FB">
        <w:rPr>
          <w:rFonts w:ascii="Arial" w:eastAsia="Arial" w:hAnsi="Arial"/>
          <w:color w:val="000000"/>
          <w:lang w:val="en-GB"/>
        </w:rPr>
        <w:t xml:space="preserve"> instruments set out in Directive 2014/65/EU and Regulation (EU)</w:t>
      </w:r>
      <w:r>
        <w:rPr>
          <w:rFonts w:ascii="Arial" w:eastAsia="Arial" w:hAnsi="Arial"/>
          <w:color w:val="000000"/>
          <w:lang w:val="pt-PT"/>
        </w:rPr>
        <w:t xml:space="preserve"> No</w:t>
      </w:r>
      <w:r w:rsidRPr="00C817FB">
        <w:rPr>
          <w:rFonts w:ascii="Arial" w:eastAsia="Arial" w:hAnsi="Arial"/>
          <w:color w:val="000000"/>
          <w:lang w:val="en-GB"/>
        </w:rPr>
        <w:t xml:space="preserve"> 600/2014</w:t>
      </w:r>
      <w:r w:rsidR="008B2542">
        <w:rPr>
          <w:rStyle w:val="FootnoteReference"/>
          <w:rFonts w:ascii="Arial" w:eastAsia="Arial" w:hAnsi="Arial"/>
          <w:color w:val="000000"/>
          <w:lang w:val="en-GB"/>
        </w:rPr>
        <w:footnoteReference w:id="2"/>
      </w:r>
      <w:r w:rsidRPr="00C817FB">
        <w:rPr>
          <w:rFonts w:ascii="Arial" w:eastAsia="Arial" w:hAnsi="Arial"/>
          <w:color w:val="000000"/>
          <w:lang w:val="en-GB"/>
        </w:rPr>
        <w:t xml:space="preserve"> applies from 3 January 2017. To ensure consistency and legal certainty, this Regulation should apply from the same date.</w:t>
      </w:r>
    </w:p>
    <w:p w:rsidR="000A4CA4" w:rsidRPr="00C817FB" w:rsidRDefault="003E106F">
      <w:pPr>
        <w:numPr>
          <w:ilvl w:val="0"/>
          <w:numId w:val="42"/>
        </w:numPr>
        <w:tabs>
          <w:tab w:val="clear" w:pos="576"/>
          <w:tab w:val="left" w:pos="648"/>
        </w:tabs>
        <w:spacing w:before="251" w:line="292" w:lineRule="exact"/>
        <w:ind w:left="648" w:right="72" w:hanging="576"/>
        <w:jc w:val="both"/>
        <w:textAlignment w:val="baseline"/>
        <w:rPr>
          <w:rFonts w:ascii="Arial" w:eastAsia="Arial" w:hAnsi="Arial"/>
          <w:color w:val="000000"/>
          <w:lang w:val="en-GB"/>
        </w:rPr>
      </w:pPr>
      <w:r w:rsidRPr="00C817FB">
        <w:rPr>
          <w:rFonts w:ascii="Arial" w:eastAsia="Arial" w:hAnsi="Arial"/>
          <w:color w:val="000000"/>
          <w:lang w:val="en-GB"/>
        </w:rPr>
        <w:t>This Regulation</w:t>
      </w:r>
      <w:r>
        <w:rPr>
          <w:rFonts w:ascii="Arial" w:eastAsia="Arial" w:hAnsi="Arial"/>
          <w:color w:val="000000"/>
          <w:lang w:val="pt-PT"/>
        </w:rPr>
        <w:t xml:space="preserve"> is</w:t>
      </w:r>
      <w:r w:rsidRPr="00C817FB">
        <w:rPr>
          <w:rFonts w:ascii="Arial" w:eastAsia="Arial" w:hAnsi="Arial"/>
          <w:color w:val="000000"/>
          <w:lang w:val="en-GB"/>
        </w:rPr>
        <w:t xml:space="preserve"> based on the draft implementing technical standards submitted by ESMA to the Commission.</w:t>
      </w:r>
    </w:p>
    <w:p w:rsidR="000A4CA4" w:rsidRPr="008B2542" w:rsidRDefault="003E106F" w:rsidP="008B2542">
      <w:pPr>
        <w:numPr>
          <w:ilvl w:val="0"/>
          <w:numId w:val="42"/>
        </w:numPr>
        <w:tabs>
          <w:tab w:val="clear" w:pos="576"/>
          <w:tab w:val="left" w:pos="648"/>
        </w:tabs>
        <w:spacing w:before="254" w:after="501" w:line="302" w:lineRule="exact"/>
        <w:ind w:left="504" w:right="72" w:hanging="576"/>
        <w:jc w:val="both"/>
        <w:textAlignment w:val="baseline"/>
        <w:rPr>
          <w:rFonts w:ascii="Arial" w:eastAsia="Arial" w:hAnsi="Arial"/>
          <w:color w:val="000000"/>
          <w:lang w:val="en-GB"/>
        </w:rPr>
      </w:pPr>
      <w:r w:rsidRPr="008B2542">
        <w:rPr>
          <w:rFonts w:ascii="Arial" w:eastAsia="Arial" w:hAnsi="Arial"/>
          <w:color w:val="000000"/>
          <w:lang w:val="en-GB"/>
        </w:rPr>
        <w:t>ESMA has conducted open public consultations on the draft implementing technical standards on which this Regulation</w:t>
      </w:r>
      <w:r w:rsidRPr="008B2542">
        <w:rPr>
          <w:rFonts w:ascii="Arial" w:eastAsia="Arial" w:hAnsi="Arial"/>
          <w:color w:val="000000"/>
          <w:lang w:val="pt-PT"/>
        </w:rPr>
        <w:t xml:space="preserve"> is</w:t>
      </w:r>
      <w:r w:rsidRPr="008B2542">
        <w:rPr>
          <w:rFonts w:ascii="Arial" w:eastAsia="Arial" w:hAnsi="Arial"/>
          <w:color w:val="000000"/>
          <w:lang w:val="en-GB"/>
        </w:rPr>
        <w:t xml:space="preserve"> based, analysed the potential related costs and benefits and requested the opinion of the Securities and Markets Stakeholder Group</w:t>
      </w:r>
      <w:r w:rsidR="008B2542">
        <w:rPr>
          <w:rFonts w:ascii="Arial" w:eastAsia="Arial" w:hAnsi="Arial"/>
          <w:color w:val="000000"/>
          <w:lang w:val="en-GB"/>
        </w:rPr>
        <w:t xml:space="preserve"> </w:t>
      </w:r>
      <w:r w:rsidRPr="008B2542">
        <w:rPr>
          <w:rFonts w:ascii="Arial" w:eastAsia="Arial" w:hAnsi="Arial"/>
          <w:color w:val="000000"/>
          <w:lang w:val="en-GB"/>
        </w:rPr>
        <w:lastRenderedPageBreak/>
        <w:t>established in accordance with Article 37 of Regulation (EU)</w:t>
      </w:r>
      <w:r w:rsidRPr="008B2542">
        <w:rPr>
          <w:rFonts w:ascii="Arial" w:eastAsia="Arial" w:hAnsi="Arial"/>
          <w:color w:val="000000"/>
          <w:lang w:val="pt-PT"/>
        </w:rPr>
        <w:t xml:space="preserve"> No</w:t>
      </w:r>
      <w:r w:rsidRPr="008B2542">
        <w:rPr>
          <w:rFonts w:ascii="Arial" w:eastAsia="Arial" w:hAnsi="Arial"/>
          <w:color w:val="000000"/>
          <w:lang w:val="en-GB"/>
        </w:rPr>
        <w:t xml:space="preserve"> 1095/2010 of the European Parliament and of the Council</w:t>
      </w:r>
      <w:r w:rsidR="008B2542">
        <w:rPr>
          <w:rStyle w:val="FootnoteReference"/>
          <w:rFonts w:ascii="Arial" w:eastAsia="Arial" w:hAnsi="Arial"/>
          <w:color w:val="000000"/>
          <w:lang w:val="en-GB"/>
        </w:rPr>
        <w:footnoteReference w:id="3"/>
      </w:r>
      <w:r w:rsidRPr="008B2542">
        <w:rPr>
          <w:rFonts w:ascii="Arial" w:eastAsia="Arial" w:hAnsi="Arial"/>
          <w:color w:val="000000"/>
          <w:lang w:val="en-GB"/>
        </w:rPr>
        <w:t>,</w:t>
      </w:r>
    </w:p>
    <w:p w:rsidR="000A4CA4" w:rsidRPr="00C817FB" w:rsidRDefault="003E106F">
      <w:pPr>
        <w:spacing w:before="299" w:line="257" w:lineRule="exact"/>
        <w:textAlignment w:val="baseline"/>
        <w:rPr>
          <w:rFonts w:ascii="Arial" w:eastAsia="Arial" w:hAnsi="Arial"/>
          <w:color w:val="000000"/>
          <w:lang w:val="en-GB"/>
        </w:rPr>
      </w:pPr>
      <w:r w:rsidRPr="00C817FB">
        <w:rPr>
          <w:rFonts w:ascii="Arial" w:eastAsia="Arial" w:hAnsi="Arial"/>
          <w:color w:val="000000"/>
          <w:lang w:val="en-GB"/>
        </w:rPr>
        <w:t>HAS ADOPTED THIS REGULATION:</w:t>
      </w:r>
    </w:p>
    <w:p w:rsidR="000A4CA4" w:rsidRPr="00C817FB" w:rsidRDefault="003E106F">
      <w:pPr>
        <w:spacing w:before="828" w:line="257" w:lineRule="exact"/>
        <w:jc w:val="center"/>
        <w:textAlignment w:val="baseline"/>
        <w:rPr>
          <w:rFonts w:ascii="Arial" w:eastAsia="Arial" w:hAnsi="Arial"/>
          <w:color w:val="000000"/>
          <w:spacing w:val="-3"/>
          <w:lang w:val="en-GB"/>
        </w:rPr>
      </w:pPr>
      <w:r w:rsidRPr="00C817FB">
        <w:rPr>
          <w:rFonts w:ascii="Arial" w:eastAsia="Arial" w:hAnsi="Arial"/>
          <w:color w:val="000000"/>
          <w:spacing w:val="-3"/>
          <w:lang w:val="en-GB"/>
        </w:rPr>
        <w:t>Article 1</w:t>
      </w:r>
    </w:p>
    <w:p w:rsidR="000A4CA4" w:rsidRPr="00C817FB" w:rsidRDefault="003E106F">
      <w:pPr>
        <w:spacing w:before="31" w:line="256" w:lineRule="exact"/>
        <w:jc w:val="center"/>
        <w:textAlignment w:val="baseline"/>
        <w:rPr>
          <w:rFonts w:ascii="Arial" w:eastAsia="Arial" w:hAnsi="Arial"/>
          <w:b/>
          <w:color w:val="000000"/>
          <w:lang w:val="en-GB"/>
        </w:rPr>
      </w:pPr>
      <w:r w:rsidRPr="00C817FB">
        <w:rPr>
          <w:rFonts w:ascii="Arial" w:eastAsia="Arial" w:hAnsi="Arial"/>
          <w:b/>
          <w:color w:val="000000"/>
          <w:lang w:val="en-GB"/>
        </w:rPr>
        <w:t>Reporting format</w:t>
      </w:r>
    </w:p>
    <w:p w:rsidR="000A4CA4" w:rsidRPr="00C817FB" w:rsidRDefault="003E106F">
      <w:pPr>
        <w:spacing w:before="257" w:line="290" w:lineRule="exact"/>
        <w:ind w:right="72"/>
        <w:jc w:val="both"/>
        <w:textAlignment w:val="baseline"/>
        <w:rPr>
          <w:rFonts w:ascii="Arial" w:eastAsia="Arial" w:hAnsi="Arial"/>
          <w:color w:val="000000"/>
          <w:lang w:val="en-GB"/>
        </w:rPr>
      </w:pPr>
      <w:r w:rsidRPr="00C817FB">
        <w:rPr>
          <w:rFonts w:ascii="Arial" w:eastAsia="Arial" w:hAnsi="Arial"/>
          <w:color w:val="000000"/>
          <w:lang w:val="en-GB"/>
        </w:rPr>
        <w:t>Market operators and investment firms operating a trading venue which trades commodity derivatives, emission allowances or derivatives thereof shall submit to ESMA the reports required by Article 58(1)(a) of Directive 2014/65/EU in a common standard XML format, by using the template set out in the Tables to Annex I of [</w:t>
      </w:r>
      <w:r w:rsidRPr="008B2542">
        <w:rPr>
          <w:rFonts w:ascii="Arial" w:eastAsia="Arial" w:hAnsi="Arial"/>
          <w:color w:val="000000"/>
          <w:highlight w:val="yellow"/>
          <w:lang w:val="en-GB"/>
        </w:rPr>
        <w:t>insert reference to Article 58(5) MiFID</w:t>
      </w:r>
      <w:r w:rsidRPr="008B2542">
        <w:rPr>
          <w:rFonts w:ascii="Arial" w:eastAsia="Arial" w:hAnsi="Arial"/>
          <w:color w:val="000000"/>
          <w:highlight w:val="yellow"/>
          <w:lang w:val="pt-PT"/>
        </w:rPr>
        <w:t xml:space="preserve"> II</w:t>
      </w:r>
      <w:r w:rsidRPr="008B2542">
        <w:rPr>
          <w:rFonts w:ascii="Arial" w:eastAsia="Arial" w:hAnsi="Arial"/>
          <w:color w:val="000000"/>
          <w:highlight w:val="yellow"/>
          <w:lang w:val="en-GB"/>
        </w:rPr>
        <w:t xml:space="preserve"> position reporting ITS</w:t>
      </w:r>
      <w:r w:rsidRPr="00C817FB">
        <w:rPr>
          <w:rFonts w:ascii="Arial" w:eastAsia="Arial" w:hAnsi="Arial"/>
          <w:color w:val="000000"/>
          <w:lang w:val="en-GB"/>
        </w:rPr>
        <w:t>].</w:t>
      </w:r>
    </w:p>
    <w:p w:rsidR="000A4CA4" w:rsidRDefault="003E106F">
      <w:pPr>
        <w:spacing w:before="825" w:line="257" w:lineRule="exact"/>
        <w:jc w:val="center"/>
        <w:textAlignment w:val="baseline"/>
        <w:rPr>
          <w:rFonts w:ascii="Arial" w:eastAsia="Arial" w:hAnsi="Arial"/>
          <w:color w:val="000000"/>
          <w:lang w:val="de-DE"/>
        </w:rPr>
      </w:pPr>
      <w:r>
        <w:rPr>
          <w:rFonts w:ascii="Arial" w:eastAsia="Arial" w:hAnsi="Arial"/>
          <w:color w:val="000000"/>
          <w:lang w:val="de-DE"/>
        </w:rPr>
        <w:t>Article 2</w:t>
      </w:r>
    </w:p>
    <w:p w:rsidR="000A4CA4" w:rsidRDefault="003E106F">
      <w:pPr>
        <w:spacing w:before="31" w:line="256" w:lineRule="exact"/>
        <w:jc w:val="center"/>
        <w:textAlignment w:val="baseline"/>
        <w:rPr>
          <w:rFonts w:ascii="Arial" w:eastAsia="Arial" w:hAnsi="Arial"/>
          <w:b/>
          <w:color w:val="000000"/>
          <w:lang w:val="de-DE"/>
        </w:rPr>
      </w:pPr>
      <w:r>
        <w:rPr>
          <w:rFonts w:ascii="Arial" w:eastAsia="Arial" w:hAnsi="Arial"/>
          <w:b/>
          <w:color w:val="000000"/>
          <w:lang w:val="de-DE"/>
        </w:rPr>
        <w:t>Reporting deadlines</w:t>
      </w:r>
    </w:p>
    <w:p w:rsidR="000A4CA4" w:rsidRPr="00C817FB" w:rsidRDefault="003E106F">
      <w:pPr>
        <w:numPr>
          <w:ilvl w:val="0"/>
          <w:numId w:val="43"/>
        </w:numPr>
        <w:spacing w:before="253" w:line="291" w:lineRule="exact"/>
        <w:ind w:left="0" w:right="72"/>
        <w:jc w:val="both"/>
        <w:textAlignment w:val="baseline"/>
        <w:rPr>
          <w:rFonts w:ascii="Arial" w:eastAsia="Arial" w:hAnsi="Arial"/>
          <w:color w:val="000000"/>
          <w:lang w:val="en-GB"/>
        </w:rPr>
      </w:pPr>
      <w:r w:rsidRPr="00C817FB">
        <w:rPr>
          <w:rFonts w:ascii="Arial" w:eastAsia="Arial" w:hAnsi="Arial"/>
          <w:color w:val="000000"/>
          <w:lang w:val="en-GB"/>
        </w:rPr>
        <w:t>Market operators and investment firms operating a trading venue which trades commodity derivatives, emission allowances or derivatives thereof shall send the weekly aggregated position report required by Article 58(1)(a) of Directive 2014/65/EU to ESMA</w:t>
      </w:r>
      <w:r>
        <w:rPr>
          <w:rFonts w:ascii="Arial" w:eastAsia="Arial" w:hAnsi="Arial"/>
          <w:color w:val="000000"/>
          <w:lang w:val="pt-PT"/>
        </w:rPr>
        <w:t xml:space="preserve"> no</w:t>
      </w:r>
      <w:r w:rsidRPr="00C817FB">
        <w:rPr>
          <w:rFonts w:ascii="Arial" w:eastAsia="Arial" w:hAnsi="Arial"/>
          <w:color w:val="000000"/>
          <w:lang w:val="en-GB"/>
        </w:rPr>
        <w:t xml:space="preserve"> later than 17.30 CET on Wednesday of each successive week.</w:t>
      </w:r>
    </w:p>
    <w:p w:rsidR="000A4CA4" w:rsidRPr="00C817FB" w:rsidRDefault="003E106F">
      <w:pPr>
        <w:numPr>
          <w:ilvl w:val="0"/>
          <w:numId w:val="43"/>
        </w:numPr>
        <w:spacing w:before="256" w:after="818" w:line="289" w:lineRule="exact"/>
        <w:ind w:left="0" w:right="72"/>
        <w:jc w:val="both"/>
        <w:textAlignment w:val="baseline"/>
        <w:rPr>
          <w:rFonts w:ascii="Arial" w:eastAsia="Arial" w:hAnsi="Arial"/>
          <w:color w:val="000000"/>
          <w:lang w:val="en-GB"/>
        </w:rPr>
      </w:pPr>
      <w:r w:rsidRPr="00C817FB">
        <w:rPr>
          <w:rFonts w:ascii="Arial" w:eastAsia="Arial" w:hAnsi="Arial"/>
          <w:color w:val="000000"/>
          <w:lang w:val="en-GB"/>
        </w:rPr>
        <w:t>In derogation to paragraph 1, if any of Monday, Tuesday or Wednesday of the successive week</w:t>
      </w:r>
      <w:r>
        <w:rPr>
          <w:rFonts w:ascii="Arial" w:eastAsia="Arial" w:hAnsi="Arial"/>
          <w:color w:val="000000"/>
          <w:lang w:val="pt-PT"/>
        </w:rPr>
        <w:t xml:space="preserve"> are</w:t>
      </w:r>
      <w:r w:rsidRPr="00C817FB">
        <w:rPr>
          <w:rFonts w:ascii="Arial" w:eastAsia="Arial" w:hAnsi="Arial"/>
          <w:color w:val="000000"/>
          <w:lang w:val="en-GB"/>
        </w:rPr>
        <w:t xml:space="preserve"> not a working day</w:t>
      </w:r>
      <w:r>
        <w:rPr>
          <w:rFonts w:ascii="Arial" w:eastAsia="Arial" w:hAnsi="Arial"/>
          <w:color w:val="000000"/>
          <w:lang w:val="pt-PT"/>
        </w:rPr>
        <w:t xml:space="preserve"> for</w:t>
      </w:r>
      <w:r w:rsidRPr="00C817FB">
        <w:rPr>
          <w:rFonts w:ascii="Arial" w:eastAsia="Arial" w:hAnsi="Arial"/>
          <w:color w:val="000000"/>
          <w:lang w:val="en-GB"/>
        </w:rPr>
        <w:t xml:space="preserve"> the reporting market operator or investment firm, that market operator or investment firm shall submit the report</w:t>
      </w:r>
      <w:r>
        <w:rPr>
          <w:rFonts w:ascii="Arial" w:eastAsia="Arial" w:hAnsi="Arial"/>
          <w:color w:val="000000"/>
          <w:lang w:val="pt-PT"/>
        </w:rPr>
        <w:t xml:space="preserve"> as</w:t>
      </w:r>
      <w:r w:rsidRPr="00C817FB">
        <w:rPr>
          <w:rFonts w:ascii="Arial" w:eastAsia="Arial" w:hAnsi="Arial"/>
          <w:color w:val="000000"/>
          <w:lang w:val="en-GB"/>
        </w:rPr>
        <w:t xml:space="preserve"> soon</w:t>
      </w:r>
      <w:r>
        <w:rPr>
          <w:rFonts w:ascii="Arial" w:eastAsia="Arial" w:hAnsi="Arial"/>
          <w:color w:val="000000"/>
          <w:lang w:val="pt-PT"/>
        </w:rPr>
        <w:t xml:space="preserve"> as</w:t>
      </w:r>
      <w:r w:rsidRPr="00C817FB">
        <w:rPr>
          <w:rFonts w:ascii="Arial" w:eastAsia="Arial" w:hAnsi="Arial"/>
          <w:color w:val="000000"/>
          <w:lang w:val="en-GB"/>
        </w:rPr>
        <w:t xml:space="preserve"> possible and</w:t>
      </w:r>
      <w:r>
        <w:rPr>
          <w:rFonts w:ascii="Arial" w:eastAsia="Arial" w:hAnsi="Arial"/>
          <w:color w:val="000000"/>
          <w:lang w:val="pt-PT"/>
        </w:rPr>
        <w:t xml:space="preserve"> no</w:t>
      </w:r>
      <w:r w:rsidRPr="00C817FB">
        <w:rPr>
          <w:rFonts w:ascii="Arial" w:eastAsia="Arial" w:hAnsi="Arial"/>
          <w:color w:val="000000"/>
          <w:lang w:val="en-GB"/>
        </w:rPr>
        <w:t xml:space="preserve"> later than 17.30 CET on the following Thursday.</w:t>
      </w:r>
    </w:p>
    <w:p w:rsidR="000A4CA4" w:rsidRDefault="003E106F">
      <w:pPr>
        <w:spacing w:before="2" w:line="259" w:lineRule="exact"/>
        <w:jc w:val="center"/>
        <w:textAlignment w:val="baseline"/>
        <w:rPr>
          <w:rFonts w:ascii="Arial" w:eastAsia="Arial" w:hAnsi="Arial"/>
          <w:color w:val="000000"/>
          <w:lang w:val="pt-PT"/>
        </w:rPr>
      </w:pPr>
      <w:r>
        <w:rPr>
          <w:rFonts w:ascii="Arial" w:eastAsia="Arial" w:hAnsi="Arial"/>
          <w:color w:val="000000"/>
          <w:lang w:val="pt-PT"/>
        </w:rPr>
        <w:t>Article 3</w:t>
      </w:r>
    </w:p>
    <w:p w:rsidR="000A4CA4" w:rsidRDefault="003E106F">
      <w:pPr>
        <w:spacing w:before="29" w:after="252" w:line="257" w:lineRule="exact"/>
        <w:jc w:val="center"/>
        <w:textAlignment w:val="baseline"/>
        <w:rPr>
          <w:rFonts w:ascii="Arial" w:eastAsia="Arial" w:hAnsi="Arial"/>
          <w:b/>
          <w:color w:val="000000"/>
          <w:lang w:val="pt-PT"/>
        </w:rPr>
      </w:pPr>
      <w:r>
        <w:rPr>
          <w:rFonts w:ascii="Arial" w:eastAsia="Arial" w:hAnsi="Arial"/>
          <w:b/>
          <w:color w:val="000000"/>
          <w:lang w:val="pt-PT"/>
        </w:rPr>
        <w:t>Entry into force and application</w:t>
      </w:r>
    </w:p>
    <w:p w:rsidR="000A4CA4" w:rsidRPr="00C817FB" w:rsidRDefault="003E106F">
      <w:pPr>
        <w:spacing w:line="288" w:lineRule="exact"/>
        <w:ind w:right="72"/>
        <w:jc w:val="both"/>
        <w:textAlignment w:val="baseline"/>
        <w:rPr>
          <w:rFonts w:ascii="Arial" w:eastAsia="Arial" w:hAnsi="Arial"/>
          <w:color w:val="000000"/>
          <w:lang w:val="en-GB"/>
        </w:rPr>
      </w:pPr>
      <w:r w:rsidRPr="00C817FB">
        <w:rPr>
          <w:rFonts w:ascii="Arial" w:eastAsia="Arial" w:hAnsi="Arial"/>
          <w:color w:val="000000"/>
          <w:lang w:val="en-GB"/>
        </w:rPr>
        <w:t>This Regulation shall enter into</w:t>
      </w:r>
      <w:r>
        <w:rPr>
          <w:rFonts w:ascii="Arial" w:eastAsia="Arial" w:hAnsi="Arial"/>
          <w:color w:val="000000"/>
          <w:lang w:val="pt-PT"/>
        </w:rPr>
        <w:t xml:space="preserve"> force</w:t>
      </w:r>
      <w:r w:rsidRPr="00C817FB">
        <w:rPr>
          <w:rFonts w:ascii="Arial" w:eastAsia="Arial" w:hAnsi="Arial"/>
          <w:color w:val="000000"/>
          <w:lang w:val="en-GB"/>
        </w:rPr>
        <w:t xml:space="preserve"> on the twentieth day following that of its publication in the Official Journal of the European Union.</w:t>
      </w:r>
    </w:p>
    <w:p w:rsidR="000A4CA4" w:rsidRPr="00C817FB" w:rsidRDefault="003E106F">
      <w:pPr>
        <w:spacing w:before="285" w:line="257" w:lineRule="exact"/>
        <w:textAlignment w:val="baseline"/>
        <w:rPr>
          <w:rFonts w:ascii="Arial" w:eastAsia="Arial" w:hAnsi="Arial"/>
          <w:color w:val="000000"/>
          <w:spacing w:val="-1"/>
          <w:lang w:val="en-GB"/>
        </w:rPr>
      </w:pPr>
      <w:r w:rsidRPr="00C817FB">
        <w:rPr>
          <w:rFonts w:ascii="Arial" w:eastAsia="Arial" w:hAnsi="Arial"/>
          <w:color w:val="000000"/>
          <w:spacing w:val="-1"/>
          <w:lang w:val="en-GB"/>
        </w:rPr>
        <w:t>It shall apply from 3 January 2017.</w:t>
      </w:r>
    </w:p>
    <w:p w:rsidR="000A4CA4" w:rsidRPr="00C817FB" w:rsidRDefault="003E106F">
      <w:pPr>
        <w:spacing w:before="285" w:after="377" w:line="257" w:lineRule="exact"/>
        <w:textAlignment w:val="baseline"/>
        <w:rPr>
          <w:rFonts w:ascii="Arial" w:eastAsia="Arial" w:hAnsi="Arial"/>
          <w:color w:val="000000"/>
          <w:lang w:val="en-GB"/>
        </w:rPr>
      </w:pPr>
      <w:r w:rsidRPr="00C817FB">
        <w:rPr>
          <w:rFonts w:ascii="Arial" w:eastAsia="Arial" w:hAnsi="Arial"/>
          <w:color w:val="000000"/>
          <w:lang w:val="en-GB"/>
        </w:rPr>
        <w:lastRenderedPageBreak/>
        <w:t>This Regulation shall be binding in its entirety and directly applicable in all Member States.</w:t>
      </w:r>
    </w:p>
    <w:p w:rsidR="000A4CA4" w:rsidRPr="00C817FB" w:rsidRDefault="000A4CA4" w:rsidP="008B2542">
      <w:pPr>
        <w:spacing w:line="164" w:lineRule="exact"/>
        <w:ind w:left="216"/>
        <w:textAlignment w:val="baseline"/>
        <w:rPr>
          <w:rFonts w:ascii="Arial" w:eastAsia="Arial" w:hAnsi="Arial"/>
          <w:color w:val="000000"/>
          <w:sz w:val="16"/>
          <w:lang w:val="en-GB"/>
        </w:rPr>
      </w:pPr>
    </w:p>
    <w:p w:rsidR="000A4CA4" w:rsidRPr="00C817FB" w:rsidRDefault="003E106F">
      <w:pPr>
        <w:spacing w:before="6" w:after="272" w:line="251" w:lineRule="exact"/>
        <w:textAlignment w:val="baseline"/>
        <w:rPr>
          <w:rFonts w:ascii="Arial" w:eastAsia="Arial" w:hAnsi="Arial"/>
          <w:color w:val="000000"/>
          <w:spacing w:val="-3"/>
          <w:lang w:val="en-GB"/>
        </w:rPr>
      </w:pPr>
      <w:r w:rsidRPr="00C817FB">
        <w:rPr>
          <w:rFonts w:ascii="Arial" w:eastAsia="Arial" w:hAnsi="Arial"/>
          <w:color w:val="000000"/>
          <w:spacing w:val="-3"/>
          <w:lang w:val="en-GB"/>
        </w:rPr>
        <w:t>Done at Brussels,</w:t>
      </w:r>
    </w:p>
    <w:p w:rsidR="000A4CA4" w:rsidRDefault="003E106F" w:rsidP="008B2542">
      <w:pPr>
        <w:spacing w:before="2" w:after="240" w:line="251" w:lineRule="exact"/>
        <w:ind w:left="6521"/>
        <w:textAlignment w:val="baseline"/>
        <w:rPr>
          <w:rFonts w:ascii="Arial" w:eastAsia="Arial" w:hAnsi="Arial"/>
          <w:color w:val="000000"/>
          <w:spacing w:val="-1"/>
          <w:lang w:val="pt-PT"/>
        </w:rPr>
      </w:pPr>
      <w:r>
        <w:rPr>
          <w:rFonts w:ascii="Arial" w:eastAsia="Arial" w:hAnsi="Arial"/>
          <w:color w:val="000000"/>
          <w:spacing w:val="-1"/>
          <w:lang w:val="pt-PT"/>
        </w:rPr>
        <w:t>For the Commission</w:t>
      </w:r>
    </w:p>
    <w:p w:rsidR="000A4CA4" w:rsidRPr="00C817FB" w:rsidRDefault="003E106F" w:rsidP="008B2542">
      <w:pPr>
        <w:spacing w:line="251" w:lineRule="exact"/>
        <w:ind w:left="6521"/>
        <w:textAlignment w:val="baseline"/>
        <w:rPr>
          <w:rFonts w:ascii="Arial" w:eastAsia="Arial" w:hAnsi="Arial"/>
          <w:color w:val="000000"/>
          <w:lang w:val="en-GB"/>
        </w:rPr>
      </w:pPr>
      <w:r w:rsidRPr="00C817FB">
        <w:rPr>
          <w:rFonts w:ascii="Arial" w:eastAsia="Arial" w:hAnsi="Arial"/>
          <w:color w:val="000000"/>
          <w:lang w:val="en-GB"/>
        </w:rPr>
        <w:t>The President</w:t>
      </w:r>
    </w:p>
    <w:p w:rsidR="008B2542" w:rsidRDefault="003E106F" w:rsidP="008B2542">
      <w:pPr>
        <w:spacing w:before="480" w:line="543" w:lineRule="exact"/>
        <w:ind w:left="6521"/>
        <w:textAlignment w:val="baseline"/>
        <w:rPr>
          <w:rFonts w:ascii="Arial" w:eastAsia="Arial" w:hAnsi="Arial"/>
          <w:color w:val="000000"/>
          <w:spacing w:val="-2"/>
          <w:lang w:val="en-GB"/>
        </w:rPr>
      </w:pPr>
      <w:r w:rsidRPr="00C817FB">
        <w:rPr>
          <w:rFonts w:ascii="Arial" w:eastAsia="Arial" w:hAnsi="Arial"/>
          <w:color w:val="000000"/>
          <w:spacing w:val="-2"/>
          <w:lang w:val="en-GB"/>
        </w:rPr>
        <w:t>On be</w:t>
      </w:r>
      <w:r w:rsidR="00335A25">
        <w:rPr>
          <w:rFonts w:ascii="Arial" w:eastAsia="Arial" w:hAnsi="Arial"/>
          <w:color w:val="000000"/>
          <w:spacing w:val="-2"/>
          <w:lang w:val="en-GB"/>
        </w:rPr>
        <w:t xml:space="preserve">half of the President </w:t>
      </w:r>
    </w:p>
    <w:p w:rsidR="000A4CA4" w:rsidRPr="00C817FB" w:rsidRDefault="00335A25" w:rsidP="008B2542">
      <w:pPr>
        <w:spacing w:line="543" w:lineRule="exact"/>
        <w:ind w:left="6521"/>
        <w:textAlignment w:val="baseline"/>
        <w:rPr>
          <w:rFonts w:ascii="Arial" w:eastAsia="Arial" w:hAnsi="Arial"/>
          <w:color w:val="000000"/>
          <w:lang w:val="en-GB"/>
        </w:rPr>
      </w:pPr>
      <w:r>
        <w:rPr>
          <w:rFonts w:ascii="Arial" w:eastAsia="Arial" w:hAnsi="Arial"/>
          <w:color w:val="000000"/>
          <w:spacing w:val="-2"/>
          <w:lang w:val="en-GB"/>
        </w:rPr>
        <w:t>[Position]</w:t>
      </w:r>
    </w:p>
    <w:sectPr w:rsidR="000A4CA4" w:rsidRPr="00C817FB" w:rsidSect="00335A25">
      <w:footerReference w:type="even" r:id="rId18"/>
      <w:footerReference w:type="default" r:id="rId19"/>
      <w:footerReference w:type="first" r:id="rId20"/>
      <w:pgSz w:w="11909" w:h="14990"/>
      <w:pgMar w:top="280" w:right="1361" w:bottom="1094" w:left="134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A25" w:rsidRDefault="00335A25" w:rsidP="00335A25">
      <w:r>
        <w:separator/>
      </w:r>
    </w:p>
  </w:endnote>
  <w:endnote w:type="continuationSeparator" w:id="0">
    <w:p w:rsidR="00335A25" w:rsidRDefault="00335A25" w:rsidP="0033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Arial Unicode MS">
    <w:charset w:val="00"/>
    <w:pitch w:val="variable"/>
    <w:family w:val="swiss"/>
    <w:panose1 w:val="02020603050405020304"/>
  </w:font>
  <w:font w:name="Times New Roman">
    <w:charset w:val="00"/>
    <w:pitch w:val="variable"/>
    <w:family w:val="auto"/>
    <w:panose1 w:val="02020603050405020304"/>
  </w:font>
  <w:font w:name="Calibri">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A25" w:rsidRPr="00335A25" w:rsidRDefault="002B3E28" w:rsidP="00335A25">
    <w:pPr>
      <w:pStyle w:val="Footer"/>
      <w:tabs>
        <w:tab w:val="clear" w:pos="4513"/>
        <w:tab w:val="clear" w:pos="9026"/>
        <w:tab w:val="center" w:pos="4600"/>
        <w:tab w:val="right" w:pos="9200"/>
      </w:tabs>
      <w:rPr>
        <w:sz w:val="12"/>
      </w:rPr>
    </w:pPr>
    <w:bookmarkStart w:id="1" w:name="bmkDocRef1_3"/>
    <w:r>
      <w:rPr>
        <w:sz w:val="12"/>
      </w:rPr>
      <w:t>FMFS/072735-00007/CXMS/SJWA</w:t>
    </w:r>
    <w:bookmarkEnd w:id="1"/>
    <w:r w:rsidR="00335A25" w:rsidRPr="00335A25">
      <w:rPr>
        <w:sz w:val="12"/>
      </w:rPr>
      <w:t xml:space="preserve">  </w:t>
    </w:r>
    <w:bookmarkStart w:id="2" w:name="bmkAsset1_3"/>
    <w:r>
      <w:rPr>
        <w:sz w:val="12"/>
      </w:rPr>
      <w:t>SJWA(LDN7W20998)</w:t>
    </w:r>
    <w:bookmarkEnd w:id="2"/>
    <w:r w:rsidR="00335A25">
      <w:rPr>
        <w:sz w:val="20"/>
      </w:rPr>
      <w:tab/>
    </w:r>
    <w:r w:rsidR="00335A25">
      <w:rPr>
        <w:sz w:val="20"/>
      </w:rPr>
      <w:fldChar w:fldCharType="begin"/>
    </w:r>
    <w:r w:rsidR="00335A25">
      <w:rPr>
        <w:sz w:val="20"/>
      </w:rPr>
      <w:instrText xml:space="preserve"> PAGE  \* MERGEFORMAT </w:instrText>
    </w:r>
    <w:r w:rsidR="00335A25">
      <w:rPr>
        <w:sz w:val="20"/>
      </w:rPr>
      <w:fldChar w:fldCharType="separate"/>
    </w:r>
    <w:r w:rsidR="00335A25">
      <w:rPr>
        <w:noProof/>
        <w:sz w:val="20"/>
      </w:rPr>
      <w:t>1</w:t>
    </w:r>
    <w:r w:rsidR="00335A25">
      <w:rPr>
        <w:sz w:val="20"/>
      </w:rPr>
      <w:fldChar w:fldCharType="end"/>
    </w:r>
    <w:r w:rsidR="00335A25" w:rsidRPr="00335A25">
      <w:rPr>
        <w:sz w:val="12"/>
      </w:rPr>
      <w:tab/>
    </w:r>
    <w:bookmarkStart w:id="3" w:name="bmkDocID1_3"/>
    <w:r>
      <w:rPr>
        <w:sz w:val="12"/>
      </w:rPr>
      <w:t>L_LIVE_EMEA1:30006127v1</w:t>
    </w:r>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A25" w:rsidRPr="00335A25" w:rsidRDefault="002B3E28" w:rsidP="00335A25">
    <w:pPr>
      <w:pStyle w:val="Footer"/>
      <w:tabs>
        <w:tab w:val="clear" w:pos="4513"/>
        <w:tab w:val="clear" w:pos="9026"/>
        <w:tab w:val="center" w:pos="4600"/>
        <w:tab w:val="right" w:pos="9200"/>
      </w:tabs>
      <w:rPr>
        <w:sz w:val="12"/>
      </w:rPr>
    </w:pPr>
    <w:bookmarkStart w:id="4" w:name="bmkDocRef1_1"/>
    <w:r>
      <w:rPr>
        <w:sz w:val="12"/>
      </w:rPr>
      <w:t>FMFS/072735-00007/CXMS/SJWA</w:t>
    </w:r>
    <w:bookmarkEnd w:id="4"/>
    <w:r w:rsidR="00335A25" w:rsidRPr="00335A25">
      <w:rPr>
        <w:sz w:val="12"/>
      </w:rPr>
      <w:t xml:space="preserve">  </w:t>
    </w:r>
    <w:bookmarkStart w:id="5" w:name="bmkAsset1_1"/>
    <w:r>
      <w:rPr>
        <w:sz w:val="12"/>
      </w:rPr>
      <w:t>SJWA(LDN7W20998)</w:t>
    </w:r>
    <w:bookmarkEnd w:id="5"/>
    <w:r w:rsidR="00335A25">
      <w:rPr>
        <w:sz w:val="20"/>
      </w:rPr>
      <w:tab/>
    </w:r>
    <w:r w:rsidR="00335A25">
      <w:rPr>
        <w:sz w:val="20"/>
      </w:rPr>
      <w:fldChar w:fldCharType="begin"/>
    </w:r>
    <w:r w:rsidR="00335A25">
      <w:rPr>
        <w:sz w:val="20"/>
      </w:rPr>
      <w:instrText xml:space="preserve"> PAGE  \* MERGEFORMAT </w:instrText>
    </w:r>
    <w:r w:rsidR="00335A25">
      <w:rPr>
        <w:sz w:val="20"/>
      </w:rPr>
      <w:fldChar w:fldCharType="separate"/>
    </w:r>
    <w:r>
      <w:rPr>
        <w:noProof/>
        <w:sz w:val="20"/>
      </w:rPr>
      <w:t>1</w:t>
    </w:r>
    <w:r w:rsidR="00335A25">
      <w:rPr>
        <w:sz w:val="20"/>
      </w:rPr>
      <w:fldChar w:fldCharType="end"/>
    </w:r>
    <w:r w:rsidR="00335A25" w:rsidRPr="00335A25">
      <w:rPr>
        <w:sz w:val="12"/>
      </w:rPr>
      <w:tab/>
    </w:r>
    <w:bookmarkStart w:id="6" w:name="bmkDocID1_1"/>
    <w:r>
      <w:rPr>
        <w:sz w:val="12"/>
      </w:rPr>
      <w:t>L_LIVE_EMEA1:30006127v1</w:t>
    </w:r>
    <w:bookmarkEnd w:id="6"/>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A25" w:rsidRPr="00335A25" w:rsidRDefault="002B3E28" w:rsidP="00335A25">
    <w:pPr>
      <w:pStyle w:val="Footer"/>
      <w:tabs>
        <w:tab w:val="clear" w:pos="4513"/>
        <w:tab w:val="clear" w:pos="9026"/>
        <w:tab w:val="center" w:pos="4600"/>
        <w:tab w:val="right" w:pos="9200"/>
      </w:tabs>
      <w:rPr>
        <w:sz w:val="12"/>
      </w:rPr>
    </w:pPr>
    <w:bookmarkStart w:id="7" w:name="bmkDocRef1_2"/>
    <w:r>
      <w:rPr>
        <w:sz w:val="12"/>
      </w:rPr>
      <w:t>FMFS/072735-00007/CXMS/SJWA</w:t>
    </w:r>
    <w:bookmarkEnd w:id="7"/>
    <w:r w:rsidR="00335A25" w:rsidRPr="00335A25">
      <w:rPr>
        <w:sz w:val="12"/>
      </w:rPr>
      <w:t xml:space="preserve">  </w:t>
    </w:r>
    <w:bookmarkStart w:id="8" w:name="bmkAsset1_2"/>
    <w:r>
      <w:rPr>
        <w:sz w:val="12"/>
      </w:rPr>
      <w:t>SJWA(LDN7W20998)</w:t>
    </w:r>
    <w:bookmarkEnd w:id="8"/>
    <w:r w:rsidR="00335A25">
      <w:rPr>
        <w:sz w:val="20"/>
      </w:rPr>
      <w:tab/>
    </w:r>
    <w:r w:rsidR="00335A25">
      <w:rPr>
        <w:sz w:val="20"/>
      </w:rPr>
      <w:fldChar w:fldCharType="begin"/>
    </w:r>
    <w:r w:rsidR="00335A25">
      <w:rPr>
        <w:sz w:val="20"/>
      </w:rPr>
      <w:instrText xml:space="preserve"> PAGE  \* MERGEFORMAT </w:instrText>
    </w:r>
    <w:r w:rsidR="00335A25">
      <w:rPr>
        <w:sz w:val="20"/>
      </w:rPr>
      <w:fldChar w:fldCharType="separate"/>
    </w:r>
    <w:r w:rsidR="00335A25">
      <w:rPr>
        <w:noProof/>
        <w:sz w:val="20"/>
      </w:rPr>
      <w:t>1</w:t>
    </w:r>
    <w:r w:rsidR="00335A25">
      <w:rPr>
        <w:sz w:val="20"/>
      </w:rPr>
      <w:fldChar w:fldCharType="end"/>
    </w:r>
    <w:r w:rsidR="00335A25" w:rsidRPr="00335A25">
      <w:rPr>
        <w:sz w:val="12"/>
      </w:rPr>
      <w:tab/>
    </w:r>
    <w:bookmarkStart w:id="9" w:name="bmkDocID1_2"/>
    <w:r>
      <w:rPr>
        <w:sz w:val="12"/>
      </w:rPr>
      <w:t>L_LIVE_EMEA1:30006127v1</w:t>
    </w:r>
    <w:bookmarkEnd w:id="9"/>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A25" w:rsidRPr="00335A25" w:rsidRDefault="002B3E28" w:rsidP="00335A25">
    <w:pPr>
      <w:pStyle w:val="Footer"/>
      <w:tabs>
        <w:tab w:val="clear" w:pos="4513"/>
        <w:tab w:val="clear" w:pos="9026"/>
        <w:tab w:val="center" w:pos="4600"/>
        <w:tab w:val="right" w:pos="9200"/>
      </w:tabs>
      <w:rPr>
        <w:sz w:val="12"/>
      </w:rPr>
    </w:pPr>
    <w:bookmarkStart w:id="10" w:name="bmkDocRef4_3"/>
    <w:r>
      <w:rPr>
        <w:sz w:val="12"/>
      </w:rPr>
      <w:t>FMFS/072735-00007/CXMS/SJWA</w:t>
    </w:r>
    <w:bookmarkEnd w:id="10"/>
    <w:r w:rsidR="00335A25" w:rsidRPr="00335A25">
      <w:rPr>
        <w:sz w:val="12"/>
      </w:rPr>
      <w:t xml:space="preserve">  </w:t>
    </w:r>
    <w:bookmarkStart w:id="11" w:name="bmkAsset4_3"/>
    <w:r>
      <w:rPr>
        <w:sz w:val="12"/>
      </w:rPr>
      <w:t>SJWA(LDN7W20998)</w:t>
    </w:r>
    <w:bookmarkEnd w:id="11"/>
    <w:r w:rsidR="00335A25">
      <w:rPr>
        <w:sz w:val="20"/>
      </w:rPr>
      <w:tab/>
    </w:r>
    <w:r w:rsidR="00335A25">
      <w:rPr>
        <w:sz w:val="20"/>
      </w:rPr>
      <w:fldChar w:fldCharType="begin"/>
    </w:r>
    <w:r w:rsidR="00335A25">
      <w:rPr>
        <w:sz w:val="20"/>
      </w:rPr>
      <w:instrText xml:space="preserve"> PAGE  \* MERGEFORMAT </w:instrText>
    </w:r>
    <w:r w:rsidR="00335A25">
      <w:rPr>
        <w:sz w:val="20"/>
      </w:rPr>
      <w:fldChar w:fldCharType="separate"/>
    </w:r>
    <w:r w:rsidR="00335A25">
      <w:rPr>
        <w:noProof/>
        <w:sz w:val="20"/>
      </w:rPr>
      <w:t>6</w:t>
    </w:r>
    <w:r w:rsidR="00335A25">
      <w:rPr>
        <w:sz w:val="20"/>
      </w:rPr>
      <w:fldChar w:fldCharType="end"/>
    </w:r>
    <w:r w:rsidR="00335A25" w:rsidRPr="00335A25">
      <w:rPr>
        <w:sz w:val="12"/>
      </w:rPr>
      <w:tab/>
    </w:r>
    <w:bookmarkStart w:id="12" w:name="bmkDocID4_3"/>
    <w:r>
      <w:rPr>
        <w:sz w:val="12"/>
      </w:rPr>
      <w:t>L_LIVE_EMEA1:30006127v1</w:t>
    </w:r>
    <w:bookmarkEnd w:id="12"/>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A25" w:rsidRPr="00335A25" w:rsidRDefault="002B3E28" w:rsidP="00335A25">
    <w:pPr>
      <w:pStyle w:val="Footer"/>
      <w:tabs>
        <w:tab w:val="clear" w:pos="4513"/>
        <w:tab w:val="clear" w:pos="9026"/>
        <w:tab w:val="center" w:pos="4600"/>
        <w:tab w:val="right" w:pos="9200"/>
      </w:tabs>
      <w:rPr>
        <w:sz w:val="12"/>
      </w:rPr>
    </w:pPr>
    <w:bookmarkStart w:id="13" w:name="bmkDocRef4_1"/>
    <w:r>
      <w:rPr>
        <w:sz w:val="12"/>
      </w:rPr>
      <w:t>FMFS/072735-00007/CXMS/SJWA</w:t>
    </w:r>
    <w:bookmarkEnd w:id="13"/>
    <w:r w:rsidR="00335A25" w:rsidRPr="00335A25">
      <w:rPr>
        <w:sz w:val="12"/>
      </w:rPr>
      <w:t xml:space="preserve">  </w:t>
    </w:r>
    <w:bookmarkStart w:id="14" w:name="bmkAsset4_1"/>
    <w:r>
      <w:rPr>
        <w:sz w:val="12"/>
      </w:rPr>
      <w:t>SJWA(LDN7W20998)</w:t>
    </w:r>
    <w:bookmarkEnd w:id="14"/>
    <w:r w:rsidR="00335A25">
      <w:rPr>
        <w:sz w:val="20"/>
      </w:rPr>
      <w:tab/>
    </w:r>
    <w:r w:rsidR="00335A25">
      <w:rPr>
        <w:sz w:val="20"/>
      </w:rPr>
      <w:fldChar w:fldCharType="begin"/>
    </w:r>
    <w:r w:rsidR="00335A25">
      <w:rPr>
        <w:sz w:val="20"/>
      </w:rPr>
      <w:instrText xml:space="preserve"> PAGE  \* MERGEFORMAT </w:instrText>
    </w:r>
    <w:r w:rsidR="00335A25">
      <w:rPr>
        <w:sz w:val="20"/>
      </w:rPr>
      <w:fldChar w:fldCharType="separate"/>
    </w:r>
    <w:r>
      <w:rPr>
        <w:noProof/>
        <w:sz w:val="20"/>
      </w:rPr>
      <w:t>4</w:t>
    </w:r>
    <w:r w:rsidR="00335A25">
      <w:rPr>
        <w:sz w:val="20"/>
      </w:rPr>
      <w:fldChar w:fldCharType="end"/>
    </w:r>
    <w:r w:rsidR="00335A25" w:rsidRPr="00335A25">
      <w:rPr>
        <w:sz w:val="12"/>
      </w:rPr>
      <w:tab/>
    </w:r>
    <w:bookmarkStart w:id="15" w:name="bmkDocID4_1"/>
    <w:r>
      <w:rPr>
        <w:sz w:val="12"/>
      </w:rPr>
      <w:t>L_LIVE_EMEA1:30006127v1</w:t>
    </w:r>
    <w:bookmarkEnd w:id="15"/>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A25" w:rsidRPr="00335A25" w:rsidRDefault="002B3E28" w:rsidP="00335A25">
    <w:pPr>
      <w:pStyle w:val="Footer"/>
      <w:tabs>
        <w:tab w:val="clear" w:pos="4513"/>
        <w:tab w:val="clear" w:pos="9026"/>
        <w:tab w:val="center" w:pos="4600"/>
        <w:tab w:val="right" w:pos="9200"/>
      </w:tabs>
      <w:rPr>
        <w:sz w:val="12"/>
      </w:rPr>
    </w:pPr>
    <w:bookmarkStart w:id="16" w:name="bmkDocRef4_2"/>
    <w:r>
      <w:rPr>
        <w:sz w:val="12"/>
      </w:rPr>
      <w:t>FMFS/072735-00007/CXMS/SJWA</w:t>
    </w:r>
    <w:bookmarkEnd w:id="16"/>
    <w:r w:rsidR="00335A25" w:rsidRPr="00335A25">
      <w:rPr>
        <w:sz w:val="12"/>
      </w:rPr>
      <w:t xml:space="preserve">  </w:t>
    </w:r>
    <w:bookmarkStart w:id="17" w:name="bmkAsset4_2"/>
    <w:r>
      <w:rPr>
        <w:sz w:val="12"/>
      </w:rPr>
      <w:t>SJWA(LDN7W20998)</w:t>
    </w:r>
    <w:bookmarkEnd w:id="17"/>
    <w:r w:rsidR="00335A25">
      <w:rPr>
        <w:sz w:val="20"/>
      </w:rPr>
      <w:tab/>
    </w:r>
    <w:r w:rsidR="00335A25">
      <w:rPr>
        <w:sz w:val="20"/>
      </w:rPr>
      <w:fldChar w:fldCharType="begin"/>
    </w:r>
    <w:r w:rsidR="00335A25">
      <w:rPr>
        <w:sz w:val="20"/>
      </w:rPr>
      <w:instrText xml:space="preserve"> PAGE  \* MERGEFORMAT </w:instrText>
    </w:r>
    <w:r w:rsidR="00335A25">
      <w:rPr>
        <w:sz w:val="20"/>
      </w:rPr>
      <w:fldChar w:fldCharType="separate"/>
    </w:r>
    <w:r w:rsidR="00335A25">
      <w:rPr>
        <w:noProof/>
        <w:sz w:val="20"/>
      </w:rPr>
      <w:t>6</w:t>
    </w:r>
    <w:r w:rsidR="00335A25">
      <w:rPr>
        <w:sz w:val="20"/>
      </w:rPr>
      <w:fldChar w:fldCharType="end"/>
    </w:r>
    <w:r w:rsidR="00335A25" w:rsidRPr="00335A25">
      <w:rPr>
        <w:sz w:val="12"/>
      </w:rPr>
      <w:tab/>
    </w:r>
    <w:bookmarkStart w:id="18" w:name="bmkDocID4_2"/>
    <w:r>
      <w:rPr>
        <w:sz w:val="12"/>
      </w:rPr>
      <w:t>L_LIVE_EMEA1:30006127v1</w:t>
    </w:r>
    <w:bookmarkEnd w:id="1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A25" w:rsidRDefault="00335A25" w:rsidP="00335A25">
      <w:r>
        <w:separator/>
      </w:r>
    </w:p>
  </w:footnote>
  <w:footnote w:type="continuationSeparator" w:id="0">
    <w:p w:rsidR="00335A25" w:rsidRDefault="00335A25" w:rsidP="00335A25">
      <w:r>
        <w:continuationSeparator/>
      </w:r>
    </w:p>
  </w:footnote>
  <w:footnote w:id="1">
    <w:p w:rsidR="008B2542" w:rsidRPr="008B2542" w:rsidRDefault="008B2542">
      <w:pPr>
        <w:pStyle w:val="FootnoteText"/>
        <w:rPr>
          <w:lang w:val="en-GB"/>
        </w:rPr>
      </w:pPr>
      <w:r>
        <w:rPr>
          <w:rStyle w:val="FootnoteReference"/>
        </w:rPr>
        <w:footnoteRef/>
      </w:r>
      <w:r>
        <w:t xml:space="preserve"> </w:t>
      </w:r>
      <w:r>
        <w:rPr>
          <w:lang w:val="en-GB"/>
        </w:rPr>
        <w:t xml:space="preserve"> </w:t>
      </w:r>
      <w:r w:rsidRPr="00C817FB">
        <w:rPr>
          <w:rFonts w:ascii="Arial" w:eastAsia="Arial" w:hAnsi="Arial"/>
          <w:color w:val="000000"/>
          <w:sz w:val="16"/>
          <w:lang w:val="en-GB"/>
        </w:rPr>
        <w:t>OJ L 173, 12.6.2014, p. 173.</w:t>
      </w:r>
    </w:p>
  </w:footnote>
  <w:footnote w:id="2">
    <w:p w:rsidR="008B2542" w:rsidRPr="008B2542" w:rsidRDefault="008B2542">
      <w:pPr>
        <w:pStyle w:val="FootnoteText"/>
        <w:rPr>
          <w:lang w:val="en-GB"/>
        </w:rPr>
      </w:pPr>
      <w:r>
        <w:rPr>
          <w:rStyle w:val="FootnoteReference"/>
        </w:rPr>
        <w:footnoteRef/>
      </w:r>
      <w:r>
        <w:t xml:space="preserve"> </w:t>
      </w:r>
      <w:r>
        <w:rPr>
          <w:lang w:val="en-GB"/>
        </w:rPr>
        <w:t xml:space="preserve"> </w:t>
      </w:r>
      <w:r w:rsidRPr="00C817FB">
        <w:rPr>
          <w:rFonts w:ascii="Arial" w:eastAsia="Arial" w:hAnsi="Arial"/>
          <w:color w:val="000000"/>
          <w:spacing w:val="4"/>
          <w:sz w:val="16"/>
          <w:lang w:val="en-GB"/>
        </w:rPr>
        <w:t>Regulation (EU)</w:t>
      </w:r>
      <w:r>
        <w:rPr>
          <w:rFonts w:ascii="Arial" w:eastAsia="Arial" w:hAnsi="Arial"/>
          <w:color w:val="000000"/>
          <w:spacing w:val="4"/>
          <w:sz w:val="16"/>
          <w:lang w:val="pt-PT"/>
        </w:rPr>
        <w:t xml:space="preserve"> No</w:t>
      </w:r>
      <w:r w:rsidRPr="00C817FB">
        <w:rPr>
          <w:rFonts w:ascii="Arial" w:eastAsia="Arial" w:hAnsi="Arial"/>
          <w:color w:val="000000"/>
          <w:spacing w:val="4"/>
          <w:sz w:val="16"/>
          <w:lang w:val="en-GB"/>
        </w:rPr>
        <w:t xml:space="preserve"> 600/2014 of the European Parliament and of the Council of 15 May 2014 on markets in</w:t>
      </w:r>
      <w:r>
        <w:rPr>
          <w:rFonts w:ascii="Arial" w:eastAsia="Arial" w:hAnsi="Arial"/>
          <w:color w:val="000000"/>
          <w:spacing w:val="4"/>
          <w:sz w:val="16"/>
          <w:lang w:val="pt-PT"/>
        </w:rPr>
        <w:t xml:space="preserve"> financial </w:t>
      </w:r>
      <w:r w:rsidRPr="00C817FB">
        <w:rPr>
          <w:rFonts w:ascii="Arial" w:eastAsia="Arial" w:hAnsi="Arial"/>
          <w:color w:val="000000"/>
          <w:sz w:val="16"/>
          <w:lang w:val="en-GB"/>
        </w:rPr>
        <w:t>instruments and amending Regulation (EU)</w:t>
      </w:r>
      <w:r>
        <w:rPr>
          <w:rFonts w:ascii="Arial" w:eastAsia="Arial" w:hAnsi="Arial"/>
          <w:color w:val="000000"/>
          <w:sz w:val="16"/>
          <w:lang w:val="pt-PT"/>
        </w:rPr>
        <w:t xml:space="preserve"> No</w:t>
      </w:r>
      <w:r w:rsidRPr="00C817FB">
        <w:rPr>
          <w:rFonts w:ascii="Arial" w:eastAsia="Arial" w:hAnsi="Arial"/>
          <w:color w:val="000000"/>
          <w:sz w:val="16"/>
          <w:lang w:val="en-GB"/>
        </w:rPr>
        <w:t xml:space="preserve"> 648/2012 (OJ L 173, 12.6.2014, p. 84).</w:t>
      </w:r>
    </w:p>
  </w:footnote>
  <w:footnote w:id="3">
    <w:p w:rsidR="008B2542" w:rsidRPr="008B2542" w:rsidRDefault="008B2542">
      <w:pPr>
        <w:pStyle w:val="FootnoteText"/>
        <w:rPr>
          <w:lang w:val="en-GB"/>
        </w:rPr>
      </w:pPr>
      <w:r>
        <w:rPr>
          <w:rStyle w:val="FootnoteReference"/>
        </w:rPr>
        <w:footnoteRef/>
      </w:r>
      <w:r>
        <w:t xml:space="preserve"> </w:t>
      </w:r>
      <w:r w:rsidRPr="00C817FB">
        <w:rPr>
          <w:rFonts w:ascii="Arial" w:eastAsia="Arial" w:hAnsi="Arial"/>
          <w:color w:val="000000"/>
          <w:sz w:val="16"/>
          <w:lang w:val="en-GB"/>
        </w:rPr>
        <w:t>Regulation (EU)</w:t>
      </w:r>
      <w:r>
        <w:rPr>
          <w:rFonts w:ascii="Arial" w:eastAsia="Arial" w:hAnsi="Arial"/>
          <w:color w:val="000000"/>
          <w:sz w:val="16"/>
          <w:lang w:val="pt-PT"/>
        </w:rPr>
        <w:t xml:space="preserve"> No</w:t>
      </w:r>
      <w:r w:rsidRPr="00C817FB">
        <w:rPr>
          <w:rFonts w:ascii="Arial" w:eastAsia="Arial" w:hAnsi="Arial"/>
          <w:color w:val="000000"/>
          <w:sz w:val="16"/>
          <w:lang w:val="en-GB"/>
        </w:rPr>
        <w:t xml:space="preserve"> 1095/2010 of the European Parliament and of the Council of 24 November 2010 establishing a European</w:t>
      </w:r>
      <w:r>
        <w:rPr>
          <w:rFonts w:ascii="Arial" w:eastAsia="Arial" w:hAnsi="Arial"/>
          <w:color w:val="000000"/>
          <w:sz w:val="16"/>
          <w:lang w:val="en-GB"/>
        </w:rPr>
        <w:t xml:space="preserve"> </w:t>
      </w:r>
      <w:r w:rsidRPr="00C817FB">
        <w:rPr>
          <w:rFonts w:ascii="Arial" w:eastAsia="Arial" w:hAnsi="Arial"/>
          <w:color w:val="000000"/>
          <w:sz w:val="16"/>
          <w:lang w:val="en-GB"/>
        </w:rPr>
        <w:t>Supervisory Authority (European Securities and Markets Authority), amending Decision</w:t>
      </w:r>
      <w:r>
        <w:rPr>
          <w:rFonts w:ascii="Arial" w:eastAsia="Arial" w:hAnsi="Arial"/>
          <w:color w:val="000000"/>
          <w:sz w:val="16"/>
          <w:lang w:val="pt-PT"/>
        </w:rPr>
        <w:t xml:space="preserve"> No</w:t>
      </w:r>
      <w:r w:rsidRPr="00C817FB">
        <w:rPr>
          <w:rFonts w:ascii="Arial" w:eastAsia="Arial" w:hAnsi="Arial"/>
          <w:color w:val="000000"/>
          <w:sz w:val="16"/>
          <w:lang w:val="en-GB"/>
        </w:rPr>
        <w:t xml:space="preserve"> 716/2009/EC and repealing Commission Decision 2009/77/EC (OJ L 331, 15.12.2010, p. 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A25" w:rsidRDefault="00335A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A25" w:rsidRDefault="00335A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A25" w:rsidRDefault="00335A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C5D"/>
    <w:multiLevelType w:val="multilevel"/>
    <w:tmpl w:val="C96A9BAC"/>
    <w:lvl w:ilvl="0">
      <w:start w:val="3"/>
      <w:numFmt w:val="lowerLetter"/>
      <w:lvlText w:val="(%1)"/>
      <w:lvlJc w:val="left"/>
      <w:pPr>
        <w:tabs>
          <w:tab w:val="left" w:pos="504"/>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06E93"/>
    <w:multiLevelType w:val="multilevel"/>
    <w:tmpl w:val="85B84F8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C93787"/>
    <w:multiLevelType w:val="multilevel"/>
    <w:tmpl w:val="F4DAD86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5B2B9F"/>
    <w:multiLevelType w:val="multilevel"/>
    <w:tmpl w:val="5EE4E1D2"/>
    <w:lvl w:ilvl="0">
      <w:start w:val="1"/>
      <w:numFmt w:val="decimal"/>
      <w:lvlText w:val="(%1)"/>
      <w:lvlJc w:val="left"/>
      <w:pPr>
        <w:tabs>
          <w:tab w:val="left" w:pos="576"/>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A52893"/>
    <w:multiLevelType w:val="multilevel"/>
    <w:tmpl w:val="6D94270E"/>
    <w:lvl w:ilvl="0">
      <w:start w:val="2"/>
      <w:numFmt w:val="decimal"/>
      <w:lvlText w:val="(%1)"/>
      <w:lvlJc w:val="left"/>
      <w:pPr>
        <w:tabs>
          <w:tab w:val="left" w:pos="432"/>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A8224C"/>
    <w:multiLevelType w:val="multilevel"/>
    <w:tmpl w:val="EC44AC08"/>
    <w:lvl w:ilvl="0">
      <w:start w:val="1"/>
      <w:numFmt w:val="decimal"/>
      <w:lvlText w:val="%1."/>
      <w:lvlJc w:val="left"/>
      <w:pPr>
        <w:tabs>
          <w:tab w:val="left" w:pos="432"/>
        </w:tabs>
        <w:ind w:left="720"/>
      </w:pPr>
      <w:rPr>
        <w:rFonts w:ascii="Arial Unicode MS" w:eastAsia="Arial Unicode MS" w:hAnsi="Arial Unicode MS"/>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EF5E98"/>
    <w:multiLevelType w:val="multilevel"/>
    <w:tmpl w:val="7F241ADE"/>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7617B1"/>
    <w:multiLevelType w:val="multilevel"/>
    <w:tmpl w:val="451C8E3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1303A2"/>
    <w:multiLevelType w:val="multilevel"/>
    <w:tmpl w:val="3534705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7076A9"/>
    <w:multiLevelType w:val="multilevel"/>
    <w:tmpl w:val="0B204B7E"/>
    <w:lvl w:ilvl="0">
      <w:start w:val="5"/>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8D5244"/>
    <w:multiLevelType w:val="multilevel"/>
    <w:tmpl w:val="696CC558"/>
    <w:lvl w:ilvl="0">
      <w:start w:val="1"/>
      <w:numFmt w:val="decimal"/>
      <w:lvlText w:val="(%1)"/>
      <w:lvlJc w:val="left"/>
      <w:pPr>
        <w:tabs>
          <w:tab w:val="left" w:pos="648"/>
        </w:tabs>
        <w:ind w:left="720"/>
      </w:pPr>
      <w:rPr>
        <w:rFonts w:ascii="Arial" w:eastAsia="Arial" w:hAnsi="Arial"/>
        <w:strike w:val="0"/>
        <w:color w:val="000000"/>
        <w:spacing w:val="-2"/>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1416AD"/>
    <w:multiLevelType w:val="multilevel"/>
    <w:tmpl w:val="5F98AD98"/>
    <w:lvl w:ilvl="0">
      <w:start w:val="1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30573D"/>
    <w:multiLevelType w:val="multilevel"/>
    <w:tmpl w:val="04AED86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0C5934"/>
    <w:multiLevelType w:val="multilevel"/>
    <w:tmpl w:val="CBFAF01C"/>
    <w:lvl w:ilvl="0">
      <w:start w:val="3"/>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3928A5"/>
    <w:multiLevelType w:val="multilevel"/>
    <w:tmpl w:val="DB4EDB74"/>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DA2493"/>
    <w:multiLevelType w:val="multilevel"/>
    <w:tmpl w:val="8F8C51C8"/>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F05ED7"/>
    <w:multiLevelType w:val="multilevel"/>
    <w:tmpl w:val="405EDDC0"/>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E81536"/>
    <w:multiLevelType w:val="multilevel"/>
    <w:tmpl w:val="C18A5B6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5B3E35"/>
    <w:multiLevelType w:val="multilevel"/>
    <w:tmpl w:val="77265BF6"/>
    <w:lvl w:ilvl="0">
      <w:start w:val="17"/>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2D94BED"/>
    <w:multiLevelType w:val="multilevel"/>
    <w:tmpl w:val="258A8AA4"/>
    <w:lvl w:ilvl="0">
      <w:start w:val="7"/>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6249C6"/>
    <w:multiLevelType w:val="multilevel"/>
    <w:tmpl w:val="CAA49A74"/>
    <w:lvl w:ilvl="0">
      <w:start w:val="6"/>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93420BB"/>
    <w:multiLevelType w:val="multilevel"/>
    <w:tmpl w:val="C5D2AD4C"/>
    <w:lvl w:ilvl="0">
      <w:start w:val="4"/>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F622D7"/>
    <w:multiLevelType w:val="multilevel"/>
    <w:tmpl w:val="96B877E4"/>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473498"/>
    <w:multiLevelType w:val="multilevel"/>
    <w:tmpl w:val="F7FC2FFA"/>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2042C4D"/>
    <w:multiLevelType w:val="multilevel"/>
    <w:tmpl w:val="9D9A98EE"/>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54869E8"/>
    <w:multiLevelType w:val="multilevel"/>
    <w:tmpl w:val="76A86CCA"/>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6710683"/>
    <w:multiLevelType w:val="multilevel"/>
    <w:tmpl w:val="11C0684E"/>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7854BCB"/>
    <w:multiLevelType w:val="multilevel"/>
    <w:tmpl w:val="F58A79B8"/>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BF05731"/>
    <w:multiLevelType w:val="multilevel"/>
    <w:tmpl w:val="65BA2A90"/>
    <w:lvl w:ilvl="0">
      <w:start w:val="1"/>
      <w:numFmt w:val="bullet"/>
      <w:lvlText w:val="·"/>
      <w:lvlJc w:val="left"/>
      <w:pPr>
        <w:tabs>
          <w:tab w:val="left" w:pos="144"/>
        </w:tabs>
        <w:ind w:left="720"/>
      </w:pPr>
      <w:rPr>
        <w:rFonts w:ascii="Symbol" w:eastAsia="Symbol" w:hAnsi="Symbo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DF12362"/>
    <w:multiLevelType w:val="multilevel"/>
    <w:tmpl w:val="2BD0119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FF33833"/>
    <w:multiLevelType w:val="multilevel"/>
    <w:tmpl w:val="9BB263A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0085122"/>
    <w:multiLevelType w:val="multilevel"/>
    <w:tmpl w:val="B0EA8808"/>
    <w:lvl w:ilvl="0">
      <w:start w:val="1"/>
      <w:numFmt w:val="decimal"/>
      <w:lvlText w:val="(%1)"/>
      <w:lvlJc w:val="left"/>
      <w:pPr>
        <w:tabs>
          <w:tab w:val="left" w:pos="360"/>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1BE0392"/>
    <w:multiLevelType w:val="multilevel"/>
    <w:tmpl w:val="44280926"/>
    <w:lvl w:ilvl="0">
      <w:start w:val="3"/>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1CB6AED"/>
    <w:multiLevelType w:val="multilevel"/>
    <w:tmpl w:val="8E76DD4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31B4EE3"/>
    <w:multiLevelType w:val="multilevel"/>
    <w:tmpl w:val="351AB53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4FC530A"/>
    <w:multiLevelType w:val="multilevel"/>
    <w:tmpl w:val="FC6A2EBC"/>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574529A"/>
    <w:multiLevelType w:val="multilevel"/>
    <w:tmpl w:val="3480854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6CE45FB"/>
    <w:multiLevelType w:val="multilevel"/>
    <w:tmpl w:val="F39EAB9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70921CB"/>
    <w:multiLevelType w:val="multilevel"/>
    <w:tmpl w:val="2CF2BDE6"/>
    <w:lvl w:ilvl="0">
      <w:start w:val="1"/>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7196D80"/>
    <w:multiLevelType w:val="multilevel"/>
    <w:tmpl w:val="3EF008B2"/>
    <w:lvl w:ilvl="0">
      <w:start w:val="4"/>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A0D3E7B"/>
    <w:multiLevelType w:val="multilevel"/>
    <w:tmpl w:val="8A8A7B9C"/>
    <w:lvl w:ilvl="0">
      <w:start w:val="1"/>
      <w:numFmt w:val="lowerRoman"/>
      <w:lvlText w:val="(%1)"/>
      <w:lvlJc w:val="left"/>
      <w:pPr>
        <w:tabs>
          <w:tab w:val="left" w:pos="288"/>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C4440B5"/>
    <w:multiLevelType w:val="multilevel"/>
    <w:tmpl w:val="297E3EE8"/>
    <w:lvl w:ilvl="0">
      <w:start w:val="3"/>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CFC54D2"/>
    <w:multiLevelType w:val="multilevel"/>
    <w:tmpl w:val="75665F2C"/>
    <w:lvl w:ilvl="0">
      <w:start w:val="3"/>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DFD5AA4"/>
    <w:multiLevelType w:val="multilevel"/>
    <w:tmpl w:val="0614B07A"/>
    <w:lvl w:ilvl="0">
      <w:start w:val="5"/>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2903DC2"/>
    <w:multiLevelType w:val="multilevel"/>
    <w:tmpl w:val="0A8606C4"/>
    <w:lvl w:ilvl="0">
      <w:start w:val="7"/>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2A205CA"/>
    <w:multiLevelType w:val="multilevel"/>
    <w:tmpl w:val="A5B8F456"/>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31116A5"/>
    <w:multiLevelType w:val="multilevel"/>
    <w:tmpl w:val="D528E0CE"/>
    <w:lvl w:ilvl="0">
      <w:start w:val="1"/>
      <w:numFmt w:val="lowerLetter"/>
      <w:lvlText w:val="(%1)"/>
      <w:lvlJc w:val="left"/>
      <w:pPr>
        <w:tabs>
          <w:tab w:val="left" w:pos="432"/>
        </w:tabs>
        <w:ind w:left="720"/>
      </w:pPr>
      <w:rPr>
        <w:rFonts w:ascii="Arial" w:eastAsia="Arial" w:hAnsi="Arial"/>
        <w:strike w:val="0"/>
        <w:color w:val="000000"/>
        <w:spacing w:val="-4"/>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5C73135"/>
    <w:multiLevelType w:val="multilevel"/>
    <w:tmpl w:val="D8F256EC"/>
    <w:lvl w:ilvl="0">
      <w:start w:val="1"/>
      <w:numFmt w:val="lowerLetter"/>
      <w:lvlText w:val="(%1)"/>
      <w:lvlJc w:val="left"/>
      <w:pPr>
        <w:tabs>
          <w:tab w:val="left" w:pos="864"/>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6265717"/>
    <w:multiLevelType w:val="multilevel"/>
    <w:tmpl w:val="AD8ED5D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65D16E2"/>
    <w:multiLevelType w:val="multilevel"/>
    <w:tmpl w:val="1AF6BF2C"/>
    <w:lvl w:ilvl="0">
      <w:start w:val="1"/>
      <w:numFmt w:val="lowerLetter"/>
      <w:lvlText w:val="(%1)"/>
      <w:lvlJc w:val="left"/>
      <w:pPr>
        <w:tabs>
          <w:tab w:val="left" w:pos="360"/>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AB660B9"/>
    <w:multiLevelType w:val="multilevel"/>
    <w:tmpl w:val="ABCC44B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E70717F"/>
    <w:multiLevelType w:val="multilevel"/>
    <w:tmpl w:val="E5EC380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F246EA0"/>
    <w:multiLevelType w:val="multilevel"/>
    <w:tmpl w:val="69CAEB5E"/>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1480BDA"/>
    <w:multiLevelType w:val="multilevel"/>
    <w:tmpl w:val="B8C041E2"/>
    <w:lvl w:ilvl="0">
      <w:start w:val="3"/>
      <w:numFmt w:val="lowerLetter"/>
      <w:lvlText w:val="(%1)"/>
      <w:lvlJc w:val="left"/>
      <w:pPr>
        <w:tabs>
          <w:tab w:val="left" w:pos="504"/>
        </w:tabs>
        <w:ind w:left="720"/>
      </w:pPr>
      <w:rPr>
        <w:rFonts w:ascii="Arial" w:eastAsia="Arial" w:hAnsi="Arial"/>
        <w:strike w:val="0"/>
        <w:color w:val="000000"/>
        <w:spacing w:val="-3"/>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1CE0956"/>
    <w:multiLevelType w:val="multilevel"/>
    <w:tmpl w:val="8D8C9C1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7CC6451"/>
    <w:multiLevelType w:val="multilevel"/>
    <w:tmpl w:val="868E5742"/>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7DA006F"/>
    <w:multiLevelType w:val="multilevel"/>
    <w:tmpl w:val="BE26277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93F0B3E"/>
    <w:multiLevelType w:val="multilevel"/>
    <w:tmpl w:val="EF005E06"/>
    <w:lvl w:ilvl="0">
      <w:start w:val="1"/>
      <w:numFmt w:val="lowerLetter"/>
      <w:lvlText w:val="(%1)"/>
      <w:lvlJc w:val="left"/>
      <w:pPr>
        <w:tabs>
          <w:tab w:val="left" w:pos="360"/>
        </w:tabs>
        <w:ind w:left="720"/>
      </w:pPr>
      <w:rPr>
        <w:rFonts w:ascii="Arial" w:eastAsia="Arial" w:hAnsi="Arial"/>
        <w:strike w:val="0"/>
        <w:color w:val="000000"/>
        <w:spacing w:val="2"/>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B3F4DD5"/>
    <w:multiLevelType w:val="multilevel"/>
    <w:tmpl w:val="355A253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BFE7536"/>
    <w:multiLevelType w:val="multilevel"/>
    <w:tmpl w:val="CB7E4870"/>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C893131"/>
    <w:multiLevelType w:val="multilevel"/>
    <w:tmpl w:val="A7B2DEB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C8F1D32"/>
    <w:multiLevelType w:val="multilevel"/>
    <w:tmpl w:val="9578B644"/>
    <w:lvl w:ilvl="0">
      <w:start w:val="2"/>
      <w:numFmt w:val="decimal"/>
      <w:lvlText w:val="%1."/>
      <w:lvlJc w:val="left"/>
      <w:pPr>
        <w:tabs>
          <w:tab w:val="left" w:pos="432"/>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F5518F3"/>
    <w:multiLevelType w:val="multilevel"/>
    <w:tmpl w:val="A16E8470"/>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F6311BF"/>
    <w:multiLevelType w:val="multilevel"/>
    <w:tmpl w:val="08E2497E"/>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08922E4"/>
    <w:multiLevelType w:val="multilevel"/>
    <w:tmpl w:val="67186480"/>
    <w:lvl w:ilvl="0">
      <w:start w:val="1"/>
      <w:numFmt w:val="lowerRoman"/>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3B27F17"/>
    <w:multiLevelType w:val="multilevel"/>
    <w:tmpl w:val="C940278E"/>
    <w:lvl w:ilvl="0">
      <w:start w:val="1"/>
      <w:numFmt w:val="decimal"/>
      <w:lvlText w:val="(%1)"/>
      <w:lvlJc w:val="left"/>
      <w:pPr>
        <w:tabs>
          <w:tab w:val="left" w:pos="504"/>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51F2C74"/>
    <w:multiLevelType w:val="multilevel"/>
    <w:tmpl w:val="56D6C1F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54E40F8"/>
    <w:multiLevelType w:val="multilevel"/>
    <w:tmpl w:val="71984306"/>
    <w:lvl w:ilvl="0">
      <w:start w:val="2"/>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63544A8"/>
    <w:multiLevelType w:val="multilevel"/>
    <w:tmpl w:val="602CEA10"/>
    <w:lvl w:ilvl="0">
      <w:start w:val="7"/>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63B2FBD"/>
    <w:multiLevelType w:val="multilevel"/>
    <w:tmpl w:val="51BACAD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A620EC4"/>
    <w:multiLevelType w:val="multilevel"/>
    <w:tmpl w:val="3EFE15BE"/>
    <w:lvl w:ilvl="0">
      <w:start w:val="4"/>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CF94D50"/>
    <w:multiLevelType w:val="multilevel"/>
    <w:tmpl w:val="805477D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24A518E"/>
    <w:multiLevelType w:val="multilevel"/>
    <w:tmpl w:val="19ECD81E"/>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40648D3"/>
    <w:multiLevelType w:val="multilevel"/>
    <w:tmpl w:val="3ACABFF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4EF4967"/>
    <w:multiLevelType w:val="multilevel"/>
    <w:tmpl w:val="8DA0D3D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4F51D12"/>
    <w:multiLevelType w:val="multilevel"/>
    <w:tmpl w:val="C062E43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57A0CF3"/>
    <w:multiLevelType w:val="multilevel"/>
    <w:tmpl w:val="1416F756"/>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6A27EB2"/>
    <w:multiLevelType w:val="multilevel"/>
    <w:tmpl w:val="B2F62378"/>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7887FE3"/>
    <w:multiLevelType w:val="multilevel"/>
    <w:tmpl w:val="E0105E7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D492289"/>
    <w:multiLevelType w:val="multilevel"/>
    <w:tmpl w:val="37B6D1B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DC411BC"/>
    <w:multiLevelType w:val="multilevel"/>
    <w:tmpl w:val="347032A6"/>
    <w:lvl w:ilvl="0">
      <w:start w:val="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E206F56"/>
    <w:multiLevelType w:val="multilevel"/>
    <w:tmpl w:val="F502F8B4"/>
    <w:lvl w:ilvl="0">
      <w:start w:val="8"/>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FB339C4"/>
    <w:multiLevelType w:val="multilevel"/>
    <w:tmpl w:val="88546118"/>
    <w:lvl w:ilvl="0">
      <w:start w:val="1"/>
      <w:numFmt w:val="lowerLetter"/>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20"/>
  </w:num>
  <w:num w:numId="3">
    <w:abstractNumId w:val="79"/>
  </w:num>
  <w:num w:numId="4">
    <w:abstractNumId w:val="48"/>
  </w:num>
  <w:num w:numId="5">
    <w:abstractNumId w:val="61"/>
  </w:num>
  <w:num w:numId="6">
    <w:abstractNumId w:val="72"/>
  </w:num>
  <w:num w:numId="7">
    <w:abstractNumId w:val="44"/>
  </w:num>
  <w:num w:numId="8">
    <w:abstractNumId w:val="67"/>
  </w:num>
  <w:num w:numId="9">
    <w:abstractNumId w:val="58"/>
  </w:num>
  <w:num w:numId="10">
    <w:abstractNumId w:val="51"/>
  </w:num>
  <w:num w:numId="11">
    <w:abstractNumId w:val="46"/>
  </w:num>
  <w:num w:numId="12">
    <w:abstractNumId w:val="66"/>
  </w:num>
  <w:num w:numId="13">
    <w:abstractNumId w:val="34"/>
  </w:num>
  <w:num w:numId="14">
    <w:abstractNumId w:val="39"/>
  </w:num>
  <w:num w:numId="15">
    <w:abstractNumId w:val="76"/>
  </w:num>
  <w:num w:numId="16">
    <w:abstractNumId w:val="24"/>
  </w:num>
  <w:num w:numId="17">
    <w:abstractNumId w:val="32"/>
  </w:num>
  <w:num w:numId="18">
    <w:abstractNumId w:val="29"/>
  </w:num>
  <w:num w:numId="19">
    <w:abstractNumId w:val="1"/>
  </w:num>
  <w:num w:numId="20">
    <w:abstractNumId w:val="36"/>
  </w:num>
  <w:num w:numId="21">
    <w:abstractNumId w:val="10"/>
  </w:num>
  <w:num w:numId="22">
    <w:abstractNumId w:val="22"/>
  </w:num>
  <w:num w:numId="23">
    <w:abstractNumId w:val="70"/>
  </w:num>
  <w:num w:numId="24">
    <w:abstractNumId w:val="33"/>
  </w:num>
  <w:num w:numId="25">
    <w:abstractNumId w:val="42"/>
  </w:num>
  <w:num w:numId="26">
    <w:abstractNumId w:val="50"/>
  </w:num>
  <w:num w:numId="27">
    <w:abstractNumId w:val="19"/>
  </w:num>
  <w:num w:numId="28">
    <w:abstractNumId w:val="17"/>
  </w:num>
  <w:num w:numId="29">
    <w:abstractNumId w:val="45"/>
  </w:num>
  <w:num w:numId="30">
    <w:abstractNumId w:val="12"/>
  </w:num>
  <w:num w:numId="31">
    <w:abstractNumId w:val="16"/>
  </w:num>
  <w:num w:numId="32">
    <w:abstractNumId w:val="54"/>
  </w:num>
  <w:num w:numId="33">
    <w:abstractNumId w:val="65"/>
  </w:num>
  <w:num w:numId="34">
    <w:abstractNumId w:val="68"/>
  </w:num>
  <w:num w:numId="35">
    <w:abstractNumId w:val="8"/>
  </w:num>
  <w:num w:numId="36">
    <w:abstractNumId w:val="41"/>
  </w:num>
  <w:num w:numId="37">
    <w:abstractNumId w:val="71"/>
  </w:num>
  <w:num w:numId="38">
    <w:abstractNumId w:val="28"/>
  </w:num>
  <w:num w:numId="39">
    <w:abstractNumId w:val="25"/>
  </w:num>
  <w:num w:numId="40">
    <w:abstractNumId w:val="5"/>
  </w:num>
  <w:num w:numId="41">
    <w:abstractNumId w:val="23"/>
  </w:num>
  <w:num w:numId="42">
    <w:abstractNumId w:val="3"/>
  </w:num>
  <w:num w:numId="43">
    <w:abstractNumId w:val="59"/>
  </w:num>
  <w:num w:numId="44">
    <w:abstractNumId w:val="37"/>
  </w:num>
  <w:num w:numId="45">
    <w:abstractNumId w:val="81"/>
  </w:num>
  <w:num w:numId="46">
    <w:abstractNumId w:val="69"/>
  </w:num>
  <w:num w:numId="47">
    <w:abstractNumId w:val="62"/>
  </w:num>
  <w:num w:numId="48">
    <w:abstractNumId w:val="27"/>
  </w:num>
  <w:num w:numId="49">
    <w:abstractNumId w:val="13"/>
  </w:num>
  <w:num w:numId="50">
    <w:abstractNumId w:val="14"/>
  </w:num>
  <w:num w:numId="51">
    <w:abstractNumId w:val="49"/>
  </w:num>
  <w:num w:numId="52">
    <w:abstractNumId w:val="56"/>
  </w:num>
  <w:num w:numId="53">
    <w:abstractNumId w:val="57"/>
  </w:num>
  <w:num w:numId="54">
    <w:abstractNumId w:val="53"/>
  </w:num>
  <w:num w:numId="55">
    <w:abstractNumId w:val="82"/>
  </w:num>
  <w:num w:numId="56">
    <w:abstractNumId w:val="40"/>
  </w:num>
  <w:num w:numId="57">
    <w:abstractNumId w:val="43"/>
  </w:num>
  <w:num w:numId="58">
    <w:abstractNumId w:val="73"/>
  </w:num>
  <w:num w:numId="59">
    <w:abstractNumId w:val="30"/>
  </w:num>
  <w:num w:numId="60">
    <w:abstractNumId w:val="60"/>
  </w:num>
  <w:num w:numId="61">
    <w:abstractNumId w:val="0"/>
  </w:num>
  <w:num w:numId="62">
    <w:abstractNumId w:val="47"/>
  </w:num>
  <w:num w:numId="63">
    <w:abstractNumId w:val="21"/>
  </w:num>
  <w:num w:numId="64">
    <w:abstractNumId w:val="78"/>
  </w:num>
  <w:num w:numId="65">
    <w:abstractNumId w:val="6"/>
  </w:num>
  <w:num w:numId="66">
    <w:abstractNumId w:val="15"/>
  </w:num>
  <w:num w:numId="67">
    <w:abstractNumId w:val="75"/>
  </w:num>
  <w:num w:numId="68">
    <w:abstractNumId w:val="63"/>
  </w:num>
  <w:num w:numId="69">
    <w:abstractNumId w:val="80"/>
  </w:num>
  <w:num w:numId="70">
    <w:abstractNumId w:val="35"/>
  </w:num>
  <w:num w:numId="71">
    <w:abstractNumId w:val="26"/>
  </w:num>
  <w:num w:numId="72">
    <w:abstractNumId w:val="7"/>
  </w:num>
  <w:num w:numId="73">
    <w:abstractNumId w:val="55"/>
  </w:num>
  <w:num w:numId="74">
    <w:abstractNumId w:val="2"/>
  </w:num>
  <w:num w:numId="75">
    <w:abstractNumId w:val="74"/>
  </w:num>
  <w:num w:numId="76">
    <w:abstractNumId w:val="31"/>
  </w:num>
  <w:num w:numId="77">
    <w:abstractNumId w:val="4"/>
  </w:num>
  <w:num w:numId="78">
    <w:abstractNumId w:val="52"/>
  </w:num>
  <w:num w:numId="79">
    <w:abstractNumId w:val="9"/>
  </w:num>
  <w:num w:numId="80">
    <w:abstractNumId w:val="38"/>
  </w:num>
  <w:num w:numId="81">
    <w:abstractNumId w:val="64"/>
  </w:num>
  <w:num w:numId="82">
    <w:abstractNumId w:val="11"/>
  </w:num>
  <w:num w:numId="83">
    <w:abstractNumId w:val="1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0A4CA4"/>
    <w:rsid w:val="000A4CA4"/>
    <w:rsid w:val="001C27CD"/>
    <w:rsid w:val="002B3E28"/>
    <w:rsid w:val="00335A25"/>
    <w:rsid w:val="003E106F"/>
    <w:rsid w:val="00613C32"/>
    <w:rsid w:val="008B2542"/>
    <w:rsid w:val="00914B35"/>
    <w:rsid w:val="00C817FB"/>
    <w:rsid w:val="00D13B22"/>
    <w:rsid w:val="00EB6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335A25"/>
    <w:pPr>
      <w:tabs>
        <w:tab w:val="center" w:pos="4513"/>
        <w:tab w:val="right" w:pos="9026"/>
      </w:tabs>
    </w:pPr>
  </w:style>
  <w:style w:type="character" w:customStyle="1" w:styleId="HeaderChar">
    <w:name w:val="Header Char"/>
    <w:basedOn w:val="DefaultParagraphFont"/>
    <w:link w:val="Header"/>
    <w:uiPriority w:val="99"/>
    <w:rsid w:val="00335A25"/>
  </w:style>
  <w:style w:type="paragraph" w:styleId="Footer">
    <w:name w:val="footer"/>
    <w:basedOn w:val="Normal"/>
    <w:link w:val="FooterChar"/>
    <w:uiPriority w:val="99"/>
    <w:unhideWhenUsed/>
    <w:rsid w:val="00335A25"/>
    <w:pPr>
      <w:tabs>
        <w:tab w:val="center" w:pos="4513"/>
        <w:tab w:val="right" w:pos="9026"/>
      </w:tabs>
    </w:pPr>
  </w:style>
  <w:style w:type="character" w:customStyle="1" w:styleId="FooterChar">
    <w:name w:val="Footer Char"/>
    <w:basedOn w:val="DefaultParagraphFont"/>
    <w:link w:val="Footer"/>
    <w:uiPriority w:val="99"/>
    <w:rsid w:val="00335A25"/>
  </w:style>
  <w:style w:type="paragraph" w:styleId="FootnoteText">
    <w:name w:val="footnote text"/>
    <w:basedOn w:val="Normal"/>
    <w:link w:val="FootnoteTextChar"/>
    <w:uiPriority w:val="99"/>
    <w:semiHidden/>
    <w:unhideWhenUsed/>
    <w:rsid w:val="008B2542"/>
    <w:rPr>
      <w:sz w:val="20"/>
      <w:szCs w:val="20"/>
    </w:rPr>
  </w:style>
  <w:style w:type="character" w:customStyle="1" w:styleId="FootnoteTextChar">
    <w:name w:val="Footnote Text Char"/>
    <w:basedOn w:val="DefaultParagraphFont"/>
    <w:link w:val="FootnoteText"/>
    <w:uiPriority w:val="99"/>
    <w:semiHidden/>
    <w:rsid w:val="008B2542"/>
    <w:rPr>
      <w:sz w:val="20"/>
      <w:szCs w:val="20"/>
    </w:rPr>
  </w:style>
  <w:style w:type="character" w:styleId="FootnoteReference">
    <w:name w:val="footnote reference"/>
    <w:basedOn w:val="DefaultParagraphFont"/>
    <w:uiPriority w:val="99"/>
    <w:semiHidden/>
    <w:unhideWhenUsed/>
    <w:rsid w:val="008B25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335A25"/>
    <w:pPr>
      <w:tabs>
        <w:tab w:val="center" w:pos="4513"/>
        <w:tab w:val="right" w:pos="9026"/>
      </w:tabs>
    </w:pPr>
  </w:style>
  <w:style w:type="character" w:customStyle="1" w:styleId="HeaderChar">
    <w:name w:val="Header Char"/>
    <w:basedOn w:val="DefaultParagraphFont"/>
    <w:link w:val="Header"/>
    <w:uiPriority w:val="99"/>
    <w:rsid w:val="00335A25"/>
  </w:style>
  <w:style w:type="paragraph" w:styleId="Footer">
    <w:name w:val="footer"/>
    <w:basedOn w:val="Normal"/>
    <w:link w:val="FooterChar"/>
    <w:uiPriority w:val="99"/>
    <w:unhideWhenUsed/>
    <w:rsid w:val="00335A25"/>
    <w:pPr>
      <w:tabs>
        <w:tab w:val="center" w:pos="4513"/>
        <w:tab w:val="right" w:pos="9026"/>
      </w:tabs>
    </w:pPr>
  </w:style>
  <w:style w:type="character" w:customStyle="1" w:styleId="FooterChar">
    <w:name w:val="Footer Char"/>
    <w:basedOn w:val="DefaultParagraphFont"/>
    <w:link w:val="Footer"/>
    <w:uiPriority w:val="99"/>
    <w:rsid w:val="00335A25"/>
  </w:style>
  <w:style w:type="paragraph" w:styleId="FootnoteText">
    <w:name w:val="footnote text"/>
    <w:basedOn w:val="Normal"/>
    <w:link w:val="FootnoteTextChar"/>
    <w:uiPriority w:val="99"/>
    <w:semiHidden/>
    <w:unhideWhenUsed/>
    <w:rsid w:val="008B2542"/>
    <w:rPr>
      <w:sz w:val="20"/>
      <w:szCs w:val="20"/>
    </w:rPr>
  </w:style>
  <w:style w:type="character" w:customStyle="1" w:styleId="FootnoteTextChar">
    <w:name w:val="Footnote Text Char"/>
    <w:basedOn w:val="DefaultParagraphFont"/>
    <w:link w:val="FootnoteText"/>
    <w:uiPriority w:val="99"/>
    <w:semiHidden/>
    <w:rsid w:val="008B2542"/>
    <w:rPr>
      <w:sz w:val="20"/>
      <w:szCs w:val="20"/>
    </w:rPr>
  </w:style>
  <w:style w:type="character" w:styleId="FootnoteReference">
    <w:name w:val="footnote reference"/>
    <w:basedOn w:val="DefaultParagraphFont"/>
    <w:uiPriority w:val="99"/>
    <w:semiHidden/>
    <w:unhideWhenUsed/>
    <w:rsid w:val="008B25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9BBFA-1B70-4E4F-A24C-C86720A3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Simmons &amp; Simmons</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Roberts</dc:creator>
  <cp:lastModifiedBy>Simmons &amp; Simmons</cp:lastModifiedBy>
  <cp:revision>3</cp:revision>
  <dcterms:created xsi:type="dcterms:W3CDTF">2015-12-15T13:54:00Z</dcterms:created>
  <dcterms:modified xsi:type="dcterms:W3CDTF">2015-12-15T13:55:00Z</dcterms:modified>
</cp:coreProperties>
</file>