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A4" w:rsidRDefault="004E60A4" w:rsidP="004E60A4">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699200" behindDoc="1" locked="0" layoutInCell="1" allowOverlap="1" wp14:anchorId="42B9E1AD" wp14:editId="70138FAC">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0A4" w:rsidRDefault="004E60A4" w:rsidP="004E60A4">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oO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U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CtkCg60AgAAtAUA&#10;AA4AAAAAAAAAAAAAAAAALgIAAGRycy9lMm9Eb2MueG1sUEsBAi0AFAAGAAgAAAAhAIlqjMzeAAAA&#10;DQEAAA8AAAAAAAAAAAAAAAAADgUAAGRycy9kb3ducmV2LnhtbFBLBQYAAAAABAAEAPMAAAAZBgAA&#10;AAA=&#10;" filled="f" stroked="f">
                <v:textbox inset="0,0,0,0">
                  <w:txbxContent>
                    <w:p w:rsidR="004E60A4" w:rsidRDefault="004E60A4" w:rsidP="004E60A4">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4E60A4" w:rsidRDefault="004E60A4" w:rsidP="00712387">
      <w:pPr>
        <w:spacing w:before="291" w:after="943" w:line="405" w:lineRule="exact"/>
        <w:ind w:left="144" w:right="144"/>
        <w:jc w:val="left"/>
        <w:textAlignment w:val="baseline"/>
        <w:rPr>
          <w:rFonts w:ascii="Times New Roman" w:eastAsia="Times New Roman" w:hAnsi="Times New Roman"/>
          <w:b/>
          <w:color w:val="000000"/>
          <w:sz w:val="32"/>
          <w:lang w:val="en-US" w:eastAsia="en-US"/>
        </w:rPr>
      </w:pPr>
    </w:p>
    <w:p w:rsidR="00712387" w:rsidRPr="00712387" w:rsidRDefault="00712387" w:rsidP="00712387">
      <w:pPr>
        <w:spacing w:before="291" w:after="943" w:line="405" w:lineRule="exact"/>
        <w:ind w:left="144" w:right="144"/>
        <w:jc w:val="left"/>
        <w:textAlignment w:val="baseline"/>
        <w:rPr>
          <w:rFonts w:ascii="Times New Roman" w:eastAsia="Times New Roman" w:hAnsi="Times New Roman"/>
          <w:b/>
          <w:color w:val="000000"/>
          <w:sz w:val="32"/>
          <w:lang w:val="en-US" w:eastAsia="en-US"/>
        </w:rPr>
      </w:pPr>
      <w:r w:rsidRPr="00712387">
        <w:rPr>
          <w:rFonts w:ascii="Times New Roman" w:eastAsia="Times New Roman" w:hAnsi="Times New Roman"/>
          <w:b/>
          <w:color w:val="000000"/>
          <w:sz w:val="32"/>
          <w:lang w:val="en-US" w:eastAsia="en-US"/>
        </w:rPr>
        <w:t>RTS 16: Draft regulatory technical standards on access in respect of benchmarks</w:t>
      </w:r>
    </w:p>
    <w:p w:rsidR="00712387" w:rsidRPr="00712387" w:rsidRDefault="00712387" w:rsidP="00712387">
      <w:pPr>
        <w:spacing w:before="291" w:after="943" w:line="405" w:lineRule="exact"/>
        <w:jc w:val="left"/>
        <w:rPr>
          <w:rFonts w:ascii="Times New Roman" w:eastAsia="PMingLiU" w:hAnsi="Times New Roman"/>
          <w:lang w:val="en-US" w:eastAsia="en-US"/>
        </w:rPr>
        <w:sectPr w:rsidR="00712387" w:rsidRPr="00712387">
          <w:pgSz w:w="11909" w:h="16838"/>
          <w:pgMar w:top="580" w:right="1259" w:bottom="960" w:left="1250" w:header="720" w:footer="720" w:gutter="0"/>
          <w:cols w:space="720"/>
        </w:sectPr>
      </w:pPr>
    </w:p>
    <w:p w:rsidR="00712387" w:rsidRPr="00712387" w:rsidRDefault="00712387" w:rsidP="00712387">
      <w:pPr>
        <w:spacing w:before="1164" w:line="288" w:lineRule="exact"/>
        <w:jc w:val="left"/>
        <w:textAlignment w:val="baseline"/>
        <w:rPr>
          <w:rFonts w:ascii="Times New Roman" w:eastAsia="Times New Roman" w:hAnsi="Times New Roman"/>
          <w:color w:val="000000"/>
          <w:sz w:val="24"/>
          <w:lang w:val="en-US" w:eastAsia="en-US"/>
        </w:rPr>
      </w:pPr>
    </w:p>
    <w:p w:rsidR="00712387" w:rsidRPr="00712387" w:rsidRDefault="00712387" w:rsidP="00712387">
      <w:pPr>
        <w:jc w:val="left"/>
        <w:rPr>
          <w:rFonts w:ascii="Times New Roman" w:eastAsia="PMingLiU" w:hAnsi="Times New Roman"/>
          <w:lang w:val="en-US" w:eastAsia="en-US"/>
        </w:rPr>
        <w:sectPr w:rsidR="00712387" w:rsidRPr="00712387">
          <w:type w:val="continuous"/>
          <w:pgSz w:w="11909" w:h="16838"/>
          <w:pgMar w:top="580" w:right="1259" w:bottom="960" w:left="1125" w:header="720" w:footer="720" w:gutter="0"/>
          <w:cols w:space="720"/>
        </w:sectPr>
      </w:pPr>
    </w:p>
    <w:p w:rsidR="00712387" w:rsidRPr="00712387" w:rsidRDefault="00712387" w:rsidP="00712387">
      <w:pPr>
        <w:spacing w:before="3" w:line="269" w:lineRule="exact"/>
        <w:ind w:left="5400"/>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0528" behindDoc="0" locked="0" layoutInCell="1" allowOverlap="1" wp14:anchorId="07F094AA" wp14:editId="3383EDDD">
                <wp:simplePos x="0" y="0"/>
                <wp:positionH relativeFrom="page">
                  <wp:posOffset>714375</wp:posOffset>
                </wp:positionH>
                <wp:positionV relativeFrom="page">
                  <wp:posOffset>9831070</wp:posOffset>
                </wp:positionV>
                <wp:extent cx="650240" cy="342900"/>
                <wp:effectExtent l="0" t="1270" r="0"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7" type="#_x0000_t202" style="position:absolute;left:0;text-align:left;margin-left:56.25pt;margin-top:774.1pt;width:51.2pt;height:2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KosQ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" filled="f" stroked="f">
                <v:textbox inset="0,0,0,0">
                  <w:txbxContent>
                    <w:p w:rsidR="00712387" w:rsidRDefault="00712387" w:rsidP="00712387">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1552" behindDoc="0" locked="0" layoutInCell="1" allowOverlap="1" wp14:anchorId="67490249" wp14:editId="76E9A3E6">
                <wp:simplePos x="0" y="0"/>
                <wp:positionH relativeFrom="page">
                  <wp:posOffset>3609975</wp:posOffset>
                </wp:positionH>
                <wp:positionV relativeFrom="page">
                  <wp:posOffset>9968230</wp:posOffset>
                </wp:positionV>
                <wp:extent cx="342265" cy="172720"/>
                <wp:effectExtent l="0" t="0" r="635" b="317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before="3" w:line="268" w:lineRule="exact"/>
                              <w:textAlignment w:val="baseline"/>
                              <w:rPr>
                                <w:rFonts w:eastAsia="Times New Roman"/>
                                <w:color w:val="000000"/>
                                <w:spacing w:val="16"/>
                                <w:sz w:val="24"/>
                              </w:rPr>
                            </w:pPr>
                            <w:r>
                              <w:rPr>
                                <w:rFonts w:eastAsia="Times New Roman"/>
                                <w:color w:val="000000"/>
                                <w:spacing w:val="16"/>
                                <w:sz w:val="24"/>
                              </w:rPr>
                              <w:t>359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284.25pt;margin-top:784.9pt;width:26.95pt;height:13.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QEsw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" filled="f" stroked="f">
                <v:textbox inset="0,0,0,0">
                  <w:txbxContent>
                    <w:p w:rsidR="00712387" w:rsidRDefault="00712387" w:rsidP="00712387">
                      <w:pPr>
                        <w:spacing w:before="3" w:line="268" w:lineRule="exact"/>
                        <w:textAlignment w:val="baseline"/>
                        <w:rPr>
                          <w:rFonts w:eastAsia="Times New Roman"/>
                          <w:color w:val="000000"/>
                          <w:spacing w:val="16"/>
                          <w:sz w:val="24"/>
                        </w:rPr>
                      </w:pPr>
                      <w:r>
                        <w:rPr>
                          <w:rFonts w:eastAsia="Times New Roman"/>
                          <w:color w:val="000000"/>
                          <w:spacing w:val="16"/>
                          <w:sz w:val="24"/>
                        </w:rPr>
                        <w:t>359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2576" behindDoc="0" locked="0" layoutInCell="1" allowOverlap="1" wp14:anchorId="7C41B8A5" wp14:editId="00558928">
                <wp:simplePos x="0" y="0"/>
                <wp:positionH relativeFrom="page">
                  <wp:posOffset>6194425</wp:posOffset>
                </wp:positionH>
                <wp:positionV relativeFrom="page">
                  <wp:posOffset>9831070</wp:posOffset>
                </wp:positionV>
                <wp:extent cx="506730" cy="342900"/>
                <wp:effectExtent l="3175" t="1270" r="4445"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left:0;text-align:left;margin-left:487.75pt;margin-top:774.1pt;width:39.9pt;height: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K5ObLICAACx&#10;BQAADgAAAAAAAAAAAAAAAAAuAgAAZHJzL2Uyb0RvYy54bWxQSwECLQAUAAYACAAAACEA028a8eIA&#10;AAAOAQAADwAAAAAAAAAAAAAAAAAMBQAAZHJzL2Rvd25yZXYueG1sUEsFBgAAAAAEAAQA8wAAABsG&#10;AAAAAA==&#10;" filled="f" stroked="f">
                <v:textbox inset="0,0,0,0">
                  <w:txbxContent>
                    <w:p w:rsidR="00712387" w:rsidRDefault="00712387" w:rsidP="00712387">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712387">
        <w:rPr>
          <w:rFonts w:ascii="Times New Roman" w:eastAsia="Times New Roman" w:hAnsi="Times New Roman"/>
          <w:color w:val="000000"/>
          <w:sz w:val="24"/>
          <w:lang w:val="en-US" w:eastAsia="en-US"/>
        </w:rPr>
        <w:t>Brussels, XXX</w:t>
      </w:r>
    </w:p>
    <w:p w:rsidR="00712387" w:rsidRPr="00712387" w:rsidRDefault="00712387" w:rsidP="00712387">
      <w:pPr>
        <w:spacing w:before="10" w:line="269" w:lineRule="exact"/>
        <w:ind w:left="5400"/>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[...](2012) XXX draft</w:t>
      </w:r>
    </w:p>
    <w:p w:rsidR="00712387" w:rsidRPr="00712387" w:rsidRDefault="004E60A4" w:rsidP="00712387">
      <w:pPr>
        <w:spacing w:before="1458" w:line="269"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69504" behindDoc="0" locked="0" layoutInCell="1" allowOverlap="1" wp14:anchorId="5B3C1602" wp14:editId="2B2536DA">
                <wp:simplePos x="0" y="0"/>
                <wp:positionH relativeFrom="column">
                  <wp:posOffset>1432560</wp:posOffset>
                </wp:positionH>
                <wp:positionV relativeFrom="paragraph">
                  <wp:posOffset>241300</wp:posOffset>
                </wp:positionV>
                <wp:extent cx="2953385" cy="647065"/>
                <wp:effectExtent l="0" t="0" r="18415" b="6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712387">
                              <w:trPr>
                                <w:trHeight w:hRule="exact" w:val="1019"/>
                              </w:trPr>
                              <w:tc>
                                <w:tcPr>
                                  <w:tcW w:w="1507" w:type="dxa"/>
                                  <w:tcBorders>
                                    <w:top w:val="none" w:sz="0" w:space="0" w:color="000000"/>
                                    <w:left w:val="none" w:sz="0" w:space="0" w:color="000000"/>
                                    <w:bottom w:val="none" w:sz="0" w:space="0" w:color="000000"/>
                                    <w:right w:val="none" w:sz="0" w:space="0" w:color="000000"/>
                                  </w:tcBorders>
                                </w:tcPr>
                                <w:p w:rsidR="00712387" w:rsidRDefault="00712387">
                                  <w:pPr>
                                    <w:spacing w:before="16"/>
                                    <w:jc w:val="center"/>
                                    <w:textAlignment w:val="baseline"/>
                                  </w:pPr>
                                  <w:r>
                                    <w:rPr>
                                      <w:noProof/>
                                    </w:rPr>
                                    <w:drawing>
                                      <wp:inline distT="0" distB="0" distL="0" distR="0" wp14:anchorId="02F95E8B" wp14:editId="33ACB5C4">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98"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712387" w:rsidRDefault="00712387">
                                  <w:pPr>
                                    <w:spacing w:after="737"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712387" w:rsidRDefault="00712387" w:rsidP="007123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left:0;text-align:left;margin-left:112.8pt;margin-top:19pt;width:232.55pt;height:50.9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aCNsQIAALI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712387">
                        <w:trPr>
                          <w:trHeight w:hRule="exact" w:val="1019"/>
                        </w:trPr>
                        <w:tc>
                          <w:tcPr>
                            <w:tcW w:w="1507" w:type="dxa"/>
                            <w:tcBorders>
                              <w:top w:val="none" w:sz="0" w:space="0" w:color="000000"/>
                              <w:left w:val="none" w:sz="0" w:space="0" w:color="000000"/>
                              <w:bottom w:val="none" w:sz="0" w:space="0" w:color="000000"/>
                              <w:right w:val="none" w:sz="0" w:space="0" w:color="000000"/>
                            </w:tcBorders>
                          </w:tcPr>
                          <w:p w:rsidR="00712387" w:rsidRDefault="00712387">
                            <w:pPr>
                              <w:spacing w:before="16"/>
                              <w:jc w:val="center"/>
                              <w:textAlignment w:val="baseline"/>
                            </w:pPr>
                            <w:r>
                              <w:rPr>
                                <w:noProof/>
                              </w:rPr>
                              <w:drawing>
                                <wp:inline distT="0" distB="0" distL="0" distR="0" wp14:anchorId="02F95E8B" wp14:editId="33ACB5C4">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98"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712387" w:rsidRDefault="00712387">
                            <w:pPr>
                              <w:spacing w:after="737"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712387" w:rsidRDefault="00712387" w:rsidP="00712387"/>
                  </w:txbxContent>
                </v:textbox>
              </v:shape>
            </w:pict>
          </mc:Fallback>
        </mc:AlternateContent>
      </w:r>
      <w:r w:rsidR="00712387" w:rsidRPr="00712387">
        <w:rPr>
          <w:rFonts w:ascii="Times New Roman" w:eastAsia="Times New Roman" w:hAnsi="Times New Roman"/>
          <w:color w:val="000000"/>
          <w:sz w:val="24"/>
          <w:lang w:val="en-US" w:eastAsia="en-US"/>
        </w:rPr>
        <w:t>COMMISSION DELEGATED REGULATION (EU) No .../..</w:t>
      </w:r>
    </w:p>
    <w:p w:rsidR="00712387" w:rsidRPr="00712387" w:rsidRDefault="00712387" w:rsidP="00712387">
      <w:pPr>
        <w:spacing w:before="365" w:line="269" w:lineRule="exact"/>
        <w:ind w:left="446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of XXX</w:t>
      </w:r>
    </w:p>
    <w:p w:rsidR="00712387" w:rsidRPr="00712387" w:rsidRDefault="00712387" w:rsidP="00712387">
      <w:pPr>
        <w:spacing w:before="417" w:line="269" w:lineRule="exact"/>
        <w:jc w:val="center"/>
        <w:textAlignment w:val="baseline"/>
        <w:rPr>
          <w:rFonts w:ascii="Times New Roman" w:eastAsia="Times New Roman" w:hAnsi="Times New Roman"/>
          <w:color w:val="000000"/>
          <w:spacing w:val="-8"/>
          <w:sz w:val="24"/>
          <w:lang w:val="en-US" w:eastAsia="en-US"/>
        </w:rPr>
      </w:pPr>
      <w:r w:rsidRPr="00712387">
        <w:rPr>
          <w:rFonts w:ascii="Times New Roman" w:eastAsia="Times New Roman" w:hAnsi="Times New Roman"/>
          <w:color w:val="000000"/>
          <w:spacing w:val="-8"/>
          <w:sz w:val="24"/>
          <w:lang w:val="en-US" w:eastAsia="en-US"/>
        </w:rPr>
        <w:t>[—]</w:t>
      </w:r>
    </w:p>
    <w:p w:rsidR="00712387" w:rsidRPr="00712387" w:rsidRDefault="00712387" w:rsidP="00712387">
      <w:pPr>
        <w:jc w:val="left"/>
        <w:rPr>
          <w:rFonts w:ascii="Times New Roman" w:eastAsia="PMingLiU" w:hAnsi="Times New Roman"/>
          <w:lang w:val="en-US" w:eastAsia="en-US"/>
        </w:rPr>
        <w:sectPr w:rsidR="00712387" w:rsidRPr="00712387">
          <w:type w:val="continuous"/>
          <w:pgSz w:w="11909" w:h="16838"/>
          <w:pgMar w:top="580" w:right="1384" w:bottom="960" w:left="1125" w:header="720" w:footer="720" w:gutter="0"/>
          <w:cols w:space="720"/>
        </w:sectPr>
      </w:pPr>
    </w:p>
    <w:p w:rsidR="004E60A4" w:rsidRDefault="004E60A4" w:rsidP="00712387">
      <w:pPr>
        <w:spacing w:before="286" w:line="271" w:lineRule="exact"/>
        <w:jc w:val="center"/>
        <w:textAlignment w:val="baseline"/>
        <w:rPr>
          <w:rFonts w:ascii="Times New Roman" w:eastAsia="Times New Roman" w:hAnsi="Times New Roman"/>
          <w:b/>
          <w:color w:val="6177A8"/>
          <w:spacing w:val="-12"/>
          <w:sz w:val="21"/>
          <w:vertAlign w:val="subscript"/>
          <w:lang w:val="en-US" w:eastAsia="en-US"/>
        </w:rPr>
      </w:pPr>
    </w:p>
    <w:p w:rsidR="004E60A4" w:rsidRDefault="004E60A4" w:rsidP="00712387">
      <w:pPr>
        <w:spacing w:before="286" w:line="271" w:lineRule="exact"/>
        <w:jc w:val="center"/>
        <w:textAlignment w:val="baseline"/>
        <w:rPr>
          <w:rFonts w:ascii="Times New Roman" w:eastAsia="Times New Roman" w:hAnsi="Times New Roman"/>
          <w:b/>
          <w:color w:val="6177A8"/>
          <w:spacing w:val="-12"/>
          <w:sz w:val="21"/>
          <w:vertAlign w:val="subscript"/>
          <w:lang w:val="en-US" w:eastAsia="en-US"/>
        </w:rPr>
      </w:pPr>
    </w:p>
    <w:p w:rsidR="00712387" w:rsidRPr="00712387" w:rsidRDefault="00712387" w:rsidP="00712387">
      <w:pPr>
        <w:spacing w:before="286" w:line="271"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COMMISSION DELEGATED REGULATION (EU) .../..</w:t>
      </w:r>
    </w:p>
    <w:p w:rsidR="00712387" w:rsidRPr="00712387" w:rsidRDefault="00712387" w:rsidP="00712387">
      <w:pPr>
        <w:spacing w:before="155" w:line="271" w:lineRule="exact"/>
        <w:jc w:val="center"/>
        <w:textAlignment w:val="baseline"/>
        <w:rPr>
          <w:rFonts w:ascii="Times New Roman" w:eastAsia="Times New Roman" w:hAnsi="Times New Roman"/>
          <w:b/>
          <w:color w:val="000000"/>
          <w:spacing w:val="-2"/>
          <w:sz w:val="24"/>
          <w:lang w:val="en-US" w:eastAsia="en-US"/>
        </w:rPr>
      </w:pPr>
      <w:r w:rsidRPr="00712387">
        <w:rPr>
          <w:rFonts w:ascii="Times New Roman" w:eastAsia="Times New Roman" w:hAnsi="Times New Roman"/>
          <w:b/>
          <w:color w:val="000000"/>
          <w:spacing w:val="-2"/>
          <w:sz w:val="24"/>
          <w:lang w:val="en-US" w:eastAsia="en-US"/>
        </w:rPr>
        <w:t>of [Date]</w:t>
      </w:r>
    </w:p>
    <w:p w:rsidR="00712387" w:rsidRPr="00712387" w:rsidRDefault="00712387" w:rsidP="00712387">
      <w:pPr>
        <w:spacing w:before="120" w:line="355" w:lineRule="exact"/>
        <w:jc w:val="center"/>
        <w:textAlignment w:val="baseline"/>
        <w:rPr>
          <w:rFonts w:ascii="Times New Roman" w:eastAsia="Times New Roman" w:hAnsi="Times New Roman"/>
          <w:b/>
          <w:color w:val="000000"/>
          <w:sz w:val="28"/>
          <w:lang w:val="en-US" w:eastAsia="en-US"/>
        </w:rPr>
      </w:pPr>
      <w:r w:rsidRPr="00712387">
        <w:rPr>
          <w:rFonts w:ascii="Times New Roman" w:eastAsia="Times New Roman" w:hAnsi="Times New Roman"/>
          <w:b/>
          <w:color w:val="000000"/>
          <w:sz w:val="28"/>
          <w:lang w:val="en-US" w:eastAsia="en-US"/>
        </w:rPr>
        <w:t xml:space="preserve">supplementing Regulation (EU) No 600/2014 of the European Parliament </w:t>
      </w:r>
      <w:r w:rsidRPr="00712387">
        <w:rPr>
          <w:rFonts w:ascii="Times New Roman" w:eastAsia="Times New Roman" w:hAnsi="Times New Roman"/>
          <w:b/>
          <w:color w:val="000000"/>
          <w:sz w:val="28"/>
          <w:lang w:val="en-US" w:eastAsia="en-US"/>
        </w:rPr>
        <w:br/>
        <w:t>and of the Council with regard to regulatory technical standards on access</w:t>
      </w:r>
    </w:p>
    <w:p w:rsidR="00712387" w:rsidRPr="00712387" w:rsidRDefault="00712387" w:rsidP="00712387">
      <w:pPr>
        <w:spacing w:before="37" w:line="316" w:lineRule="exact"/>
        <w:jc w:val="center"/>
        <w:textAlignment w:val="baseline"/>
        <w:rPr>
          <w:rFonts w:ascii="Times New Roman" w:eastAsia="Times New Roman" w:hAnsi="Times New Roman"/>
          <w:b/>
          <w:color w:val="000000"/>
          <w:sz w:val="28"/>
          <w:lang w:val="en-US" w:eastAsia="en-US"/>
        </w:rPr>
      </w:pPr>
      <w:r w:rsidRPr="00712387">
        <w:rPr>
          <w:rFonts w:ascii="Times New Roman" w:eastAsia="Times New Roman" w:hAnsi="Times New Roman"/>
          <w:b/>
          <w:color w:val="000000"/>
          <w:sz w:val="28"/>
          <w:lang w:val="en-US" w:eastAsia="en-US"/>
        </w:rPr>
        <w:t>to benchmarks</w:t>
      </w:r>
    </w:p>
    <w:p w:rsidR="00712387" w:rsidRPr="00712387" w:rsidRDefault="00712387" w:rsidP="00712387">
      <w:pPr>
        <w:spacing w:before="829" w:line="273" w:lineRule="exact"/>
        <w:ind w:lef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EUROPEAN COMMISSION,</w:t>
      </w:r>
    </w:p>
    <w:p w:rsidR="00712387" w:rsidRPr="00712387" w:rsidRDefault="00712387" w:rsidP="00712387">
      <w:pPr>
        <w:spacing w:before="281" w:line="273" w:lineRule="exact"/>
        <w:ind w:lef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Having regard to the Treaty on the Functioning of the European Union,</w:t>
      </w:r>
    </w:p>
    <w:p w:rsidR="00712387" w:rsidRPr="00712387" w:rsidRDefault="00712387" w:rsidP="00712387">
      <w:pPr>
        <w:spacing w:before="256" w:line="302"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Having regard to Regulation (EU) No 600/2014 of the European Parliament and of the Council of 15 May 2014 on markets in </w:t>
      </w:r>
      <w:r w:rsidR="004E60A4">
        <w:rPr>
          <w:rFonts w:ascii="Times New Roman" w:eastAsia="Times New Roman" w:hAnsi="Times New Roman"/>
          <w:color w:val="000000"/>
          <w:sz w:val="24"/>
          <w:lang w:val="en-US" w:eastAsia="en-US"/>
        </w:rPr>
        <w:t>financial</w:t>
      </w:r>
      <w:r w:rsidRPr="00712387">
        <w:rPr>
          <w:rFonts w:ascii="Times New Roman" w:eastAsia="Times New Roman" w:hAnsi="Times New Roman"/>
          <w:color w:val="000000"/>
          <w:sz w:val="24"/>
          <w:lang w:val="en-US" w:eastAsia="en-US"/>
        </w:rPr>
        <w:t xml:space="preserve"> instruments and amending Regulation (EU) No 648/2012</w:t>
      </w:r>
      <w:r w:rsidRPr="00712387">
        <w:rPr>
          <w:rFonts w:ascii="Times New Roman" w:eastAsia="Times New Roman" w:hAnsi="Times New Roman"/>
          <w:color w:val="000000"/>
          <w:sz w:val="24"/>
          <w:vertAlign w:val="superscript"/>
          <w:lang w:val="en-US" w:eastAsia="en-US"/>
        </w:rPr>
        <w:t>1</w:t>
      </w:r>
      <w:r w:rsidRPr="00712387">
        <w:rPr>
          <w:rFonts w:ascii="Times New Roman" w:eastAsia="Times New Roman" w:hAnsi="Times New Roman"/>
          <w:color w:val="000000"/>
          <w:sz w:val="24"/>
          <w:lang w:val="en-US" w:eastAsia="en-US"/>
        </w:rPr>
        <w:t>, and in particular Article 37(4) (a), (b), and (c) thereof,</w:t>
      </w:r>
    </w:p>
    <w:p w:rsidR="00712387" w:rsidRPr="00712387" w:rsidRDefault="00712387" w:rsidP="00712387">
      <w:pPr>
        <w:spacing w:before="283" w:line="273" w:lineRule="exact"/>
        <w:ind w:left="144"/>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Whereas:</w:t>
      </w:r>
    </w:p>
    <w:p w:rsidR="00712387" w:rsidRPr="00712387" w:rsidRDefault="00712387" w:rsidP="00712387">
      <w:pPr>
        <w:numPr>
          <w:ilvl w:val="0"/>
          <w:numId w:val="27"/>
        </w:numPr>
        <w:tabs>
          <w:tab w:val="left" w:pos="864"/>
        </w:tabs>
        <w:spacing w:before="255" w:line="303" w:lineRule="exact"/>
        <w:ind w:left="86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Regulation (EU) No 600/2014 provides for the non-discriminatory access for clearing and trading between central counterparties (CCPs) and trading venues, including access to licences of and information relating to benchmarks which are used to determine the value of some financial instruments for trading and clearing purposes. Given the variety of different types of benchmarks covered, the information CCPs and trading venues need for clearing or trading purposes may vary depending on a number of factors, including the relevant financial instrument being traded or cleared and the type of benchmark that the financial instrument references.</w:t>
      </w:r>
    </w:p>
    <w:p w:rsidR="00712387" w:rsidRPr="00712387" w:rsidRDefault="00712387" w:rsidP="00712387">
      <w:pPr>
        <w:numPr>
          <w:ilvl w:val="0"/>
          <w:numId w:val="27"/>
        </w:numPr>
        <w:tabs>
          <w:tab w:val="left" w:pos="864"/>
        </w:tabs>
        <w:spacing w:before="250" w:line="303" w:lineRule="exact"/>
        <w:ind w:left="86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Therefore, it is not desirable to have an exhaustive list of the types of information that should be provided to CCPs and trading venues by a person with proprietary rights to a benchmark. CCPs and trading venues should be allowed to request access to information, provided it is required for clearing or trading purposes.</w:t>
      </w:r>
    </w:p>
    <w:p w:rsidR="00712387" w:rsidRPr="00712387" w:rsidRDefault="00712387" w:rsidP="00712387">
      <w:pPr>
        <w:numPr>
          <w:ilvl w:val="0"/>
          <w:numId w:val="27"/>
        </w:numPr>
        <w:tabs>
          <w:tab w:val="left" w:pos="864"/>
          <w:tab w:val="left" w:pos="864"/>
        </w:tabs>
        <w:spacing w:before="249" w:line="304" w:lineRule="exact"/>
        <w:ind w:left="86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The diversity of benchmarks and the different uses identified render a one size fits all </w:t>
      </w:r>
      <w:r w:rsidRPr="00712387">
        <w:rPr>
          <w:rFonts w:ascii="Times New Roman" w:eastAsia="Times New Roman" w:hAnsi="Times New Roman"/>
          <w:color w:val="000000"/>
          <w:sz w:val="24"/>
          <w:lang w:val="en-US" w:eastAsia="en-US"/>
        </w:rPr>
        <w:br/>
        <w:t>approach inappropriate and a high degree of harmonisation on the content of licence agreements unsuitable. Limiting the conditions under which access is granted to predetermined terms might therefore be detrimental to all parties.</w:t>
      </w:r>
    </w:p>
    <w:p w:rsidR="00712387" w:rsidRPr="00712387" w:rsidRDefault="00712387" w:rsidP="00712387">
      <w:pPr>
        <w:numPr>
          <w:ilvl w:val="0"/>
          <w:numId w:val="27"/>
        </w:numPr>
        <w:tabs>
          <w:tab w:val="left" w:pos="864"/>
        </w:tabs>
        <w:spacing w:before="249" w:after="298" w:line="304" w:lineRule="exact"/>
        <w:ind w:left="864" w:right="144"/>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A person with proprietary rights to a benchmark should be able to set different conditions for different categories of CCPs and trading venues to access its benchmarks only where objectively justified, such as in terms of the quantity, scope or field of use demanded and applied in a proportionate manner. The different categories</w:t>
      </w:r>
    </w:p>
    <w:p w:rsidR="00712387" w:rsidRPr="00712387" w:rsidRDefault="00712387" w:rsidP="00712387">
      <w:pPr>
        <w:spacing w:before="270" w:line="228" w:lineRule="exact"/>
        <w:ind w:left="144"/>
        <w:jc w:val="left"/>
        <w:textAlignment w:val="baseline"/>
        <w:rPr>
          <w:rFonts w:ascii="Bookman Old Style" w:eastAsia="Bookman Old Style" w:hAnsi="Bookman Old Style"/>
          <w:color w:val="000000"/>
          <w:spacing w:val="-2"/>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BnHgIAADk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dBfBnHgIAADkEAAAOAAAAAAAAAAAAAAAAAC4CAABkcnMvZTJvRG9jLnhtbFBL&#10;AQItABQABgAIAAAAIQBMbvSV3wAAAA0BAAAPAAAAAAAAAAAAAAAAAHgEAABkcnMvZG93bnJldi54&#10;bWxQSwUGAAAAAAQABADzAAAAhAUAAAAA&#10;" strokeweight=".95pt">
                <w10:wrap anchorx="page" anchory="page"/>
              </v:line>
            </w:pict>
          </mc:Fallback>
        </mc:AlternateContent>
      </w:r>
      <w:r w:rsidRPr="00712387">
        <w:rPr>
          <w:rFonts w:ascii="Bookman Old Style" w:eastAsia="Bookman Old Style" w:hAnsi="Bookman Old Style"/>
          <w:color w:val="000000"/>
          <w:spacing w:val="-2"/>
          <w:sz w:val="13"/>
          <w:vertAlign w:val="superscript"/>
          <w:lang w:val="en-US" w:eastAsia="en-US"/>
        </w:rPr>
        <w:t>1</w:t>
      </w:r>
      <w:r w:rsidRPr="00712387">
        <w:rPr>
          <w:rFonts w:ascii="Times New Roman" w:eastAsia="Times New Roman" w:hAnsi="Times New Roman"/>
          <w:color w:val="000000"/>
          <w:spacing w:val="-2"/>
          <w:sz w:val="21"/>
          <w:lang w:val="en-US" w:eastAsia="en-US"/>
        </w:rPr>
        <w:t>0J L 173, 12.6.2014, p. 84.</w:t>
      </w:r>
    </w:p>
    <w:p w:rsidR="00712387" w:rsidRPr="00712387" w:rsidRDefault="00712387" w:rsidP="00712387">
      <w:pPr>
        <w:jc w:val="left"/>
        <w:rPr>
          <w:rFonts w:ascii="Times New Roman" w:eastAsia="PMingLiU" w:hAnsi="Times New Roman"/>
          <w:lang w:val="en-US" w:eastAsia="en-US"/>
        </w:rPr>
        <w:sectPr w:rsidR="00712387" w:rsidRPr="00712387">
          <w:pgSz w:w="11909" w:h="16838"/>
          <w:pgMar w:top="500" w:right="1254" w:bottom="960" w:left="1255" w:header="720" w:footer="720" w:gutter="0"/>
          <w:cols w:space="720"/>
        </w:sectPr>
      </w:pPr>
    </w:p>
    <w:p w:rsidR="00712387" w:rsidRPr="00712387" w:rsidRDefault="00712387" w:rsidP="00712387">
      <w:pPr>
        <w:spacing w:before="1" w:after="287"/>
        <w:ind w:left="156" w:right="8356"/>
        <w:jc w:val="left"/>
        <w:textAlignment w:val="baseline"/>
        <w:rPr>
          <w:rFonts w:ascii="Times New Roman" w:eastAsia="PMingLiU" w:hAnsi="Times New Roman"/>
          <w:lang w:val="en-US" w:eastAsia="en-US"/>
        </w:rPr>
      </w:pPr>
      <w:r w:rsidRPr="00712387">
        <w:rPr>
          <w:rFonts w:ascii="Times New Roman" w:eastAsia="PMingLiU" w:hAnsi="Times New Roman"/>
          <w:noProof/>
        </w:rPr>
        <w:lastRenderedPageBreak/>
        <w:drawing>
          <wp:inline distT="0" distB="0" distL="0" distR="0" wp14:anchorId="265552F0" wp14:editId="325B97A8">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0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712387" w:rsidRPr="00712387" w:rsidRDefault="00712387" w:rsidP="00712387">
      <w:pPr>
        <w:spacing w:line="302"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6672" behindDoc="0" locked="0" layoutInCell="1" allowOverlap="1" wp14:anchorId="3DED99BB" wp14:editId="5F2F6962">
                <wp:simplePos x="0" y="0"/>
                <wp:positionH relativeFrom="page">
                  <wp:posOffset>857885</wp:posOffset>
                </wp:positionH>
                <wp:positionV relativeFrom="page">
                  <wp:posOffset>9831070</wp:posOffset>
                </wp:positionV>
                <wp:extent cx="506730" cy="342900"/>
                <wp:effectExtent l="635" t="127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67.55pt;margin-top:774.1pt;width:39.9pt;height:27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Xx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LMR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rzaQx2snwE&#10;AisJBAMuwt4DoZbqB0Y97JAU6+8HqhhGzQcBQ2AXziSoSdhNAhUFPE2xwWgUN2ZcTIdO8X0NyOOY&#10;CXkDg1JxR2I7UWMUp/GCveByOe0wu3ie/jury6Zd/wY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UA7V8bICAACx&#10;BQAADgAAAAAAAAAAAAAAAAAuAgAAZHJzL2Uyb0RvYy54bWxQSwECLQAUAAYACAAAACEAPpXU6OIA&#10;AAANAQAADwAAAAAAAAAAAAAAAAAMBQAAZHJzL2Rvd25yZXYueG1sUEsFBgAAAAAEAAQA8wAAABsG&#10;AAAAAA==&#10;" filled="f" stroked="f">
                <v:textbox inset="0,0,0,0">
                  <w:txbxContent>
                    <w:p w:rsidR="00712387" w:rsidRDefault="00712387" w:rsidP="00712387">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7696" behindDoc="0" locked="0" layoutInCell="1" allowOverlap="1" wp14:anchorId="38EAB543" wp14:editId="1F388AF5">
                <wp:simplePos x="0" y="0"/>
                <wp:positionH relativeFrom="page">
                  <wp:posOffset>3609975</wp:posOffset>
                </wp:positionH>
                <wp:positionV relativeFrom="page">
                  <wp:posOffset>9947275</wp:posOffset>
                </wp:positionV>
                <wp:extent cx="330200" cy="193040"/>
                <wp:effectExtent l="0" t="3175" r="3175" b="381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before="31" w:line="259" w:lineRule="exact"/>
                              <w:textAlignment w:val="baseline"/>
                              <w:rPr>
                                <w:rFonts w:eastAsia="Times New Roman"/>
                                <w:color w:val="000000"/>
                                <w:spacing w:val="11"/>
                                <w:sz w:val="24"/>
                              </w:rPr>
                            </w:pPr>
                            <w:r>
                              <w:rPr>
                                <w:rFonts w:eastAsia="Times New Roman"/>
                                <w:color w:val="000000"/>
                                <w:spacing w:val="11"/>
                                <w:sz w:val="24"/>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284.25pt;margin-top:783.25pt;width:26pt;height:15.2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" filled="f" stroked="f">
                <v:textbox inset="0,0,0,0">
                  <w:txbxContent>
                    <w:p w:rsidR="00712387" w:rsidRDefault="00712387" w:rsidP="00712387">
                      <w:pPr>
                        <w:spacing w:before="31" w:line="259" w:lineRule="exact"/>
                        <w:textAlignment w:val="baseline"/>
                        <w:rPr>
                          <w:rFonts w:eastAsia="Times New Roman"/>
                          <w:color w:val="000000"/>
                          <w:spacing w:val="11"/>
                          <w:sz w:val="24"/>
                        </w:rPr>
                      </w:pPr>
                      <w:r>
                        <w:rPr>
                          <w:rFonts w:eastAsia="Times New Roman"/>
                          <w:color w:val="000000"/>
                          <w:spacing w:val="11"/>
                          <w:sz w:val="24"/>
                        </w:rPr>
                        <w:t>361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8720" behindDoc="0" locked="0" layoutInCell="1" allowOverlap="1" wp14:anchorId="573794A5" wp14:editId="0A4E6E43">
                <wp:simplePos x="0" y="0"/>
                <wp:positionH relativeFrom="page">
                  <wp:posOffset>6194425</wp:posOffset>
                </wp:positionH>
                <wp:positionV relativeFrom="page">
                  <wp:posOffset>9831070</wp:posOffset>
                </wp:positionV>
                <wp:extent cx="506730" cy="342900"/>
                <wp:effectExtent l="3175" t="1270" r="4445"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487.75pt;margin-top:774.1pt;width:39.9pt;height:27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QQsg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1Jc0ELICAACx&#10;BQAADgAAAAAAAAAAAAAAAAAuAgAAZHJzL2Uyb0RvYy54bWxQSwECLQAUAAYACAAAACEA028a8eIA&#10;AAAOAQAADwAAAAAAAAAAAAAAAAAMBQAAZHJzL2Rvd25yZXYueG1sUEsFBgAAAAAEAAQA8wAAABsG&#10;AAAAAA==&#10;" filled="f" stroked="f">
                <v:textbox inset="0,0,0,0">
                  <w:txbxContent>
                    <w:p w:rsidR="00712387" w:rsidRDefault="00712387" w:rsidP="00712387">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7DE8BE87" wp14:editId="64E2381A">
                <wp:simplePos x="0" y="0"/>
                <wp:positionH relativeFrom="page">
                  <wp:posOffset>1591310</wp:posOffset>
                </wp:positionH>
                <wp:positionV relativeFrom="page">
                  <wp:posOffset>460375</wp:posOffset>
                </wp:positionV>
                <wp:extent cx="0" cy="561340"/>
                <wp:effectExtent l="10160" t="12700" r="8890"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eWyNs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712387">
        <w:rPr>
          <w:rFonts w:ascii="Times New Roman" w:eastAsia="Times New Roman" w:hAnsi="Times New Roman"/>
          <w:color w:val="000000"/>
          <w:sz w:val="24"/>
          <w:lang w:val="en-US" w:eastAsia="en-US"/>
        </w:rPr>
        <w:t>and the criteria defining the different categories of CCPs and trading venues should be made publicly available.</w:t>
      </w:r>
    </w:p>
    <w:p w:rsidR="00712387" w:rsidRPr="00712387" w:rsidRDefault="00712387" w:rsidP="004E60A4">
      <w:pPr>
        <w:numPr>
          <w:ilvl w:val="0"/>
          <w:numId w:val="28"/>
        </w:numPr>
        <w:tabs>
          <w:tab w:val="clear" w:pos="720"/>
        </w:tabs>
        <w:spacing w:before="246" w:line="304" w:lineRule="exact"/>
        <w:ind w:left="14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The way a benchmark is assessed as new or not will vary on a case by case basis. The </w:t>
      </w:r>
      <w:r w:rsidRPr="00712387">
        <w:rPr>
          <w:rFonts w:ascii="Times New Roman" w:eastAsia="Times New Roman" w:hAnsi="Times New Roman"/>
          <w:color w:val="000000"/>
          <w:sz w:val="24"/>
          <w:lang w:val="en-US" w:eastAsia="en-US"/>
        </w:rPr>
        <w:br/>
        <w:t>person with proprietary rights to a benchmark should therefore demonstrate in what way that benchmark is new, if that is invoked as the reason for denying immediate access. Each assessment of a declared new benchmark should consider a combination of various factors and their appropriate weightings and not rely on a single factor to assess whether or not the benchmark meets the criteria specified in Regulation (EU) No 600/2014.</w:t>
      </w:r>
    </w:p>
    <w:p w:rsidR="00712387" w:rsidRPr="00712387" w:rsidRDefault="00712387" w:rsidP="004E60A4">
      <w:pPr>
        <w:numPr>
          <w:ilvl w:val="0"/>
          <w:numId w:val="28"/>
        </w:numPr>
        <w:tabs>
          <w:tab w:val="clear" w:pos="720"/>
        </w:tabs>
        <w:spacing w:before="250" w:line="304" w:lineRule="exact"/>
        <w:ind w:left="14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Accordingly, although the values of two benchmarks could be highly correlated, </w:t>
      </w:r>
      <w:r w:rsidRPr="00712387">
        <w:rPr>
          <w:rFonts w:ascii="Times New Roman" w:eastAsia="Times New Roman" w:hAnsi="Times New Roman"/>
          <w:color w:val="000000"/>
          <w:sz w:val="24"/>
          <w:lang w:val="en-US" w:eastAsia="en-US"/>
        </w:rPr>
        <w:br/>
        <w:t>particularly in the short run, their compositions or methodology could be fundamentally different. The long run correlation and similarities in the composition and the methodology of each of the benchmarks should therefore be taken into account for assessing whether a benchmark is new. In addition to the factors laid down in this Regulation, a person with proprietary rights to a benchmark should also take into account additional factors that are specific to the type of benchmark concerned.) For commodity benchmarks other factors should be assessed, including whether the relevant benchmarks are based on different underlying commodities and different delivery locations.</w:t>
      </w:r>
    </w:p>
    <w:p w:rsidR="00712387" w:rsidRPr="00712387" w:rsidRDefault="00712387" w:rsidP="004E60A4">
      <w:pPr>
        <w:numPr>
          <w:ilvl w:val="0"/>
          <w:numId w:val="28"/>
        </w:numPr>
        <w:tabs>
          <w:tab w:val="clear" w:pos="720"/>
        </w:tabs>
        <w:spacing w:before="245" w:line="304" w:lineRule="exact"/>
        <w:ind w:left="14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Certain benchmarks release a new series on a periodic basis, such as credit default </w:t>
      </w:r>
      <w:r w:rsidRPr="00712387">
        <w:rPr>
          <w:rFonts w:ascii="Times New Roman" w:eastAsia="Times New Roman" w:hAnsi="Times New Roman"/>
          <w:color w:val="000000"/>
          <w:sz w:val="24"/>
          <w:lang w:val="en-US" w:eastAsia="en-US"/>
        </w:rPr>
        <w:br/>
        <w:t>swaps (CDS) benchmarks. In those cases, the newly released benchmark is a continuation of the previous series and should therefore not be considered a new benchmark.</w:t>
      </w:r>
    </w:p>
    <w:p w:rsidR="00712387" w:rsidRPr="00712387" w:rsidRDefault="00712387" w:rsidP="004E60A4">
      <w:pPr>
        <w:numPr>
          <w:ilvl w:val="0"/>
          <w:numId w:val="28"/>
        </w:numPr>
        <w:tabs>
          <w:tab w:val="clear" w:pos="720"/>
        </w:tabs>
        <w:spacing w:before="251" w:line="304" w:lineRule="exact"/>
        <w:ind w:left="14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The requirements in respect of non-discriminatory access to and obligation to licence </w:t>
      </w:r>
      <w:r w:rsidRPr="00712387">
        <w:rPr>
          <w:rFonts w:ascii="Times New Roman" w:eastAsia="Times New Roman" w:hAnsi="Times New Roman"/>
          <w:color w:val="000000"/>
          <w:sz w:val="24"/>
          <w:lang w:val="en-US" w:eastAsia="en-US"/>
        </w:rPr>
        <w:br/>
        <w:t>benchmarks set out in Regulation (EU) No 600/2014 apply from 3 January 2019. To ensure consistency and legal certainty, this Regulation should apply from the same date.</w:t>
      </w:r>
    </w:p>
    <w:p w:rsidR="00712387" w:rsidRPr="00712387" w:rsidRDefault="00712387" w:rsidP="004E60A4">
      <w:pPr>
        <w:numPr>
          <w:ilvl w:val="0"/>
          <w:numId w:val="28"/>
        </w:numPr>
        <w:tabs>
          <w:tab w:val="clear" w:pos="720"/>
        </w:tabs>
        <w:spacing w:before="245" w:line="304" w:lineRule="exact"/>
        <w:ind w:left="14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This Regulation is based on the draft regulatory technical standards submitted by the </w:t>
      </w:r>
      <w:r w:rsidRPr="00712387">
        <w:rPr>
          <w:rFonts w:ascii="Times New Roman" w:eastAsia="Times New Roman" w:hAnsi="Times New Roman"/>
          <w:color w:val="000000"/>
          <w:sz w:val="24"/>
          <w:lang w:val="en-US" w:eastAsia="en-US"/>
        </w:rPr>
        <w:br/>
        <w:t>European Securities and Markets Authority (ESMA) to the Commission.</w:t>
      </w:r>
    </w:p>
    <w:p w:rsidR="00712387" w:rsidRDefault="00712387" w:rsidP="004E60A4">
      <w:pPr>
        <w:numPr>
          <w:ilvl w:val="0"/>
          <w:numId w:val="28"/>
        </w:numPr>
        <w:tabs>
          <w:tab w:val="clear" w:pos="720"/>
        </w:tabs>
        <w:spacing w:before="249" w:after="373" w:line="304" w:lineRule="exact"/>
        <w:ind w:left="14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712387">
        <w:rPr>
          <w:rFonts w:ascii="Times New Roman" w:eastAsia="Times New Roman" w:hAnsi="Times New Roman"/>
          <w:color w:val="000000"/>
          <w:sz w:val="24"/>
          <w:vertAlign w:val="superscript"/>
          <w:lang w:val="en-US" w:eastAsia="en-US"/>
        </w:rPr>
        <w:t>2</w:t>
      </w:r>
      <w:r w:rsidRPr="00712387">
        <w:rPr>
          <w:rFonts w:ascii="Times New Roman" w:eastAsia="Times New Roman" w:hAnsi="Times New Roman"/>
          <w:color w:val="000000"/>
          <w:sz w:val="24"/>
          <w:lang w:val="en-US" w:eastAsia="en-US"/>
        </w:rPr>
        <w:t>,</w:t>
      </w:r>
    </w:p>
    <w:p w:rsidR="004E60A4" w:rsidRDefault="004E60A4" w:rsidP="004E60A4">
      <w:pPr>
        <w:spacing w:before="249" w:after="373" w:line="304" w:lineRule="exact"/>
        <w:ind w:right="144"/>
        <w:jc w:val="left"/>
        <w:textAlignment w:val="baseline"/>
        <w:rPr>
          <w:rFonts w:ascii="Times New Roman" w:eastAsia="Times New Roman" w:hAnsi="Times New Roman"/>
          <w:color w:val="000000"/>
          <w:sz w:val="24"/>
          <w:lang w:val="en-US" w:eastAsia="en-US"/>
        </w:rPr>
      </w:pPr>
    </w:p>
    <w:p w:rsidR="004E60A4" w:rsidRDefault="004E60A4" w:rsidP="004E60A4">
      <w:pPr>
        <w:spacing w:before="249" w:after="373" w:line="304" w:lineRule="exact"/>
        <w:ind w:right="144"/>
        <w:jc w:val="left"/>
        <w:textAlignment w:val="baseline"/>
        <w:rPr>
          <w:rFonts w:ascii="Times New Roman" w:eastAsia="Times New Roman" w:hAnsi="Times New Roman"/>
          <w:color w:val="000000"/>
          <w:sz w:val="24"/>
          <w:lang w:val="en-US" w:eastAsia="en-US"/>
        </w:rPr>
      </w:pPr>
    </w:p>
    <w:p w:rsidR="004E60A4" w:rsidRPr="00712387" w:rsidRDefault="004E60A4" w:rsidP="004E60A4">
      <w:pPr>
        <w:spacing w:before="249" w:after="373" w:line="304" w:lineRule="exact"/>
        <w:ind w:right="144"/>
        <w:jc w:val="left"/>
        <w:textAlignment w:val="baseline"/>
        <w:rPr>
          <w:rFonts w:ascii="Times New Roman" w:eastAsia="Times New Roman" w:hAnsi="Times New Roman"/>
          <w:color w:val="000000"/>
          <w:sz w:val="24"/>
          <w:lang w:val="en-US" w:eastAsia="en-US"/>
        </w:rPr>
      </w:pPr>
    </w:p>
    <w:p w:rsidR="00712387" w:rsidRPr="00712387" w:rsidRDefault="00712387" w:rsidP="00712387">
      <w:pPr>
        <w:spacing w:before="272" w:line="230"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s3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DdWXs3HgIAADkEAAAOAAAAAAAAAAAAAAAAAC4CAABkcnMvZTJvRG9jLnhtbFBL&#10;AQItABQABgAIAAAAIQATDMwQ3wAAAA0BAAAPAAAAAAAAAAAAAAAAAHgEAABkcnMvZG93bnJldi54&#10;bWxQSwUGAAAAAAQABADzAAAAhAUAAAAA&#10;" strokeweight=".95pt">
                <w10:wrap anchorx="page" anchory="page"/>
              </v:line>
            </w:pict>
          </mc:Fallback>
        </mc:AlternateContent>
      </w:r>
      <w:r w:rsidRPr="00712387">
        <w:rPr>
          <w:rFonts w:ascii="Times New Roman" w:eastAsia="Times New Roman" w:hAnsi="Times New Roman"/>
          <w:color w:val="000000"/>
          <w:sz w:val="13"/>
          <w:vertAlign w:val="superscript"/>
          <w:lang w:val="en-US" w:eastAsia="en-US"/>
        </w:rPr>
        <w:t>2</w:t>
      </w:r>
      <w:r w:rsidRPr="00712387">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712387" w:rsidRPr="00712387" w:rsidRDefault="00712387" w:rsidP="00712387">
      <w:pPr>
        <w:jc w:val="left"/>
        <w:rPr>
          <w:rFonts w:ascii="Times New Roman" w:eastAsia="PMingLiU" w:hAnsi="Times New Roman"/>
          <w:lang w:val="en-US" w:eastAsia="en-US"/>
        </w:rPr>
        <w:sectPr w:rsidR="00712387" w:rsidRPr="00712387">
          <w:pgSz w:w="11909" w:h="16838"/>
          <w:pgMar w:top="700" w:right="1254" w:bottom="960" w:left="1255" w:header="720" w:footer="720" w:gutter="0"/>
          <w:cols w:space="720"/>
        </w:sectPr>
      </w:pPr>
    </w:p>
    <w:p w:rsidR="004E60A4" w:rsidRDefault="004E60A4" w:rsidP="00712387">
      <w:pPr>
        <w:spacing w:before="815" w:line="273" w:lineRule="exact"/>
        <w:ind w:left="216"/>
        <w:jc w:val="left"/>
        <w:textAlignment w:val="baseline"/>
        <w:rPr>
          <w:rFonts w:ascii="Times New Roman" w:eastAsia="Times New Roman" w:hAnsi="Times New Roman"/>
          <w:b/>
          <w:color w:val="6177A8"/>
          <w:spacing w:val="-6"/>
          <w:sz w:val="21"/>
          <w:vertAlign w:val="subscript"/>
          <w:lang w:val="en-US" w:eastAsia="en-US"/>
        </w:rPr>
      </w:pPr>
    </w:p>
    <w:p w:rsidR="00712387" w:rsidRPr="00712387" w:rsidRDefault="00712387" w:rsidP="00712387">
      <w:pPr>
        <w:spacing w:before="815" w:line="273" w:lineRule="exact"/>
        <w:ind w:left="216"/>
        <w:jc w:val="left"/>
        <w:textAlignment w:val="baseline"/>
        <w:rPr>
          <w:rFonts w:ascii="Times New Roman" w:eastAsia="Times New Roman" w:hAnsi="Times New Roman"/>
          <w:color w:val="000000"/>
          <w:spacing w:val="-2"/>
          <w:sz w:val="24"/>
          <w:lang w:val="en-US" w:eastAsia="en-US"/>
        </w:rPr>
      </w:pPr>
      <w:r w:rsidRPr="00712387">
        <w:rPr>
          <w:rFonts w:ascii="Times New Roman" w:eastAsia="Times New Roman" w:hAnsi="Times New Roman"/>
          <w:color w:val="000000"/>
          <w:spacing w:val="-2"/>
          <w:sz w:val="24"/>
          <w:lang w:val="en-US" w:eastAsia="en-US"/>
        </w:rPr>
        <w:t>HAS ADOPTED THIS REGULATION:</w:t>
      </w:r>
    </w:p>
    <w:p w:rsidR="00712387" w:rsidRPr="00712387" w:rsidRDefault="00712387" w:rsidP="00712387">
      <w:pPr>
        <w:spacing w:before="711" w:line="278" w:lineRule="exact"/>
        <w:jc w:val="center"/>
        <w:textAlignment w:val="baseline"/>
        <w:rPr>
          <w:rFonts w:ascii="Times New Roman" w:eastAsia="Times New Roman" w:hAnsi="Times New Roman"/>
          <w:i/>
          <w:color w:val="000000"/>
          <w:sz w:val="24"/>
          <w:lang w:val="en-US" w:eastAsia="en-US"/>
        </w:rPr>
      </w:pPr>
      <w:r w:rsidRPr="00712387">
        <w:rPr>
          <w:rFonts w:ascii="Times New Roman" w:eastAsia="Times New Roman" w:hAnsi="Times New Roman"/>
          <w:i/>
          <w:color w:val="000000"/>
          <w:sz w:val="24"/>
          <w:lang w:val="en-US" w:eastAsia="en-US"/>
        </w:rPr>
        <w:t>Article 1</w:t>
      </w:r>
    </w:p>
    <w:p w:rsidR="00712387" w:rsidRPr="00712387" w:rsidRDefault="00712387" w:rsidP="00712387">
      <w:pPr>
        <w:spacing w:before="148" w:line="274"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Information to be made available to CCPs and trading venues</w:t>
      </w:r>
    </w:p>
    <w:p w:rsidR="00712387" w:rsidRPr="00712387" w:rsidRDefault="00712387" w:rsidP="00712387">
      <w:pPr>
        <w:spacing w:before="243" w:line="304" w:lineRule="exact"/>
        <w:ind w:left="216"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1. A person with proprietary rights to a benchmark shall, upon request, make available to central counterparties (CCPs) and trading venues the information necessary for performing their clearing or trading functions, as appropriate to the specific type of benchmark to which access is sought and to the relevant financial instrument to be traded or cleared.</w:t>
      </w:r>
    </w:p>
    <w:p w:rsidR="00712387" w:rsidRPr="00712387" w:rsidRDefault="00712387" w:rsidP="00712387">
      <w:pPr>
        <w:spacing w:before="243" w:line="307" w:lineRule="exact"/>
        <w:ind w:left="216"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2. A CCP or trading venue shall in its request explain why such information is required for clearing or trading purposes.</w:t>
      </w:r>
    </w:p>
    <w:p w:rsidR="00712387" w:rsidRPr="00712387" w:rsidRDefault="00712387" w:rsidP="00712387">
      <w:pPr>
        <w:spacing w:before="252" w:line="301" w:lineRule="exact"/>
        <w:ind w:left="216"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3. For the purposes of paragraph 1, relevant trading and clearing functions include the following:</w:t>
      </w:r>
    </w:p>
    <w:p w:rsidR="00712387" w:rsidRPr="00712387" w:rsidRDefault="00712387" w:rsidP="00712387">
      <w:pPr>
        <w:spacing w:before="287" w:line="273" w:lineRule="exact"/>
        <w:ind w:left="216"/>
        <w:jc w:val="left"/>
        <w:textAlignment w:val="baseline"/>
        <w:rPr>
          <w:rFonts w:ascii="Times New Roman" w:eastAsia="Times New Roman" w:hAnsi="Times New Roman"/>
          <w:color w:val="000000"/>
          <w:spacing w:val="2"/>
          <w:sz w:val="24"/>
          <w:lang w:val="en-US" w:eastAsia="en-US"/>
        </w:rPr>
      </w:pPr>
      <w:r w:rsidRPr="00712387">
        <w:rPr>
          <w:rFonts w:ascii="Times New Roman" w:eastAsia="Times New Roman" w:hAnsi="Times New Roman"/>
          <w:color w:val="000000"/>
          <w:spacing w:val="2"/>
          <w:sz w:val="24"/>
          <w:lang w:val="en-US" w:eastAsia="en-US"/>
        </w:rPr>
        <w:t>(a) for a trading venue:</w:t>
      </w:r>
    </w:p>
    <w:p w:rsidR="00712387" w:rsidRPr="00712387" w:rsidRDefault="00712387" w:rsidP="00712387">
      <w:pPr>
        <w:numPr>
          <w:ilvl w:val="0"/>
          <w:numId w:val="29"/>
        </w:numPr>
        <w:tabs>
          <w:tab w:val="left" w:pos="1440"/>
        </w:tabs>
        <w:spacing w:before="279" w:line="273" w:lineRule="exact"/>
        <w:ind w:left="1440"/>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initial assessment of the characteristics of the benchmark;</w:t>
      </w:r>
    </w:p>
    <w:p w:rsidR="00712387" w:rsidRPr="00712387" w:rsidRDefault="00712387" w:rsidP="00712387">
      <w:pPr>
        <w:numPr>
          <w:ilvl w:val="0"/>
          <w:numId w:val="29"/>
        </w:numPr>
        <w:tabs>
          <w:tab w:val="left" w:pos="1440"/>
        </w:tabs>
        <w:spacing w:before="276" w:line="273" w:lineRule="exact"/>
        <w:ind w:left="1440"/>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marketing of the relevant product;</w:t>
      </w:r>
    </w:p>
    <w:p w:rsidR="00712387" w:rsidRPr="00712387" w:rsidRDefault="00712387" w:rsidP="00712387">
      <w:pPr>
        <w:numPr>
          <w:ilvl w:val="0"/>
          <w:numId w:val="29"/>
        </w:numPr>
        <w:tabs>
          <w:tab w:val="left" w:pos="1440"/>
        </w:tabs>
        <w:spacing w:before="257" w:line="302" w:lineRule="exact"/>
        <w:ind w:left="1440"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support of the price formation process for the contracts admitted or being admitted to trading;</w:t>
      </w:r>
    </w:p>
    <w:p w:rsidR="00712387" w:rsidRPr="00712387" w:rsidRDefault="00712387" w:rsidP="00712387">
      <w:pPr>
        <w:numPr>
          <w:ilvl w:val="0"/>
          <w:numId w:val="29"/>
        </w:numPr>
        <w:tabs>
          <w:tab w:val="left" w:pos="1440"/>
        </w:tabs>
        <w:spacing w:before="279" w:line="273" w:lineRule="exact"/>
        <w:ind w:left="1440"/>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supporting on-going market surveillance activities;</w:t>
      </w:r>
    </w:p>
    <w:p w:rsidR="00712387" w:rsidRPr="00712387" w:rsidRDefault="00712387" w:rsidP="00712387">
      <w:pPr>
        <w:spacing w:before="834" w:line="273" w:lineRule="exact"/>
        <w:ind w:left="216"/>
        <w:jc w:val="left"/>
        <w:textAlignment w:val="baseline"/>
        <w:rPr>
          <w:rFonts w:ascii="Times New Roman" w:eastAsia="Times New Roman" w:hAnsi="Times New Roman"/>
          <w:color w:val="000000"/>
          <w:spacing w:val="8"/>
          <w:sz w:val="24"/>
          <w:lang w:val="en-US" w:eastAsia="en-US"/>
        </w:rPr>
      </w:pPr>
      <w:r w:rsidRPr="00712387">
        <w:rPr>
          <w:rFonts w:ascii="Times New Roman" w:eastAsia="Times New Roman" w:hAnsi="Times New Roman"/>
          <w:color w:val="000000"/>
          <w:spacing w:val="8"/>
          <w:sz w:val="24"/>
          <w:lang w:val="en-US" w:eastAsia="en-US"/>
        </w:rPr>
        <w:t>(b) for</w:t>
      </w:r>
      <w:r w:rsidR="004E60A4">
        <w:rPr>
          <w:rFonts w:ascii="Times New Roman" w:eastAsia="Times New Roman" w:hAnsi="Times New Roman"/>
          <w:color w:val="000000"/>
          <w:spacing w:val="8"/>
          <w:sz w:val="24"/>
          <w:lang w:val="en-US" w:eastAsia="en-US"/>
        </w:rPr>
        <w:t xml:space="preserve"> </w:t>
      </w:r>
      <w:r w:rsidRPr="00712387">
        <w:rPr>
          <w:rFonts w:ascii="Times New Roman" w:eastAsia="Times New Roman" w:hAnsi="Times New Roman"/>
          <w:color w:val="000000"/>
          <w:spacing w:val="8"/>
          <w:sz w:val="24"/>
          <w:lang w:val="en-US" w:eastAsia="en-US"/>
        </w:rPr>
        <w:t>a CCP:</w:t>
      </w:r>
    </w:p>
    <w:p w:rsidR="00712387" w:rsidRPr="00712387" w:rsidRDefault="004E60A4" w:rsidP="00712387">
      <w:pPr>
        <w:tabs>
          <w:tab w:val="right" w:pos="9216"/>
        </w:tabs>
        <w:spacing w:before="280" w:line="273" w:lineRule="exact"/>
        <w:ind w:left="792"/>
        <w:jc w:val="left"/>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(i)</w:t>
      </w:r>
      <w:r>
        <w:rPr>
          <w:rFonts w:ascii="Times New Roman" w:eastAsia="Times New Roman" w:hAnsi="Times New Roman"/>
          <w:color w:val="000000"/>
          <w:sz w:val="24"/>
          <w:lang w:val="en-US" w:eastAsia="en-US"/>
        </w:rPr>
        <w:tab/>
      </w:r>
      <w:r w:rsidR="00712387" w:rsidRPr="00712387">
        <w:rPr>
          <w:rFonts w:ascii="Times New Roman" w:eastAsia="Times New Roman" w:hAnsi="Times New Roman"/>
          <w:color w:val="000000"/>
          <w:sz w:val="24"/>
          <w:lang w:val="en-US" w:eastAsia="en-US"/>
        </w:rPr>
        <w:t>performing appropriate risk management of relevant open positions in</w:t>
      </w:r>
    </w:p>
    <w:p w:rsidR="00712387" w:rsidRPr="00712387" w:rsidRDefault="00712387" w:rsidP="00712387">
      <w:pPr>
        <w:spacing w:before="30" w:line="273" w:lineRule="exact"/>
        <w:ind w:left="158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exchange-traded derivatives, including netting;</w:t>
      </w:r>
    </w:p>
    <w:p w:rsidR="00712387" w:rsidRPr="00712387" w:rsidRDefault="00712387" w:rsidP="00712387">
      <w:pPr>
        <w:spacing w:before="285" w:line="273" w:lineRule="exact"/>
        <w:jc w:val="center"/>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(ii) meeting relevant obligations set out in Regulation (EU) No 648/2012.</w:t>
      </w:r>
    </w:p>
    <w:p w:rsidR="00712387" w:rsidRPr="00712387" w:rsidRDefault="00712387" w:rsidP="00712387">
      <w:pPr>
        <w:spacing w:before="278" w:line="273" w:lineRule="exact"/>
        <w:ind w:left="216"/>
        <w:jc w:val="left"/>
        <w:textAlignment w:val="baseline"/>
        <w:rPr>
          <w:rFonts w:ascii="Times New Roman" w:eastAsia="Times New Roman" w:hAnsi="Times New Roman"/>
          <w:color w:val="000000"/>
          <w:spacing w:val="2"/>
          <w:sz w:val="24"/>
          <w:lang w:val="en-US" w:eastAsia="en-US"/>
        </w:rPr>
      </w:pPr>
      <w:r w:rsidRPr="00712387">
        <w:rPr>
          <w:rFonts w:ascii="Times New Roman" w:eastAsia="Times New Roman" w:hAnsi="Times New Roman"/>
          <w:color w:val="000000"/>
          <w:spacing w:val="2"/>
          <w:sz w:val="24"/>
          <w:lang w:val="en-US" w:eastAsia="en-US"/>
        </w:rPr>
        <w:t>4. Relevant information in respect of price and data feeds shall at least include:</w:t>
      </w:r>
    </w:p>
    <w:p w:rsidR="00712387" w:rsidRPr="00712387" w:rsidRDefault="00712387" w:rsidP="00712387">
      <w:pPr>
        <w:numPr>
          <w:ilvl w:val="0"/>
          <w:numId w:val="30"/>
        </w:numPr>
        <w:tabs>
          <w:tab w:val="left" w:pos="792"/>
        </w:tabs>
        <w:spacing w:before="280" w:line="273" w:lineRule="exact"/>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a feed of the benchmark's values;</w:t>
      </w:r>
    </w:p>
    <w:p w:rsidR="00712387" w:rsidRPr="00712387" w:rsidRDefault="00712387" w:rsidP="00712387">
      <w:pPr>
        <w:numPr>
          <w:ilvl w:val="0"/>
          <w:numId w:val="30"/>
        </w:numPr>
        <w:tabs>
          <w:tab w:val="left" w:pos="792"/>
        </w:tabs>
        <w:spacing w:before="255" w:line="302"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prompt notification of any inaccuracy in the calculation of the benchmark's values and of the updated or corrected benchmark values;</w:t>
      </w:r>
    </w:p>
    <w:p w:rsidR="00712387" w:rsidRPr="00712387" w:rsidRDefault="00712387" w:rsidP="00712387">
      <w:pPr>
        <w:jc w:val="left"/>
        <w:rPr>
          <w:rFonts w:ascii="Times New Roman" w:eastAsia="PMingLiU" w:hAnsi="Times New Roman"/>
          <w:lang w:val="en-US" w:eastAsia="en-US"/>
        </w:rPr>
        <w:sectPr w:rsidR="00712387" w:rsidRPr="00712387">
          <w:pgSz w:w="11909" w:h="16838"/>
          <w:pgMar w:top="540" w:right="1252" w:bottom="960" w:left="1257" w:header="720" w:footer="720" w:gutter="0"/>
          <w:cols w:space="720"/>
        </w:sectPr>
      </w:pPr>
    </w:p>
    <w:p w:rsidR="00712387" w:rsidRPr="00712387" w:rsidRDefault="00712387" w:rsidP="00712387">
      <w:pPr>
        <w:spacing w:before="1" w:after="319"/>
        <w:ind w:left="147" w:right="8365"/>
        <w:jc w:val="left"/>
        <w:textAlignment w:val="baseline"/>
        <w:rPr>
          <w:rFonts w:ascii="Times New Roman" w:eastAsia="PMingLiU" w:hAnsi="Times New Roman"/>
          <w:lang w:val="en-US" w:eastAsia="en-US"/>
        </w:rPr>
      </w:pPr>
      <w:r w:rsidRPr="00712387">
        <w:rPr>
          <w:rFonts w:ascii="Times New Roman" w:eastAsia="PMingLiU" w:hAnsi="Times New Roman"/>
          <w:noProof/>
        </w:rPr>
        <w:lastRenderedPageBreak/>
        <w:drawing>
          <wp:inline distT="0" distB="0" distL="0" distR="0" wp14:anchorId="068C561E" wp14:editId="50D0649C">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0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712387" w:rsidRPr="00712387" w:rsidRDefault="00712387" w:rsidP="00712387">
      <w:pPr>
        <w:spacing w:line="283" w:lineRule="exact"/>
        <w:ind w:left="720" w:right="144" w:hanging="432"/>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2816" behindDoc="0" locked="0" layoutInCell="1" allowOverlap="1">
                <wp:simplePos x="0" y="0"/>
                <wp:positionH relativeFrom="page">
                  <wp:posOffset>802640</wp:posOffset>
                </wp:positionH>
                <wp:positionV relativeFrom="page">
                  <wp:posOffset>9831070</wp:posOffset>
                </wp:positionV>
                <wp:extent cx="561975" cy="342900"/>
                <wp:effectExtent l="2540" t="127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ind w:left="72"/>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63.2pt;margin-top:774.1pt;width:44.25pt;height:2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Bsw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" filled="f" stroked="f">
                <v:textbox inset="0,0,0,0">
                  <w:txbxContent>
                    <w:p w:rsidR="00712387" w:rsidRDefault="00712387" w:rsidP="00712387">
                      <w:pPr>
                        <w:spacing w:line="530" w:lineRule="exact"/>
                        <w:ind w:left="72"/>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3840" behindDoc="0" locked="0" layoutInCell="1" allowOverlap="1">
                <wp:simplePos x="0" y="0"/>
                <wp:positionH relativeFrom="page">
                  <wp:posOffset>3609975</wp:posOffset>
                </wp:positionH>
                <wp:positionV relativeFrom="page">
                  <wp:posOffset>9968230</wp:posOffset>
                </wp:positionV>
                <wp:extent cx="335915" cy="171450"/>
                <wp:effectExtent l="0" t="0" r="0" b="444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257" w:lineRule="exact"/>
                              <w:textAlignment w:val="baseline"/>
                              <w:rPr>
                                <w:rFonts w:eastAsia="Times New Roman"/>
                                <w:color w:val="000000"/>
                                <w:spacing w:val="13"/>
                                <w:sz w:val="24"/>
                              </w:rPr>
                            </w:pPr>
                            <w:r>
                              <w:rPr>
                                <w:rFonts w:eastAsia="Times New Roman"/>
                                <w:color w:val="000000"/>
                                <w:spacing w:val="13"/>
                                <w:sz w:val="24"/>
                              </w:rPr>
                              <w:t>363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284.25pt;margin-top:784.9pt;width:26.45pt;height:13.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" filled="f" stroked="f">
                <v:textbox inset="0,0,0,0">
                  <w:txbxContent>
                    <w:p w:rsidR="00712387" w:rsidRDefault="00712387" w:rsidP="00712387">
                      <w:pPr>
                        <w:spacing w:line="257" w:lineRule="exact"/>
                        <w:textAlignment w:val="baseline"/>
                        <w:rPr>
                          <w:rFonts w:eastAsia="Times New Roman"/>
                          <w:color w:val="000000"/>
                          <w:spacing w:val="13"/>
                          <w:sz w:val="24"/>
                        </w:rPr>
                      </w:pPr>
                      <w:r>
                        <w:rPr>
                          <w:rFonts w:eastAsia="Times New Roman"/>
                          <w:color w:val="000000"/>
                          <w:spacing w:val="13"/>
                          <w:sz w:val="24"/>
                        </w:rPr>
                        <w:t>363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486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487.75pt;margin-top:774.1pt;width:39.9pt;height:27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j52MebICAACy&#10;BQAADgAAAAAAAAAAAAAAAAAuAgAAZHJzL2Uyb0RvYy54bWxQSwECLQAUAAYACAAAACEA028a8eIA&#10;AAAOAQAADwAAAAAAAAAAAAAAAAAMBQAAZHJzL2Rvd25yZXYueG1sUEsFBgAAAAAEAAQA8wAAABsG&#10;AAAAAA==&#10;" filled="f" stroked="f">
                <v:textbox inset="0,0,0,0">
                  <w:txbxContent>
                    <w:p w:rsidR="00712387" w:rsidRDefault="00712387" w:rsidP="00712387">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&#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Ardwlc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712387">
        <w:rPr>
          <w:rFonts w:ascii="Times New Roman" w:eastAsia="Times New Roman" w:hAnsi="Times New Roman"/>
          <w:color w:val="000000"/>
          <w:sz w:val="24"/>
          <w:lang w:val="en-US" w:eastAsia="en-US"/>
        </w:rPr>
        <w:t>(c) historical benchmark values where the person with proprietary rights to the benchmark maintains such information.</w:t>
      </w:r>
    </w:p>
    <w:p w:rsidR="00712387" w:rsidRPr="00712387" w:rsidRDefault="00712387" w:rsidP="00712387">
      <w:pPr>
        <w:spacing w:before="252" w:line="304"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5. In respect of composition, methodology and pricing, the information provided shall allow CCPs and trading venues to understand how each benchmark value is created, and the actual methodology used to make the benchmark's values. Relevant information in respect of composition, methodology and pricing shall at least include:</w:t>
      </w:r>
    </w:p>
    <w:p w:rsidR="00712387" w:rsidRPr="00712387" w:rsidRDefault="00712387" w:rsidP="00712387">
      <w:pPr>
        <w:numPr>
          <w:ilvl w:val="0"/>
          <w:numId w:val="31"/>
        </w:numPr>
        <w:tabs>
          <w:tab w:val="left" w:pos="720"/>
        </w:tabs>
        <w:spacing w:before="280" w:line="272" w:lineRule="exact"/>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definitions for all key terms used in relation to the benchmark;</w:t>
      </w:r>
    </w:p>
    <w:p w:rsidR="00712387" w:rsidRPr="00712387" w:rsidRDefault="00712387" w:rsidP="00712387">
      <w:pPr>
        <w:numPr>
          <w:ilvl w:val="0"/>
          <w:numId w:val="31"/>
        </w:numPr>
        <w:tabs>
          <w:tab w:val="left" w:pos="720"/>
        </w:tabs>
        <w:spacing w:before="257" w:line="301"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rationale for adopting a methodology and procedures for the review and approval of the methodology;</w:t>
      </w:r>
    </w:p>
    <w:p w:rsidR="00712387" w:rsidRPr="00712387" w:rsidRDefault="00712387" w:rsidP="00712387">
      <w:pPr>
        <w:numPr>
          <w:ilvl w:val="0"/>
          <w:numId w:val="31"/>
        </w:numPr>
        <w:tabs>
          <w:tab w:val="left" w:pos="720"/>
        </w:tabs>
        <w:spacing w:before="250" w:line="303"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criteria and procedures used to determine the benchmark, including a description of the input data, the priority given to different types of input data, the use of any models or methods of extrapolation and any procedure for rebalancing the constituents of a benchmark;</w:t>
      </w:r>
    </w:p>
    <w:p w:rsidR="00712387" w:rsidRPr="00712387" w:rsidRDefault="00712387" w:rsidP="00712387">
      <w:pPr>
        <w:numPr>
          <w:ilvl w:val="0"/>
          <w:numId w:val="31"/>
        </w:numPr>
        <w:tabs>
          <w:tab w:val="left" w:pos="720"/>
        </w:tabs>
        <w:spacing w:before="248" w:line="307"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controls and rules that govern any exercise of discretion or judgement, to ensure consistency in the use of such discretion or judgment;</w:t>
      </w:r>
    </w:p>
    <w:p w:rsidR="00712387" w:rsidRPr="00712387" w:rsidRDefault="00712387" w:rsidP="00712387">
      <w:pPr>
        <w:numPr>
          <w:ilvl w:val="0"/>
          <w:numId w:val="31"/>
        </w:numPr>
        <w:tabs>
          <w:tab w:val="left" w:pos="720"/>
        </w:tabs>
        <w:spacing w:before="249" w:line="304"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procedures which govern benchmark determination in periods of stress, or periods where transaction-data sources may be insufficient, inaccurate or unreliable and the potential limitations of the benchmark in such periods;</w:t>
      </w:r>
    </w:p>
    <w:p w:rsidR="00712387" w:rsidRPr="00712387" w:rsidRDefault="00712387" w:rsidP="00712387">
      <w:pPr>
        <w:numPr>
          <w:ilvl w:val="0"/>
          <w:numId w:val="31"/>
        </w:numPr>
        <w:tabs>
          <w:tab w:val="left" w:pos="720"/>
        </w:tabs>
        <w:spacing w:before="284" w:line="272" w:lineRule="exact"/>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hours during which the benchmark is calculated;</w:t>
      </w:r>
    </w:p>
    <w:p w:rsidR="00712387" w:rsidRPr="00712387" w:rsidRDefault="00712387" w:rsidP="00712387">
      <w:pPr>
        <w:numPr>
          <w:ilvl w:val="0"/>
          <w:numId w:val="31"/>
        </w:numPr>
        <w:tabs>
          <w:tab w:val="left" w:pos="720"/>
        </w:tabs>
        <w:spacing w:before="246" w:line="305"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procedures which govern the benchmark's rebalancing methodology and the resulting weightings of the constituents of the benchmark;</w:t>
      </w:r>
    </w:p>
    <w:p w:rsidR="00712387" w:rsidRPr="00712387" w:rsidRDefault="00712387" w:rsidP="00712387">
      <w:pPr>
        <w:numPr>
          <w:ilvl w:val="0"/>
          <w:numId w:val="31"/>
        </w:numPr>
        <w:tabs>
          <w:tab w:val="left" w:pos="720"/>
        </w:tabs>
        <w:spacing w:before="253" w:line="300"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procedures for dealing with errors in input data, or the benchmark determination, including when a re-determination of the benchmark may be required;</w:t>
      </w:r>
    </w:p>
    <w:p w:rsidR="00712387" w:rsidRPr="00712387" w:rsidRDefault="00712387" w:rsidP="00712387">
      <w:pPr>
        <w:numPr>
          <w:ilvl w:val="0"/>
          <w:numId w:val="31"/>
        </w:numPr>
        <w:tabs>
          <w:tab w:val="left" w:pos="720"/>
        </w:tabs>
        <w:spacing w:before="248" w:line="305"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information regarding the frequency for any internal reviews and approvals of the composition and methodology and, where applicable, information regarding the procedures and frequency for external review of the composition and methodology.</w:t>
      </w:r>
    </w:p>
    <w:p w:rsidR="00712387" w:rsidRPr="00712387" w:rsidRDefault="00712387" w:rsidP="00712387">
      <w:pPr>
        <w:spacing w:before="703" w:line="278" w:lineRule="exact"/>
        <w:jc w:val="center"/>
        <w:textAlignment w:val="baseline"/>
        <w:rPr>
          <w:rFonts w:ascii="Times New Roman" w:eastAsia="Times New Roman" w:hAnsi="Times New Roman"/>
          <w:i/>
          <w:color w:val="000000"/>
          <w:spacing w:val="1"/>
          <w:sz w:val="24"/>
          <w:lang w:val="en-US" w:eastAsia="en-US"/>
        </w:rPr>
      </w:pPr>
      <w:r w:rsidRPr="00712387">
        <w:rPr>
          <w:rFonts w:ascii="Times New Roman" w:eastAsia="Times New Roman" w:hAnsi="Times New Roman"/>
          <w:i/>
          <w:color w:val="000000"/>
          <w:spacing w:val="1"/>
          <w:sz w:val="24"/>
          <w:lang w:val="en-US" w:eastAsia="en-US"/>
        </w:rPr>
        <w:t>Article 2</w:t>
      </w:r>
    </w:p>
    <w:p w:rsidR="00712387" w:rsidRPr="00712387" w:rsidRDefault="00712387" w:rsidP="00712387">
      <w:pPr>
        <w:spacing w:before="122" w:line="304"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 xml:space="preserve">General conditions for the information through licensing to be made available to CCPs </w:t>
      </w:r>
      <w:r w:rsidRPr="00712387">
        <w:rPr>
          <w:rFonts w:ascii="Times New Roman" w:eastAsia="Times New Roman" w:hAnsi="Times New Roman"/>
          <w:b/>
          <w:color w:val="000000"/>
          <w:sz w:val="24"/>
          <w:lang w:val="en-US" w:eastAsia="en-US"/>
        </w:rPr>
        <w:br/>
        <w:t>and trading venues</w:t>
      </w:r>
    </w:p>
    <w:p w:rsidR="00712387" w:rsidRPr="00712387" w:rsidRDefault="00712387" w:rsidP="00712387">
      <w:pPr>
        <w:spacing w:before="237" w:line="306"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1. A person with proprietary rights to a benchmark shall make available all relevant information referred to in Article 1 requested by CCPs and trading venues through licensing without undue delay, either on a one-off basis, including amendments to previously supplied</w:t>
      </w:r>
    </w:p>
    <w:p w:rsidR="00712387" w:rsidRPr="00712387" w:rsidRDefault="00712387" w:rsidP="00712387">
      <w:pPr>
        <w:jc w:val="left"/>
        <w:rPr>
          <w:rFonts w:ascii="Times New Roman" w:eastAsia="PMingLiU" w:hAnsi="Times New Roman"/>
          <w:lang w:val="en-US" w:eastAsia="en-US"/>
        </w:rPr>
        <w:sectPr w:rsidR="00712387" w:rsidRPr="00712387">
          <w:pgSz w:w="11909" w:h="16838"/>
          <w:pgMar w:top="700" w:right="1245" w:bottom="960" w:left="1264" w:header="720" w:footer="720" w:gutter="0"/>
          <w:cols w:space="720"/>
        </w:sectPr>
      </w:pPr>
    </w:p>
    <w:p w:rsidR="004E60A4" w:rsidRDefault="004E60A4" w:rsidP="00712387">
      <w:pPr>
        <w:spacing w:before="289" w:line="304" w:lineRule="exact"/>
        <w:ind w:left="144" w:right="144"/>
        <w:textAlignment w:val="baseline"/>
        <w:rPr>
          <w:rFonts w:ascii="Times New Roman" w:eastAsia="Times New Roman" w:hAnsi="Times New Roman"/>
          <w:color w:val="000000"/>
          <w:sz w:val="24"/>
          <w:lang w:val="en-US" w:eastAsia="en-US"/>
        </w:rPr>
      </w:pPr>
    </w:p>
    <w:p w:rsidR="004E60A4" w:rsidRDefault="004E60A4" w:rsidP="00712387">
      <w:pPr>
        <w:spacing w:before="289" w:line="304" w:lineRule="exact"/>
        <w:ind w:left="144" w:right="144"/>
        <w:textAlignment w:val="baseline"/>
        <w:rPr>
          <w:rFonts w:ascii="Times New Roman" w:eastAsia="Times New Roman" w:hAnsi="Times New Roman"/>
          <w:color w:val="000000"/>
          <w:sz w:val="24"/>
          <w:lang w:val="en-US" w:eastAsia="en-US"/>
        </w:rPr>
      </w:pPr>
    </w:p>
    <w:p w:rsidR="00712387" w:rsidRPr="00712387" w:rsidRDefault="00712387" w:rsidP="00712387">
      <w:pPr>
        <w:spacing w:before="289" w:line="304"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information, or on a continuous or periodic basis, depending on the type of information concerned.</w:t>
      </w:r>
    </w:p>
    <w:p w:rsidR="00712387" w:rsidRPr="00712387" w:rsidRDefault="00712387" w:rsidP="00712387">
      <w:pPr>
        <w:numPr>
          <w:ilvl w:val="0"/>
          <w:numId w:val="32"/>
        </w:numPr>
        <w:tabs>
          <w:tab w:val="left" w:pos="648"/>
        </w:tabs>
        <w:spacing w:before="247" w:line="305"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person with proprietary rights to a benchmark shall provide all relevant information to all CCPs and trading venues through licensing on the same timescales and under the same conditions, unless different conditions can be objectively justified.</w:t>
      </w:r>
    </w:p>
    <w:p w:rsidR="00712387" w:rsidRPr="00712387" w:rsidRDefault="00712387" w:rsidP="00712387">
      <w:pPr>
        <w:numPr>
          <w:ilvl w:val="0"/>
          <w:numId w:val="32"/>
        </w:numPr>
        <w:tabs>
          <w:tab w:val="left" w:pos="648"/>
        </w:tabs>
        <w:spacing w:before="251" w:line="302"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If, and for as long as, a person with proprietary rights to a benchmark can demonstrate that certain information is available publicly or through other commercial means to CCPs and trading venues, provided such information is reliable and timely, it need not supply that information through licensing.</w:t>
      </w:r>
    </w:p>
    <w:p w:rsidR="00712387" w:rsidRPr="00712387" w:rsidRDefault="00712387" w:rsidP="00712387">
      <w:pPr>
        <w:spacing w:before="710" w:line="278" w:lineRule="exact"/>
        <w:jc w:val="center"/>
        <w:textAlignment w:val="baseline"/>
        <w:rPr>
          <w:rFonts w:ascii="Times New Roman" w:eastAsia="Times New Roman" w:hAnsi="Times New Roman"/>
          <w:i/>
          <w:color w:val="000000"/>
          <w:sz w:val="24"/>
          <w:lang w:val="en-US" w:eastAsia="en-US"/>
        </w:rPr>
      </w:pPr>
      <w:r w:rsidRPr="00712387">
        <w:rPr>
          <w:rFonts w:ascii="Times New Roman" w:eastAsia="Times New Roman" w:hAnsi="Times New Roman"/>
          <w:i/>
          <w:color w:val="000000"/>
          <w:sz w:val="24"/>
          <w:lang w:val="en-US" w:eastAsia="en-US"/>
        </w:rPr>
        <w:t>Article 3</w:t>
      </w:r>
    </w:p>
    <w:p w:rsidR="00712387" w:rsidRPr="00712387" w:rsidRDefault="00712387" w:rsidP="00712387">
      <w:pPr>
        <w:spacing w:before="145" w:line="274"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Differentiation and non-discrimination</w:t>
      </w:r>
    </w:p>
    <w:p w:rsidR="00712387" w:rsidRPr="00712387" w:rsidRDefault="00712387" w:rsidP="00712387">
      <w:pPr>
        <w:numPr>
          <w:ilvl w:val="0"/>
          <w:numId w:val="33"/>
        </w:numPr>
        <w:tabs>
          <w:tab w:val="left" w:pos="648"/>
        </w:tabs>
        <w:spacing w:before="249" w:line="303"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Where a person with proprietary rights to a benchmark sets, in accordance with Article 37(1) of Regulation (EU) No 600/2014, different conditions, including fees and the conditions for paying them, those conditions shall apply in a manner specific to each category of licensees.</w:t>
      </w:r>
    </w:p>
    <w:p w:rsidR="00712387" w:rsidRPr="00712387" w:rsidRDefault="00712387" w:rsidP="00712387">
      <w:pPr>
        <w:numPr>
          <w:ilvl w:val="0"/>
          <w:numId w:val="33"/>
        </w:numPr>
        <w:tabs>
          <w:tab w:val="left" w:pos="648"/>
        </w:tabs>
        <w:spacing w:before="248" w:line="306"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person with proprietary rights to a benchmark shall set the same rights and obligations for the licensees within the same category.</w:t>
      </w:r>
    </w:p>
    <w:p w:rsidR="00712387" w:rsidRPr="00712387" w:rsidRDefault="00712387" w:rsidP="00712387">
      <w:pPr>
        <w:numPr>
          <w:ilvl w:val="0"/>
          <w:numId w:val="33"/>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person with proprietary rights to a benchmark shall make the criteria defining the different categories of licensees publicly available.</w:t>
      </w:r>
    </w:p>
    <w:p w:rsidR="00712387" w:rsidRPr="00712387" w:rsidRDefault="00712387" w:rsidP="00712387">
      <w:pPr>
        <w:numPr>
          <w:ilvl w:val="0"/>
          <w:numId w:val="33"/>
        </w:numPr>
        <w:tabs>
          <w:tab w:val="left" w:pos="648"/>
        </w:tabs>
        <w:spacing w:before="246" w:line="305"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person with proprietary rights to a benchmark shall, on request, provide to any CCP or trading venue for free the conditions applying to the category to which that CCP or trading venue belongs.</w:t>
      </w:r>
    </w:p>
    <w:p w:rsidR="00712387" w:rsidRPr="00712387" w:rsidRDefault="00712387" w:rsidP="00712387">
      <w:pPr>
        <w:numPr>
          <w:ilvl w:val="0"/>
          <w:numId w:val="33"/>
        </w:numPr>
        <w:tabs>
          <w:tab w:val="left" w:pos="648"/>
        </w:tabs>
        <w:spacing w:before="247" w:line="305" w:lineRule="exact"/>
        <w:ind w:left="144"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person with proprietary rights to a benchmark shall make available to all licensees within the same category any additions or modifications to the conditions for licensing agreements agreed with a licensee within that category under the same conditions.</w:t>
      </w:r>
    </w:p>
    <w:p w:rsidR="00712387" w:rsidRPr="00712387" w:rsidRDefault="00712387" w:rsidP="00712387">
      <w:pPr>
        <w:spacing w:before="700" w:line="278" w:lineRule="exact"/>
        <w:jc w:val="center"/>
        <w:textAlignment w:val="baseline"/>
        <w:rPr>
          <w:rFonts w:ascii="Times New Roman" w:eastAsia="Times New Roman" w:hAnsi="Times New Roman"/>
          <w:i/>
          <w:color w:val="000000"/>
          <w:spacing w:val="1"/>
          <w:sz w:val="24"/>
          <w:lang w:val="en-US" w:eastAsia="en-US"/>
        </w:rPr>
      </w:pPr>
      <w:r w:rsidRPr="00712387">
        <w:rPr>
          <w:rFonts w:ascii="Times New Roman" w:eastAsia="Times New Roman" w:hAnsi="Times New Roman"/>
          <w:i/>
          <w:color w:val="000000"/>
          <w:spacing w:val="1"/>
          <w:sz w:val="24"/>
          <w:lang w:val="en-US" w:eastAsia="en-US"/>
        </w:rPr>
        <w:t>Article 4</w:t>
      </w:r>
    </w:p>
    <w:p w:rsidR="00712387" w:rsidRPr="00712387" w:rsidRDefault="00712387" w:rsidP="00712387">
      <w:pPr>
        <w:spacing w:before="155" w:line="274"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Other conditions under which access is granted</w:t>
      </w:r>
    </w:p>
    <w:p w:rsidR="00712387" w:rsidRPr="00712387" w:rsidRDefault="00712387" w:rsidP="00712387">
      <w:pPr>
        <w:spacing w:before="247" w:line="301"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1. A person with proprietary rights to a benchmark shall set the conditions for licensing agreements and make them available to CCPs and trading venues upon request free of charge. The conditions shall include the following:</w:t>
      </w:r>
    </w:p>
    <w:p w:rsidR="00712387" w:rsidRPr="00712387" w:rsidRDefault="00712387" w:rsidP="00712387">
      <w:pPr>
        <w:spacing w:before="256" w:line="301" w:lineRule="exact"/>
        <w:ind w:left="648" w:right="144" w:hanging="360"/>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the scope of use and content of information for each use under the licensing agreements, clearly identifying in each case confidential information;</w:t>
      </w:r>
    </w:p>
    <w:p w:rsidR="00712387" w:rsidRPr="00712387" w:rsidRDefault="00712387" w:rsidP="00712387">
      <w:pPr>
        <w:jc w:val="left"/>
        <w:rPr>
          <w:rFonts w:ascii="Times New Roman" w:eastAsia="PMingLiU" w:hAnsi="Times New Roman"/>
          <w:lang w:val="en-US" w:eastAsia="en-US"/>
        </w:rPr>
        <w:sectPr w:rsidR="00712387" w:rsidRPr="00712387">
          <w:pgSz w:w="11909" w:h="16838"/>
          <w:pgMar w:top="540" w:right="1245" w:bottom="960" w:left="1264" w:header="720" w:footer="720" w:gutter="0"/>
          <w:cols w:space="720"/>
        </w:sectPr>
      </w:pPr>
    </w:p>
    <w:p w:rsidR="004E60A4" w:rsidRDefault="004E60A4" w:rsidP="00712387">
      <w:pPr>
        <w:spacing w:before="267" w:line="273" w:lineRule="exact"/>
        <w:ind w:left="288"/>
        <w:jc w:val="left"/>
        <w:textAlignment w:val="baseline"/>
        <w:rPr>
          <w:rFonts w:ascii="Times New Roman" w:eastAsia="Times New Roman" w:hAnsi="Times New Roman"/>
          <w:color w:val="000000"/>
          <w:sz w:val="24"/>
          <w:lang w:val="en-US" w:eastAsia="en-US"/>
        </w:rPr>
      </w:pPr>
    </w:p>
    <w:p w:rsidR="004E60A4" w:rsidRDefault="004E60A4" w:rsidP="00712387">
      <w:pPr>
        <w:spacing w:before="267" w:line="273" w:lineRule="exact"/>
        <w:ind w:left="288"/>
        <w:jc w:val="left"/>
        <w:textAlignment w:val="baseline"/>
        <w:rPr>
          <w:rFonts w:ascii="Times New Roman" w:eastAsia="Times New Roman" w:hAnsi="Times New Roman"/>
          <w:color w:val="000000"/>
          <w:sz w:val="24"/>
          <w:lang w:val="en-US" w:eastAsia="en-US"/>
        </w:rPr>
      </w:pPr>
    </w:p>
    <w:p w:rsidR="00712387" w:rsidRPr="00712387" w:rsidRDefault="004E60A4" w:rsidP="00712387">
      <w:pPr>
        <w:spacing w:before="267" w:line="273" w:lineRule="exact"/>
        <w:ind w:left="288"/>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 xml:space="preserve"> </w:t>
      </w:r>
      <w:r w:rsidR="00712387" w:rsidRPr="00712387">
        <w:rPr>
          <w:rFonts w:ascii="Times New Roman" w:eastAsia="Times New Roman" w:hAnsi="Times New Roman"/>
          <w:color w:val="000000"/>
          <w:sz w:val="24"/>
          <w:lang w:val="en-US" w:eastAsia="en-US"/>
        </w:rPr>
        <w:t>(b) the conditions for redistribution, if allowed, of information by CCPs and trading venues;</w:t>
      </w:r>
    </w:p>
    <w:p w:rsidR="00712387" w:rsidRPr="00712387" w:rsidRDefault="00712387" w:rsidP="00712387">
      <w:pPr>
        <w:spacing w:before="280" w:line="273" w:lineRule="exact"/>
        <w:ind w:left="288"/>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(c) the technical requirements for the delivery of the service;</w:t>
      </w:r>
    </w:p>
    <w:p w:rsidR="00712387" w:rsidRPr="00712387" w:rsidRDefault="00712387" w:rsidP="00712387">
      <w:pPr>
        <w:spacing w:before="281" w:line="273" w:lineRule="exact"/>
        <w:ind w:left="288"/>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(d) the fees and the conditions for paying them;</w:t>
      </w:r>
    </w:p>
    <w:p w:rsidR="00712387" w:rsidRPr="00712387" w:rsidRDefault="00712387" w:rsidP="00712387">
      <w:pPr>
        <w:spacing w:before="251" w:line="303" w:lineRule="exact"/>
        <w:ind w:left="792" w:right="144" w:hanging="50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(e) the conditions under which the agreement expires taking into consideration the lifespan of financial instruments that reference the benchmark;</w:t>
      </w:r>
    </w:p>
    <w:p w:rsidR="00712387" w:rsidRPr="00712387" w:rsidRDefault="00712387" w:rsidP="00712387">
      <w:pPr>
        <w:spacing w:before="252" w:line="302" w:lineRule="exact"/>
        <w:ind w:left="792" w:right="144" w:hanging="576"/>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(f) the contingency circumstances and the relevant measures to regulate the continuation, transitional periods and interruption of the service during this contingency period, which:</w:t>
      </w:r>
    </w:p>
    <w:p w:rsidR="00712387" w:rsidRPr="00712387" w:rsidRDefault="00712387" w:rsidP="00712387">
      <w:pPr>
        <w:numPr>
          <w:ilvl w:val="0"/>
          <w:numId w:val="34"/>
        </w:numPr>
        <w:tabs>
          <w:tab w:val="left" w:pos="1440"/>
        </w:tabs>
        <w:spacing w:before="283" w:line="273" w:lineRule="exact"/>
        <w:ind w:left="1440"/>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cater for termination in an orderly manner;</w:t>
      </w:r>
    </w:p>
    <w:p w:rsidR="00712387" w:rsidRPr="00712387" w:rsidRDefault="00712387" w:rsidP="00712387">
      <w:pPr>
        <w:numPr>
          <w:ilvl w:val="0"/>
          <w:numId w:val="34"/>
        </w:numPr>
        <w:tabs>
          <w:tab w:val="left" w:pos="1440"/>
        </w:tabs>
        <w:spacing w:before="253" w:line="302" w:lineRule="exact"/>
        <w:ind w:left="1440"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ensure that termination is not triggered by minor breaches of the contract and that the relevant party is given a reasonable amount of time to remedy any breach that does not give rise to immediate termination.</w:t>
      </w:r>
    </w:p>
    <w:p w:rsidR="00712387" w:rsidRPr="00712387" w:rsidRDefault="00712387" w:rsidP="00712387">
      <w:pPr>
        <w:spacing w:before="280" w:line="273" w:lineRule="exact"/>
        <w:ind w:left="288"/>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(g) the governing law and allocation of liabilities.</w:t>
      </w:r>
    </w:p>
    <w:p w:rsidR="00712387" w:rsidRPr="00712387" w:rsidRDefault="00712387" w:rsidP="00712387">
      <w:pPr>
        <w:spacing w:before="255" w:line="302" w:lineRule="exact"/>
        <w:ind w:left="216"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2. The licensing agreement shall require that a person with proprietary rights to a benchmark, CCPs and trading venues put in place adequate policies, procedures and systems to ensure the following:</w:t>
      </w:r>
    </w:p>
    <w:p w:rsidR="00712387" w:rsidRPr="00712387" w:rsidRDefault="00712387" w:rsidP="00712387">
      <w:pPr>
        <w:numPr>
          <w:ilvl w:val="0"/>
          <w:numId w:val="35"/>
        </w:numPr>
        <w:tabs>
          <w:tab w:val="clear" w:pos="360"/>
          <w:tab w:val="left" w:pos="720"/>
        </w:tabs>
        <w:spacing w:before="284" w:line="273" w:lineRule="exact"/>
        <w:ind w:left="792"/>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implementation of the service without undue delay according to a prearranged schedule;</w:t>
      </w:r>
    </w:p>
    <w:p w:rsidR="00712387" w:rsidRPr="00712387" w:rsidRDefault="00712387" w:rsidP="00712387">
      <w:pPr>
        <w:numPr>
          <w:ilvl w:val="0"/>
          <w:numId w:val="35"/>
        </w:numPr>
        <w:tabs>
          <w:tab w:val="clear" w:pos="360"/>
          <w:tab w:val="left" w:pos="720"/>
        </w:tabs>
        <w:spacing w:before="253" w:line="301" w:lineRule="exact"/>
        <w:ind w:left="79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keeping up to date all information provided by the parties throughout the duration of the access arrangement, including information that could have a reputational impact;</w:t>
      </w:r>
    </w:p>
    <w:p w:rsidR="00712387" w:rsidRPr="00712387" w:rsidRDefault="00712387" w:rsidP="00712387">
      <w:pPr>
        <w:numPr>
          <w:ilvl w:val="0"/>
          <w:numId w:val="35"/>
        </w:numPr>
        <w:tabs>
          <w:tab w:val="clear" w:pos="360"/>
          <w:tab w:val="left" w:pos="720"/>
        </w:tabs>
        <w:spacing w:before="248" w:line="305" w:lineRule="exact"/>
        <w:ind w:left="79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a communication channel between the parties that is timely, reliable and secure during the lifetime of the licence agreement;</w:t>
      </w:r>
    </w:p>
    <w:p w:rsidR="00712387" w:rsidRPr="00712387" w:rsidRDefault="00712387" w:rsidP="00712387">
      <w:pPr>
        <w:numPr>
          <w:ilvl w:val="0"/>
          <w:numId w:val="35"/>
        </w:numPr>
        <w:tabs>
          <w:tab w:val="clear" w:pos="360"/>
          <w:tab w:val="left" w:pos="720"/>
        </w:tabs>
        <w:spacing w:before="251" w:line="303" w:lineRule="exact"/>
        <w:ind w:left="79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consultation where any change to either entity's operations is likely to have a material impact on the licence agreement or on the risks to which the other entity is exposed and notification within a reasonable notice period before any change to either entity's operation is implemented;</w:t>
      </w:r>
    </w:p>
    <w:p w:rsidR="00712387" w:rsidRPr="00712387" w:rsidRDefault="00712387" w:rsidP="00712387">
      <w:pPr>
        <w:numPr>
          <w:ilvl w:val="0"/>
          <w:numId w:val="35"/>
        </w:numPr>
        <w:tabs>
          <w:tab w:val="clear" w:pos="360"/>
          <w:tab w:val="left" w:pos="720"/>
        </w:tabs>
        <w:spacing w:before="251" w:line="303" w:lineRule="exact"/>
        <w:ind w:left="79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provision of information and the relevant instructions to transmit and use it through the technical means agreed;</w:t>
      </w:r>
    </w:p>
    <w:p w:rsidR="00712387" w:rsidRPr="00712387" w:rsidRDefault="00712387" w:rsidP="00712387">
      <w:pPr>
        <w:numPr>
          <w:ilvl w:val="0"/>
          <w:numId w:val="35"/>
        </w:numPr>
        <w:tabs>
          <w:tab w:val="clear" w:pos="360"/>
          <w:tab w:val="left" w:pos="720"/>
        </w:tabs>
        <w:spacing w:before="259" w:line="301" w:lineRule="exact"/>
        <w:ind w:left="79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the provision of up-to-date information to persons with proprietary rights to a benchmark regarding the redistribution, if allowed, of information to clearing members of CCPs and members or participants of trading venues;</w:t>
      </w:r>
    </w:p>
    <w:p w:rsidR="00712387" w:rsidRPr="00712387" w:rsidRDefault="00712387" w:rsidP="00712387">
      <w:pPr>
        <w:numPr>
          <w:ilvl w:val="0"/>
          <w:numId w:val="35"/>
        </w:numPr>
        <w:tabs>
          <w:tab w:val="clear" w:pos="360"/>
          <w:tab w:val="left" w:pos="720"/>
        </w:tabs>
        <w:spacing w:before="245" w:line="307" w:lineRule="exact"/>
        <w:ind w:left="792"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lastRenderedPageBreak/>
        <w:t>resolution of disputes and termination of the agreement occurs in an orderly manner according to the identified circumstances.</w:t>
      </w:r>
    </w:p>
    <w:p w:rsidR="004E60A4" w:rsidRDefault="00712387" w:rsidP="00712387">
      <w:pPr>
        <w:spacing w:before="14" w:line="255" w:lineRule="exact"/>
        <w:ind w:left="288"/>
        <w:jc w:val="left"/>
        <w:textAlignment w:val="baseline"/>
        <w:rPr>
          <w:rFonts w:ascii="Times New Roman" w:eastAsia="PMingLiU" w:hAnsi="Times New Roman"/>
          <w:noProof/>
        </w:rPr>
      </w:pPr>
      <w:r>
        <w:rPr>
          <w:rFonts w:ascii="Times New Roman" w:eastAsia="PMingLiU" w:hAnsi="Times New Roman"/>
          <w:noProof/>
        </w:rPr>
        <mc:AlternateContent>
          <mc:Choice Requires="wps">
            <w:drawing>
              <wp:anchor distT="0" distB="0" distL="0" distR="0" simplePos="0" relativeHeight="251692032" behindDoc="0" locked="0" layoutInCell="1" allowOverlap="1" wp14:anchorId="43F75F84" wp14:editId="04181968">
                <wp:simplePos x="0" y="0"/>
                <wp:positionH relativeFrom="page">
                  <wp:posOffset>801370</wp:posOffset>
                </wp:positionH>
                <wp:positionV relativeFrom="page">
                  <wp:posOffset>9831070</wp:posOffset>
                </wp:positionV>
                <wp:extent cx="563245" cy="342900"/>
                <wp:effectExtent l="1270" t="127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ind w:left="72"/>
                              <w:textAlignment w:val="baseline"/>
                              <w:rPr>
                                <w:rFonts w:ascii="Arial" w:eastAsia="Arial" w:hAnsi="Arial"/>
                                <w:b/>
                                <w:color w:val="000000"/>
                                <w:spacing w:val="8"/>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63.1pt;margin-top:774.1pt;width:44.35pt;height:27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" filled="f" stroked="f">
                <v:textbox inset="0,0,0,0">
                  <w:txbxContent>
                    <w:p w:rsidR="00712387" w:rsidRDefault="00712387" w:rsidP="00712387">
                      <w:pPr>
                        <w:spacing w:line="530" w:lineRule="exact"/>
                        <w:ind w:left="72"/>
                        <w:textAlignment w:val="baseline"/>
                        <w:rPr>
                          <w:rFonts w:ascii="Arial" w:eastAsia="Arial" w:hAnsi="Arial"/>
                          <w:b/>
                          <w:color w:val="000000"/>
                          <w:spacing w:val="8"/>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3056" behindDoc="0" locked="0" layoutInCell="1" allowOverlap="1" wp14:anchorId="2B936514" wp14:editId="50996FE1">
                <wp:simplePos x="0" y="0"/>
                <wp:positionH relativeFrom="page">
                  <wp:posOffset>3609975</wp:posOffset>
                </wp:positionH>
                <wp:positionV relativeFrom="page">
                  <wp:posOffset>9968230</wp:posOffset>
                </wp:positionV>
                <wp:extent cx="345440" cy="172085"/>
                <wp:effectExtent l="0" t="0"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257" w:lineRule="exact"/>
                              <w:textAlignment w:val="baseline"/>
                              <w:rPr>
                                <w:rFonts w:eastAsia="Times New Roman"/>
                                <w:color w:val="000000"/>
                                <w:spacing w:val="17"/>
                                <w:sz w:val="24"/>
                              </w:rPr>
                            </w:pPr>
                            <w:r>
                              <w:rPr>
                                <w:rFonts w:eastAsia="Times New Roman"/>
                                <w:color w:val="000000"/>
                                <w:spacing w:val="17"/>
                                <w:sz w:val="24"/>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left:0;text-align:left;margin-left:284.25pt;margin-top:784.9pt;width:27.2pt;height:13.5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qLsA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" filled="f" stroked="f">
                <v:textbox inset="0,0,0,0">
                  <w:txbxContent>
                    <w:p w:rsidR="00712387" w:rsidRDefault="00712387" w:rsidP="00712387">
                      <w:pPr>
                        <w:spacing w:line="257" w:lineRule="exact"/>
                        <w:textAlignment w:val="baseline"/>
                        <w:rPr>
                          <w:rFonts w:eastAsia="Times New Roman"/>
                          <w:color w:val="000000"/>
                          <w:spacing w:val="17"/>
                          <w:sz w:val="24"/>
                        </w:rPr>
                      </w:pPr>
                      <w:r>
                        <w:rPr>
                          <w:rFonts w:eastAsia="Times New Roman"/>
                          <w:color w:val="000000"/>
                          <w:spacing w:val="17"/>
                          <w:sz w:val="24"/>
                        </w:rPr>
                        <w:t>366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4080" behindDoc="0" locked="0" layoutInCell="1" allowOverlap="1" wp14:anchorId="2965ECBF" wp14:editId="46382557">
                <wp:simplePos x="0" y="0"/>
                <wp:positionH relativeFrom="page">
                  <wp:posOffset>6194425</wp:posOffset>
                </wp:positionH>
                <wp:positionV relativeFrom="page">
                  <wp:posOffset>9831070</wp:posOffset>
                </wp:positionV>
                <wp:extent cx="506730" cy="342900"/>
                <wp:effectExtent l="3175" t="1270" r="444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387" w:rsidRDefault="00712387" w:rsidP="00712387">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487.75pt;margin-top:774.1pt;width:39.9pt;height:27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a5sQIAALA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Ds7na5sQIAALAF&#10;AAAOAAAAAAAAAAAAAAAAAC4CAABkcnMvZTJvRG9jLnhtbFBLAQItABQABgAIAAAAIQDTbxrx4gAA&#10;AA4BAAAPAAAAAAAAAAAAAAAAAAsFAABkcnMvZG93bnJldi54bWxQSwUGAAAAAAQABADzAAAAGgYA&#10;AAAA&#10;" filled="f" stroked="f">
                <v:textbox inset="0,0,0,0">
                  <w:txbxContent>
                    <w:p w:rsidR="00712387" w:rsidRDefault="00712387" w:rsidP="00712387">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p>
    <w:p w:rsidR="00712387" w:rsidRPr="00712387" w:rsidRDefault="00712387" w:rsidP="00712387">
      <w:pPr>
        <w:spacing w:before="689" w:line="278" w:lineRule="exact"/>
        <w:jc w:val="center"/>
        <w:textAlignment w:val="baseline"/>
        <w:rPr>
          <w:rFonts w:ascii="Times New Roman" w:eastAsia="Times New Roman" w:hAnsi="Times New Roman"/>
          <w:i/>
          <w:color w:val="000000"/>
          <w:spacing w:val="1"/>
          <w:sz w:val="24"/>
          <w:lang w:val="en-US" w:eastAsia="en-US"/>
        </w:rPr>
      </w:pPr>
      <w:r w:rsidRPr="00712387">
        <w:rPr>
          <w:rFonts w:ascii="Times New Roman" w:eastAsia="Times New Roman" w:hAnsi="Times New Roman"/>
          <w:i/>
          <w:color w:val="000000"/>
          <w:spacing w:val="1"/>
          <w:sz w:val="24"/>
          <w:lang w:val="en-US" w:eastAsia="en-US"/>
        </w:rPr>
        <w:t>Article 5</w:t>
      </w:r>
    </w:p>
    <w:p w:rsidR="00712387" w:rsidRPr="00712387" w:rsidRDefault="00712387" w:rsidP="00712387">
      <w:pPr>
        <w:spacing w:before="150" w:line="274"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Standards guiding how a benchmark may be proven to be new</w:t>
      </w:r>
    </w:p>
    <w:p w:rsidR="00712387" w:rsidRPr="00712387" w:rsidRDefault="00712387" w:rsidP="00712387">
      <w:pPr>
        <w:spacing w:before="249" w:line="302"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1. When establishing whether a new benchmark meets the cumulative criteria in accordance with paragraphs 2(a) and (b) of Article 37 of Regulation (EU) No 600/2014, a person with proprietary rights to a benchmark shall take the following standards into account</w:t>
      </w:r>
    </w:p>
    <w:p w:rsidR="00712387" w:rsidRPr="00712387" w:rsidRDefault="00712387" w:rsidP="00712387">
      <w:pPr>
        <w:numPr>
          <w:ilvl w:val="0"/>
          <w:numId w:val="36"/>
        </w:numPr>
        <w:tabs>
          <w:tab w:val="left" w:pos="720"/>
        </w:tabs>
        <w:spacing w:before="248" w:line="305"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contracts based on the more recent benchmark are not capable of being netted nor substantially offset with contracts based on the relevant existing benchmark by a CCP;</w:t>
      </w:r>
    </w:p>
    <w:p w:rsidR="00712387" w:rsidRPr="00712387" w:rsidRDefault="00712387" w:rsidP="00712387">
      <w:pPr>
        <w:numPr>
          <w:ilvl w:val="0"/>
          <w:numId w:val="36"/>
        </w:numPr>
        <w:tabs>
          <w:tab w:val="left" w:pos="720"/>
        </w:tabs>
        <w:spacing w:before="249" w:line="303"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the regions and industry sectors covered by the relevant benchmarks are not the same, nor similar;</w:t>
      </w:r>
    </w:p>
    <w:p w:rsidR="00712387" w:rsidRPr="00712387" w:rsidRDefault="00712387" w:rsidP="00712387">
      <w:pPr>
        <w:numPr>
          <w:ilvl w:val="0"/>
          <w:numId w:val="36"/>
        </w:numPr>
        <w:tabs>
          <w:tab w:val="left" w:pos="720"/>
        </w:tabs>
        <w:spacing w:before="282" w:line="273" w:lineRule="exact"/>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the values of the relevant benchmarks are not highly correlated;</w:t>
      </w:r>
    </w:p>
    <w:p w:rsidR="00712387" w:rsidRPr="00712387" w:rsidRDefault="00712387" w:rsidP="00712387">
      <w:pPr>
        <w:numPr>
          <w:ilvl w:val="0"/>
          <w:numId w:val="36"/>
        </w:numPr>
        <w:tabs>
          <w:tab w:val="left" w:pos="720"/>
        </w:tabs>
        <w:spacing w:before="252" w:line="302" w:lineRule="exact"/>
        <w:ind w:righ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composition of the relevant benchmarks, having regard to the number of constituents, the actual constituents, their values and their weightings are not the same, nor similar;</w:t>
      </w:r>
    </w:p>
    <w:p w:rsidR="00712387" w:rsidRPr="00712387" w:rsidRDefault="00712387" w:rsidP="00712387">
      <w:pPr>
        <w:numPr>
          <w:ilvl w:val="0"/>
          <w:numId w:val="36"/>
        </w:numPr>
        <w:tabs>
          <w:tab w:val="left" w:pos="720"/>
        </w:tabs>
        <w:spacing w:before="281" w:line="273" w:lineRule="exact"/>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the methodologies of each relevant benchmark are not the same, nor similar.</w:t>
      </w:r>
    </w:p>
    <w:p w:rsidR="00712387" w:rsidRPr="00712387" w:rsidRDefault="00712387" w:rsidP="00712387">
      <w:pPr>
        <w:spacing w:before="242" w:line="310"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2. For commodity benchmarks the following additional standards shall also be taken into account:</w:t>
      </w:r>
    </w:p>
    <w:p w:rsidR="00712387" w:rsidRPr="00712387" w:rsidRDefault="00712387" w:rsidP="00712387">
      <w:pPr>
        <w:numPr>
          <w:ilvl w:val="0"/>
          <w:numId w:val="37"/>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the relevant benchmarks are not based on the same underlying commodities;</w:t>
      </w:r>
    </w:p>
    <w:p w:rsidR="00712387" w:rsidRPr="00712387" w:rsidRDefault="00712387" w:rsidP="00712387">
      <w:pPr>
        <w:numPr>
          <w:ilvl w:val="0"/>
          <w:numId w:val="37"/>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whether the delivery locations of the underlying commodities are not the same.</w:t>
      </w:r>
    </w:p>
    <w:p w:rsidR="00712387" w:rsidRPr="00712387" w:rsidRDefault="00712387" w:rsidP="00712387">
      <w:pPr>
        <w:spacing w:before="255" w:line="302"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3. In addition to the standards specified in paragraph 1 and 2, a person with proprietary rights to a benchmark shall also take into account other standards specific to the types of benchmarks being assessed, as appropriate.</w:t>
      </w:r>
    </w:p>
    <w:p w:rsidR="00712387" w:rsidRPr="00712387" w:rsidRDefault="00712387" w:rsidP="00712387">
      <w:pPr>
        <w:spacing w:before="279" w:line="273" w:lineRule="exact"/>
        <w:ind w:left="144"/>
        <w:jc w:val="left"/>
        <w:textAlignment w:val="baseline"/>
        <w:rPr>
          <w:rFonts w:ascii="Times New Roman" w:eastAsia="Times New Roman" w:hAnsi="Times New Roman"/>
          <w:color w:val="000000"/>
          <w:spacing w:val="1"/>
          <w:sz w:val="24"/>
          <w:lang w:val="en-US" w:eastAsia="en-US"/>
        </w:rPr>
      </w:pPr>
      <w:r w:rsidRPr="00712387">
        <w:rPr>
          <w:rFonts w:ascii="Times New Roman" w:eastAsia="Times New Roman" w:hAnsi="Times New Roman"/>
          <w:color w:val="000000"/>
          <w:spacing w:val="1"/>
          <w:sz w:val="24"/>
          <w:lang w:val="en-US" w:eastAsia="en-US"/>
        </w:rPr>
        <w:t>4. A newly released series of a benchmark shall not constitute a new benchmark.</w:t>
      </w:r>
    </w:p>
    <w:p w:rsidR="00712387" w:rsidRPr="00712387" w:rsidRDefault="00712387" w:rsidP="00712387">
      <w:pPr>
        <w:spacing w:before="705" w:line="278" w:lineRule="exact"/>
        <w:jc w:val="center"/>
        <w:textAlignment w:val="baseline"/>
        <w:rPr>
          <w:rFonts w:ascii="Times New Roman" w:eastAsia="Times New Roman" w:hAnsi="Times New Roman"/>
          <w:i/>
          <w:color w:val="000000"/>
          <w:spacing w:val="2"/>
          <w:sz w:val="24"/>
          <w:lang w:val="en-US" w:eastAsia="en-US"/>
        </w:rPr>
      </w:pPr>
      <w:r w:rsidRPr="00712387">
        <w:rPr>
          <w:rFonts w:ascii="Times New Roman" w:eastAsia="Times New Roman" w:hAnsi="Times New Roman"/>
          <w:i/>
          <w:color w:val="000000"/>
          <w:spacing w:val="2"/>
          <w:sz w:val="24"/>
          <w:lang w:val="en-US" w:eastAsia="en-US"/>
        </w:rPr>
        <w:t>Article 6</w:t>
      </w:r>
    </w:p>
    <w:p w:rsidR="00712387" w:rsidRPr="00712387" w:rsidRDefault="00712387" w:rsidP="00712387">
      <w:pPr>
        <w:spacing w:before="148" w:line="274" w:lineRule="exact"/>
        <w:jc w:val="center"/>
        <w:textAlignment w:val="baseline"/>
        <w:rPr>
          <w:rFonts w:ascii="Times New Roman" w:eastAsia="Times New Roman" w:hAnsi="Times New Roman"/>
          <w:b/>
          <w:color w:val="000000"/>
          <w:sz w:val="24"/>
          <w:lang w:val="en-US" w:eastAsia="en-US"/>
        </w:rPr>
      </w:pPr>
      <w:r w:rsidRPr="00712387">
        <w:rPr>
          <w:rFonts w:ascii="Times New Roman" w:eastAsia="Times New Roman" w:hAnsi="Times New Roman"/>
          <w:b/>
          <w:color w:val="000000"/>
          <w:sz w:val="24"/>
          <w:lang w:val="en-US" w:eastAsia="en-US"/>
        </w:rPr>
        <w:t>Entry into force and application</w:t>
      </w:r>
    </w:p>
    <w:p w:rsidR="00712387" w:rsidRPr="00712387" w:rsidRDefault="00712387" w:rsidP="00712387">
      <w:pPr>
        <w:spacing w:before="250" w:line="302" w:lineRule="exact"/>
        <w:ind w:left="144" w:right="144"/>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712387" w:rsidRPr="00712387" w:rsidRDefault="00712387" w:rsidP="00712387">
      <w:pPr>
        <w:spacing w:before="277" w:line="273" w:lineRule="exact"/>
        <w:ind w:left="144"/>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It shall apply from 3 January 2019.</w:t>
      </w:r>
    </w:p>
    <w:p w:rsidR="00712387" w:rsidRPr="00712387" w:rsidRDefault="00712387" w:rsidP="00712387">
      <w:pPr>
        <w:jc w:val="left"/>
        <w:rPr>
          <w:rFonts w:ascii="Times New Roman" w:eastAsia="PMingLiU" w:hAnsi="Times New Roman"/>
          <w:lang w:val="en-US" w:eastAsia="en-US"/>
        </w:rPr>
        <w:sectPr w:rsidR="00712387" w:rsidRPr="00712387">
          <w:pgSz w:w="11909" w:h="16838"/>
          <w:pgMar w:top="540" w:right="1247" w:bottom="960" w:left="1262" w:header="720" w:footer="720" w:gutter="0"/>
          <w:cols w:space="720"/>
        </w:sectPr>
      </w:pPr>
    </w:p>
    <w:p w:rsidR="004E60A4" w:rsidRDefault="004E60A4" w:rsidP="00712387">
      <w:pPr>
        <w:spacing w:before="671" w:line="424" w:lineRule="exact"/>
        <w:ind w:left="288" w:right="288"/>
        <w:jc w:val="left"/>
        <w:textAlignment w:val="baseline"/>
        <w:rPr>
          <w:rFonts w:ascii="Times New Roman" w:eastAsia="Times New Roman" w:hAnsi="Times New Roman"/>
          <w:color w:val="000000"/>
          <w:sz w:val="24"/>
          <w:lang w:val="en-US" w:eastAsia="en-US"/>
        </w:rPr>
      </w:pPr>
    </w:p>
    <w:p w:rsidR="00712387" w:rsidRPr="00712387" w:rsidRDefault="00712387" w:rsidP="00712387">
      <w:pPr>
        <w:spacing w:before="671" w:line="424" w:lineRule="exact"/>
        <w:ind w:left="288" w:right="288"/>
        <w:jc w:val="left"/>
        <w:textAlignment w:val="baseline"/>
        <w:rPr>
          <w:rFonts w:ascii="Times New Roman" w:eastAsia="Times New Roman" w:hAnsi="Times New Roman"/>
          <w:color w:val="000000"/>
          <w:sz w:val="24"/>
          <w:lang w:val="en-US" w:eastAsia="en-US"/>
        </w:rPr>
      </w:pPr>
      <w:r w:rsidRPr="00712387">
        <w:rPr>
          <w:rFonts w:ascii="Times New Roman" w:eastAsia="Times New Roman" w:hAnsi="Times New Roman"/>
          <w:color w:val="000000"/>
          <w:sz w:val="24"/>
          <w:lang w:val="en-US" w:eastAsia="en-US"/>
        </w:rPr>
        <w:t>This Regulation shall be binding in its entirety and directly applicable in all Member States. Done at Brussels,</w:t>
      </w:r>
    </w:p>
    <w:p w:rsidR="00712387" w:rsidRPr="00712387" w:rsidRDefault="00712387" w:rsidP="00712387">
      <w:pPr>
        <w:spacing w:before="720" w:line="272" w:lineRule="exact"/>
        <w:ind w:left="4536" w:right="2880"/>
        <w:jc w:val="left"/>
        <w:textAlignment w:val="baseline"/>
        <w:rPr>
          <w:rFonts w:ascii="Times New Roman" w:eastAsia="Times New Roman" w:hAnsi="Times New Roman"/>
          <w:i/>
          <w:color w:val="000000"/>
          <w:sz w:val="24"/>
          <w:lang w:val="en-US" w:eastAsia="en-US"/>
        </w:rPr>
      </w:pPr>
      <w:r w:rsidRPr="00712387">
        <w:rPr>
          <w:rFonts w:ascii="Times New Roman" w:eastAsia="Times New Roman" w:hAnsi="Times New Roman"/>
          <w:i/>
          <w:color w:val="000000"/>
          <w:sz w:val="24"/>
          <w:lang w:val="en-US" w:eastAsia="en-US"/>
        </w:rPr>
        <w:t>For the Commission The President</w:t>
      </w:r>
    </w:p>
    <w:p w:rsidR="00712387" w:rsidRPr="00712387" w:rsidRDefault="00712387" w:rsidP="00712387">
      <w:pPr>
        <w:spacing w:before="1003" w:line="271" w:lineRule="exact"/>
        <w:ind w:left="4536"/>
        <w:jc w:val="left"/>
        <w:textAlignment w:val="baseline"/>
        <w:rPr>
          <w:rFonts w:ascii="Times New Roman" w:eastAsia="Times New Roman" w:hAnsi="Times New Roman"/>
          <w:i/>
          <w:color w:val="000000"/>
          <w:sz w:val="24"/>
          <w:lang w:val="en-US" w:eastAsia="en-US"/>
        </w:rPr>
      </w:pPr>
      <w:r w:rsidRPr="00712387">
        <w:rPr>
          <w:rFonts w:ascii="Times New Roman" w:eastAsia="Times New Roman" w:hAnsi="Times New Roman"/>
          <w:i/>
          <w:color w:val="000000"/>
          <w:sz w:val="24"/>
          <w:lang w:val="en-US" w:eastAsia="en-US"/>
        </w:rPr>
        <w:t>[For the Commission</w:t>
      </w:r>
    </w:p>
    <w:p w:rsidR="00712387" w:rsidRPr="00712387" w:rsidRDefault="00712387" w:rsidP="00712387">
      <w:pPr>
        <w:spacing w:before="3" w:line="271" w:lineRule="exact"/>
        <w:ind w:left="4536"/>
        <w:jc w:val="left"/>
        <w:textAlignment w:val="baseline"/>
        <w:rPr>
          <w:rFonts w:ascii="Times New Roman" w:eastAsia="Times New Roman" w:hAnsi="Times New Roman"/>
          <w:i/>
          <w:color w:val="000000"/>
          <w:sz w:val="24"/>
          <w:lang w:val="en-US" w:eastAsia="en-US"/>
        </w:rPr>
      </w:pPr>
      <w:r w:rsidRPr="00712387">
        <w:rPr>
          <w:rFonts w:ascii="Times New Roman" w:eastAsia="Times New Roman" w:hAnsi="Times New Roman"/>
          <w:i/>
          <w:color w:val="000000"/>
          <w:sz w:val="24"/>
          <w:lang w:val="en-US" w:eastAsia="en-US"/>
        </w:rPr>
        <w:t>On behalf of the President</w:t>
      </w:r>
    </w:p>
    <w:p w:rsidR="00712387" w:rsidRPr="00712387" w:rsidRDefault="00712387" w:rsidP="00712387">
      <w:pPr>
        <w:spacing w:before="280" w:line="271" w:lineRule="exact"/>
        <w:ind w:left="4536"/>
        <w:jc w:val="left"/>
        <w:textAlignment w:val="baseline"/>
        <w:rPr>
          <w:rFonts w:ascii="Times New Roman" w:eastAsia="Times New Roman" w:hAnsi="Times New Roman"/>
          <w:i/>
          <w:color w:val="000000"/>
          <w:sz w:val="24"/>
          <w:lang w:val="en-US" w:eastAsia="en-US"/>
        </w:rPr>
      </w:pPr>
      <w:r w:rsidRPr="00712387">
        <w:rPr>
          <w:rFonts w:ascii="Times New Roman" w:eastAsia="Times New Roman" w:hAnsi="Times New Roman"/>
          <w:i/>
          <w:color w:val="000000"/>
          <w:sz w:val="24"/>
          <w:lang w:val="en-US" w:eastAsia="en-US"/>
        </w:rPr>
        <w:t>[Position]</w:t>
      </w:r>
    </w:p>
    <w:p w:rsidR="00903624" w:rsidRPr="00732881" w:rsidRDefault="00903624" w:rsidP="00614675">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B9" w:rsidRDefault="004361B9" w:rsidP="002145F3">
      <w:r>
        <w:separator/>
      </w:r>
    </w:p>
  </w:endnote>
  <w:endnote w:type="continuationSeparator" w:id="0">
    <w:p w:rsidR="004361B9" w:rsidRDefault="004361B9"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3A" w:rsidRDefault="00912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B671CB"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L_LIVE_EMEA1:29431626v1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B671CB">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L_LIVE_EMEA1:29431626v1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B9" w:rsidRDefault="004361B9" w:rsidP="002145F3">
      <w:r>
        <w:separator/>
      </w:r>
    </w:p>
  </w:footnote>
  <w:footnote w:type="continuationSeparator" w:id="0">
    <w:p w:rsidR="004361B9" w:rsidRDefault="004361B9"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3A" w:rsidRDefault="00912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3A" w:rsidRDefault="00912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3A" w:rsidRDefault="00912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0F833861"/>
    <w:multiLevelType w:val="multilevel"/>
    <w:tmpl w:val="2F622EA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7B12583"/>
    <w:multiLevelType w:val="multilevel"/>
    <w:tmpl w:val="AA5C2CA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EC4CCA"/>
    <w:multiLevelType w:val="multilevel"/>
    <w:tmpl w:val="677EC2A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0223241"/>
    <w:multiLevelType w:val="multilevel"/>
    <w:tmpl w:val="2AC8C03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D5649B"/>
    <w:multiLevelType w:val="multilevel"/>
    <w:tmpl w:val="E7229E7C"/>
    <w:numStyleLink w:val="ExhibitNumbering"/>
  </w:abstractNum>
  <w:abstractNum w:abstractNumId="19">
    <w:nsid w:val="34281940"/>
    <w:multiLevelType w:val="multilevel"/>
    <w:tmpl w:val="71CADD9C"/>
    <w:numStyleLink w:val="AppendixNumbering"/>
  </w:abstractNum>
  <w:abstractNum w:abstractNumId="20">
    <w:nsid w:val="34932057"/>
    <w:multiLevelType w:val="multilevel"/>
    <w:tmpl w:val="B638264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5E0BB2"/>
    <w:multiLevelType w:val="multilevel"/>
    <w:tmpl w:val="54D02D98"/>
    <w:numStyleLink w:val="PartNumbering"/>
  </w:abstractNum>
  <w:abstractNum w:abstractNumId="22">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185586C"/>
    <w:multiLevelType w:val="multilevel"/>
    <w:tmpl w:val="E7229E7C"/>
    <w:numStyleLink w:val="ExhibitNumbering"/>
  </w:abstractNum>
  <w:abstractNum w:abstractNumId="25">
    <w:nsid w:val="4400737D"/>
    <w:multiLevelType w:val="multilevel"/>
    <w:tmpl w:val="C8D6362C"/>
    <w:numStyleLink w:val="ListHeadings"/>
  </w:abstractNum>
  <w:abstractNum w:abstractNumId="26">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AE30AB0"/>
    <w:multiLevelType w:val="multilevel"/>
    <w:tmpl w:val="407658B6"/>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95365E"/>
    <w:multiLevelType w:val="multilevel"/>
    <w:tmpl w:val="DA50AC0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623B48"/>
    <w:multiLevelType w:val="multilevel"/>
    <w:tmpl w:val="D39ED0F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515E23"/>
    <w:multiLevelType w:val="multilevel"/>
    <w:tmpl w:val="39E805F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B05228"/>
    <w:multiLevelType w:val="multilevel"/>
    <w:tmpl w:val="0EF66FA6"/>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E29CB"/>
    <w:multiLevelType w:val="multilevel"/>
    <w:tmpl w:val="06E2487A"/>
    <w:numStyleLink w:val="ScheduleNumbering"/>
  </w:abstractNum>
  <w:abstractNum w:abstractNumId="33">
    <w:nsid w:val="6DC023DB"/>
    <w:multiLevelType w:val="multilevel"/>
    <w:tmpl w:val="54D02D98"/>
    <w:numStyleLink w:val="PartNumbering"/>
  </w:abstractNum>
  <w:abstractNum w:abstractNumId="34">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5">
    <w:nsid w:val="7A15520D"/>
    <w:multiLevelType w:val="multilevel"/>
    <w:tmpl w:val="FBE42566"/>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618A8"/>
    <w:multiLevelType w:val="multilevel"/>
    <w:tmpl w:val="1130A0CA"/>
    <w:numStyleLink w:val="SectionNumbering"/>
  </w:abstractNum>
  <w:num w:numId="1">
    <w:abstractNumId w:val="26"/>
  </w:num>
  <w:num w:numId="2">
    <w:abstractNumId w:val="12"/>
  </w:num>
  <w:num w:numId="3">
    <w:abstractNumId w:val="16"/>
  </w:num>
  <w:num w:numId="4">
    <w:abstractNumId w:val="14"/>
  </w:num>
  <w:num w:numId="5">
    <w:abstractNumId w:val="22"/>
  </w:num>
  <w:num w:numId="6">
    <w:abstractNumId w:val="10"/>
  </w:num>
  <w:num w:numId="7">
    <w:abstractNumId w:val="24"/>
  </w:num>
  <w:num w:numId="8">
    <w:abstractNumId w:val="25"/>
  </w:num>
  <w:num w:numId="9">
    <w:abstractNumId w:val="33"/>
  </w:num>
  <w:num w:numId="10">
    <w:abstractNumId w:val="3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8"/>
  </w:num>
  <w:num w:numId="23">
    <w:abstractNumId w:val="21"/>
  </w:num>
  <w:num w:numId="24">
    <w:abstractNumId w:val="23"/>
  </w:num>
  <w:num w:numId="25">
    <w:abstractNumId w:val="36"/>
  </w:num>
  <w:num w:numId="26">
    <w:abstractNumId w:val="36"/>
  </w:num>
  <w:num w:numId="27">
    <w:abstractNumId w:val="11"/>
  </w:num>
  <w:num w:numId="28">
    <w:abstractNumId w:val="27"/>
  </w:num>
  <w:num w:numId="29">
    <w:abstractNumId w:val="28"/>
  </w:num>
  <w:num w:numId="30">
    <w:abstractNumId w:val="35"/>
  </w:num>
  <w:num w:numId="31">
    <w:abstractNumId w:val="13"/>
  </w:num>
  <w:num w:numId="32">
    <w:abstractNumId w:val="31"/>
  </w:num>
  <w:num w:numId="33">
    <w:abstractNumId w:val="30"/>
  </w:num>
  <w:num w:numId="34">
    <w:abstractNumId w:val="15"/>
  </w:num>
  <w:num w:numId="35">
    <w:abstractNumId w:val="17"/>
  </w:num>
  <w:num w:numId="36">
    <w:abstractNumId w:val="20"/>
  </w:num>
  <w:num w:numId="37">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361B9"/>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361B9"/>
    <w:rsid w:val="00455A1A"/>
    <w:rsid w:val="00457E41"/>
    <w:rsid w:val="00465953"/>
    <w:rsid w:val="004928A1"/>
    <w:rsid w:val="00493ADC"/>
    <w:rsid w:val="004A360E"/>
    <w:rsid w:val="004D760D"/>
    <w:rsid w:val="004D78CD"/>
    <w:rsid w:val="004E3F51"/>
    <w:rsid w:val="004E60A4"/>
    <w:rsid w:val="0050793D"/>
    <w:rsid w:val="00566B4A"/>
    <w:rsid w:val="00600524"/>
    <w:rsid w:val="00614675"/>
    <w:rsid w:val="006330D1"/>
    <w:rsid w:val="00665A99"/>
    <w:rsid w:val="006D01F6"/>
    <w:rsid w:val="006E4E77"/>
    <w:rsid w:val="006F1132"/>
    <w:rsid w:val="00703EDF"/>
    <w:rsid w:val="00712387"/>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12C3A"/>
    <w:rsid w:val="00923465"/>
    <w:rsid w:val="009D4EB0"/>
    <w:rsid w:val="009F102B"/>
    <w:rsid w:val="00A74E44"/>
    <w:rsid w:val="00A87ADC"/>
    <w:rsid w:val="00B00EC2"/>
    <w:rsid w:val="00B04590"/>
    <w:rsid w:val="00B147B4"/>
    <w:rsid w:val="00B25E0D"/>
    <w:rsid w:val="00B31F8B"/>
    <w:rsid w:val="00B53B05"/>
    <w:rsid w:val="00B671CB"/>
    <w:rsid w:val="00BD3C85"/>
    <w:rsid w:val="00C31756"/>
    <w:rsid w:val="00C45AC9"/>
    <w:rsid w:val="00CD2DD3"/>
    <w:rsid w:val="00D10B49"/>
    <w:rsid w:val="00D2677F"/>
    <w:rsid w:val="00D60D03"/>
    <w:rsid w:val="00D8197C"/>
    <w:rsid w:val="00D87CAA"/>
    <w:rsid w:val="00DE4ACA"/>
    <w:rsid w:val="00E147B9"/>
    <w:rsid w:val="00E23D22"/>
    <w:rsid w:val="00E26229"/>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DB95-F2DA-44F9-B432-BEF7B34C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9</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7</cp:revision>
  <dcterms:created xsi:type="dcterms:W3CDTF">2015-11-16T13:10:00Z</dcterms:created>
  <dcterms:modified xsi:type="dcterms:W3CDTF">2015-11-19T15:32:00Z</dcterms:modified>
</cp:coreProperties>
</file>