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8DE6B" w14:textId="5244D9F8" w:rsidR="00146F1B" w:rsidRPr="0079796A" w:rsidRDefault="00146F1B" w:rsidP="00146F1B">
      <w:pPr>
        <w:pStyle w:val="Heading1"/>
      </w:pPr>
      <w:r>
        <w:t>Good and poor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9"/>
        <w:gridCol w:w="3950"/>
        <w:gridCol w:w="4072"/>
        <w:gridCol w:w="3747"/>
      </w:tblGrid>
      <w:tr w:rsidR="000E3DC5" w14:paraId="1ED69813" w14:textId="0CFA2737" w:rsidTr="00DD1027">
        <w:trPr>
          <w:tblHeader/>
        </w:trPr>
        <w:tc>
          <w:tcPr>
            <w:tcW w:w="2179" w:type="dxa"/>
          </w:tcPr>
          <w:p w14:paraId="5A143FB1" w14:textId="77777777" w:rsidR="000E3DC5" w:rsidRPr="00146F1B" w:rsidRDefault="000E3DC5" w:rsidP="00DD1027">
            <w:pPr>
              <w:spacing w:before="60" w:after="60"/>
            </w:pPr>
          </w:p>
        </w:tc>
        <w:tc>
          <w:tcPr>
            <w:tcW w:w="3950" w:type="dxa"/>
          </w:tcPr>
          <w:p w14:paraId="55DC57BE" w14:textId="264FF5B0" w:rsidR="000E3DC5" w:rsidRPr="00DD1027" w:rsidRDefault="000E3DC5" w:rsidP="000E3DC5">
            <w:pPr>
              <w:spacing w:before="60" w:afterLines="60" w:after="144"/>
              <w:rPr>
                <w:rFonts w:ascii="Aptos ExtraBold" w:hAnsi="Aptos ExtraBold"/>
                <w:color w:val="FC515B"/>
                <w:sz w:val="32"/>
                <w:szCs w:val="32"/>
              </w:rPr>
            </w:pPr>
            <w:r w:rsidRPr="00DD1027">
              <w:rPr>
                <w:rFonts w:ascii="Aptos ExtraBold" w:hAnsi="Aptos ExtraBold"/>
                <w:color w:val="FC515B"/>
                <w:sz w:val="32"/>
                <w:szCs w:val="32"/>
              </w:rPr>
              <w:t>Good practice</w:t>
            </w:r>
          </w:p>
        </w:tc>
        <w:tc>
          <w:tcPr>
            <w:tcW w:w="4072" w:type="dxa"/>
          </w:tcPr>
          <w:p w14:paraId="011F0A31" w14:textId="76608103" w:rsidR="000E3DC5" w:rsidRPr="00DD1027" w:rsidRDefault="000E3DC5" w:rsidP="000E3DC5">
            <w:pPr>
              <w:spacing w:before="60" w:afterLines="60" w:after="144"/>
              <w:rPr>
                <w:rFonts w:ascii="Aptos ExtraBold" w:hAnsi="Aptos ExtraBold"/>
                <w:color w:val="FC515B"/>
                <w:sz w:val="32"/>
                <w:szCs w:val="32"/>
              </w:rPr>
            </w:pPr>
            <w:r w:rsidRPr="00DD1027">
              <w:rPr>
                <w:rFonts w:ascii="Aptos ExtraBold" w:hAnsi="Aptos ExtraBold"/>
                <w:color w:val="FC515B"/>
                <w:sz w:val="32"/>
                <w:szCs w:val="32"/>
              </w:rPr>
              <w:t>Poor practice</w:t>
            </w:r>
          </w:p>
        </w:tc>
        <w:tc>
          <w:tcPr>
            <w:tcW w:w="3747" w:type="dxa"/>
          </w:tcPr>
          <w:p w14:paraId="73BF23F2" w14:textId="5CFBFF77" w:rsidR="000E3DC5" w:rsidRPr="00DD1027" w:rsidRDefault="000E3DC5" w:rsidP="000E3DC5">
            <w:pPr>
              <w:spacing w:before="60" w:after="60"/>
              <w:rPr>
                <w:rFonts w:ascii="Aptos ExtraBold" w:hAnsi="Aptos ExtraBold"/>
                <w:color w:val="FC515B"/>
                <w:sz w:val="32"/>
                <w:szCs w:val="32"/>
              </w:rPr>
            </w:pPr>
            <w:r w:rsidRPr="00DD1027">
              <w:rPr>
                <w:rFonts w:ascii="Aptos ExtraBold" w:hAnsi="Aptos ExtraBold"/>
                <w:color w:val="FC515B"/>
                <w:sz w:val="32"/>
                <w:szCs w:val="32"/>
              </w:rPr>
              <w:t>Evidence</w:t>
            </w:r>
          </w:p>
        </w:tc>
      </w:tr>
      <w:tr w:rsidR="000E3DC5" w14:paraId="6D19BF7D" w14:textId="06D2F93F" w:rsidTr="00DD1027">
        <w:tc>
          <w:tcPr>
            <w:tcW w:w="2179" w:type="dxa"/>
            <w:shd w:val="clear" w:color="auto" w:fill="FC515B"/>
          </w:tcPr>
          <w:p w14:paraId="2994D311" w14:textId="62B69C5C" w:rsidR="000E3DC5" w:rsidRPr="00DD1027" w:rsidRDefault="000E3DC5" w:rsidP="00DD1027">
            <w:pPr>
              <w:spacing w:before="60" w:after="60"/>
              <w:rPr>
                <w:color w:val="FFFFFF" w:themeColor="background1"/>
              </w:rPr>
            </w:pPr>
            <w:r w:rsidRPr="00DD1027">
              <w:rPr>
                <w:color w:val="FFFFFF" w:themeColor="background1"/>
              </w:rPr>
              <w:t>Agent oversight</w:t>
            </w:r>
          </w:p>
        </w:tc>
        <w:tc>
          <w:tcPr>
            <w:tcW w:w="3950" w:type="dxa"/>
            <w:shd w:val="clear" w:color="auto" w:fill="FFEEEF"/>
          </w:tcPr>
          <w:p w14:paraId="09346A86" w14:textId="47F1636B" w:rsidR="000E3DC5" w:rsidRPr="00146F1B" w:rsidRDefault="000E3DC5" w:rsidP="000E3DC5">
            <w:pPr>
              <w:spacing w:afterLines="60" w:after="144"/>
              <w:rPr>
                <w:sz w:val="21"/>
                <w:szCs w:val="21"/>
              </w:rPr>
            </w:pPr>
            <w:r w:rsidRPr="00146F1B">
              <w:rPr>
                <w:sz w:val="21"/>
                <w:szCs w:val="21"/>
              </w:rPr>
              <w:t>Having clear and consistent oversight arrangements enabling shortfalls to be identified:</w:t>
            </w:r>
          </w:p>
          <w:p w14:paraId="6310B12B" w14:textId="3FA3C7CA" w:rsidR="000E3DC5" w:rsidRPr="00146F1B" w:rsidRDefault="000E3DC5" w:rsidP="000E3DC5">
            <w:pPr>
              <w:numPr>
                <w:ilvl w:val="0"/>
                <w:numId w:val="2"/>
              </w:numPr>
              <w:tabs>
                <w:tab w:val="clear" w:pos="720"/>
                <w:tab w:val="num" w:pos="323"/>
              </w:tabs>
              <w:spacing w:afterLines="60" w:after="144"/>
              <w:ind w:left="323" w:hanging="283"/>
              <w:rPr>
                <w:sz w:val="21"/>
                <w:szCs w:val="21"/>
              </w:rPr>
            </w:pPr>
            <w:r w:rsidRPr="00146F1B">
              <w:rPr>
                <w:sz w:val="21"/>
                <w:szCs w:val="21"/>
              </w:rPr>
              <w:t>Clear governance structure to monitor delivery of good consumer outcomes, via intermediaries, and taking action to address shortfalls in a timely manner.</w:t>
            </w:r>
          </w:p>
          <w:p w14:paraId="1269AF9E" w14:textId="77777777" w:rsidR="000E3DC5" w:rsidRPr="00146F1B" w:rsidRDefault="000E3DC5" w:rsidP="000E3DC5">
            <w:pPr>
              <w:numPr>
                <w:ilvl w:val="0"/>
                <w:numId w:val="2"/>
              </w:numPr>
              <w:tabs>
                <w:tab w:val="clear" w:pos="720"/>
                <w:tab w:val="num" w:pos="323"/>
              </w:tabs>
              <w:spacing w:afterLines="60" w:after="144"/>
              <w:ind w:left="323" w:hanging="283"/>
              <w:rPr>
                <w:sz w:val="21"/>
                <w:szCs w:val="21"/>
              </w:rPr>
            </w:pPr>
            <w:r w:rsidRPr="00146F1B">
              <w:rPr>
                <w:sz w:val="21"/>
                <w:szCs w:val="21"/>
              </w:rPr>
              <w:t>Clear consumer outcomes that principal firms expect their intermediaries to deliver.</w:t>
            </w:r>
          </w:p>
          <w:p w14:paraId="7B82F093" w14:textId="77777777" w:rsidR="000E3DC5" w:rsidRPr="00146F1B" w:rsidRDefault="000E3DC5" w:rsidP="000E3DC5">
            <w:pPr>
              <w:numPr>
                <w:ilvl w:val="0"/>
                <w:numId w:val="2"/>
              </w:numPr>
              <w:tabs>
                <w:tab w:val="clear" w:pos="720"/>
                <w:tab w:val="num" w:pos="323"/>
              </w:tabs>
              <w:spacing w:afterLines="60" w:after="144"/>
              <w:ind w:left="323" w:hanging="283"/>
              <w:rPr>
                <w:sz w:val="21"/>
                <w:szCs w:val="21"/>
              </w:rPr>
            </w:pPr>
            <w:r w:rsidRPr="00146F1B">
              <w:rPr>
                <w:sz w:val="21"/>
                <w:szCs w:val="21"/>
              </w:rPr>
              <w:t>Providing their agents with the information they needed to comply with the Duty.</w:t>
            </w:r>
          </w:p>
          <w:p w14:paraId="69542FBC" w14:textId="77777777" w:rsidR="000E3DC5" w:rsidRPr="00146F1B" w:rsidRDefault="000E3DC5" w:rsidP="000E3DC5">
            <w:pPr>
              <w:numPr>
                <w:ilvl w:val="0"/>
                <w:numId w:val="2"/>
              </w:numPr>
              <w:tabs>
                <w:tab w:val="clear" w:pos="720"/>
                <w:tab w:val="num" w:pos="323"/>
              </w:tabs>
              <w:spacing w:afterLines="60" w:after="144"/>
              <w:ind w:left="323" w:hanging="283"/>
              <w:rPr>
                <w:sz w:val="21"/>
                <w:szCs w:val="21"/>
              </w:rPr>
            </w:pPr>
            <w:r w:rsidRPr="00146F1B">
              <w:rPr>
                <w:sz w:val="21"/>
                <w:szCs w:val="21"/>
              </w:rPr>
              <w:t>Regular monitoring of agents’ compliance with their obligations under the Duty.</w:t>
            </w:r>
          </w:p>
          <w:p w14:paraId="4D720110" w14:textId="0DBAFD3B" w:rsidR="000E3DC5" w:rsidRPr="00146F1B" w:rsidRDefault="000E3DC5" w:rsidP="000E3DC5">
            <w:pPr>
              <w:numPr>
                <w:ilvl w:val="0"/>
                <w:numId w:val="2"/>
              </w:numPr>
              <w:tabs>
                <w:tab w:val="clear" w:pos="720"/>
                <w:tab w:val="num" w:pos="323"/>
              </w:tabs>
              <w:spacing w:afterLines="60" w:after="144"/>
              <w:ind w:left="323" w:hanging="283"/>
              <w:rPr>
                <w:sz w:val="21"/>
                <w:szCs w:val="21"/>
              </w:rPr>
            </w:pPr>
            <w:r w:rsidRPr="00146F1B">
              <w:rPr>
                <w:sz w:val="21"/>
                <w:szCs w:val="21"/>
              </w:rPr>
              <w:t>Regular summary Board MI on intermediary oversight, with RAG rated measures identifying any shortfalls, mitigating actions and action owners.</w:t>
            </w:r>
          </w:p>
        </w:tc>
        <w:tc>
          <w:tcPr>
            <w:tcW w:w="4072" w:type="dxa"/>
            <w:shd w:val="clear" w:color="auto" w:fill="FFEEEF"/>
          </w:tcPr>
          <w:p w14:paraId="4B4929E3" w14:textId="7ACAA7E6" w:rsidR="000E3DC5" w:rsidRPr="00146F1B" w:rsidRDefault="000E3DC5" w:rsidP="000E3DC5">
            <w:pPr>
              <w:spacing w:afterLines="60" w:after="144"/>
              <w:contextualSpacing/>
              <w:rPr>
                <w:rFonts w:eastAsia="Times New Roman" w:cs="Times New Roman"/>
                <w:color w:val="000000"/>
                <w:kern w:val="0"/>
                <w:sz w:val="21"/>
                <w:szCs w:val="21"/>
                <w14:ligatures w14:val="none"/>
              </w:rPr>
            </w:pPr>
            <w:r w:rsidRPr="00146F1B">
              <w:rPr>
                <w:rFonts w:eastAsia="Times New Roman" w:cs="Times New Roman"/>
                <w:color w:val="000000"/>
                <w:kern w:val="0"/>
                <w:sz w:val="21"/>
                <w:szCs w:val="21"/>
                <w14:ligatures w14:val="none"/>
              </w:rPr>
              <w:t xml:space="preserve">Arrangements lacking clarity and </w:t>
            </w:r>
            <w:r w:rsidRPr="00146F1B">
              <w:rPr>
                <w:sz w:val="21"/>
                <w:szCs w:val="21"/>
              </w:rPr>
              <w:t>consistency</w:t>
            </w:r>
            <w:r w:rsidRPr="00146F1B">
              <w:rPr>
                <w:rFonts w:eastAsia="Times New Roman" w:cs="Times New Roman"/>
                <w:color w:val="000000"/>
                <w:kern w:val="0"/>
                <w:sz w:val="21"/>
                <w:szCs w:val="21"/>
                <w14:ligatures w14:val="none"/>
              </w:rPr>
              <w:t>:</w:t>
            </w:r>
          </w:p>
          <w:p w14:paraId="1070B8E4" w14:textId="127FC8DB" w:rsidR="000E3DC5" w:rsidRPr="00146F1B" w:rsidRDefault="000E3DC5" w:rsidP="000E3DC5">
            <w:pPr>
              <w:numPr>
                <w:ilvl w:val="0"/>
                <w:numId w:val="2"/>
              </w:numPr>
              <w:tabs>
                <w:tab w:val="clear" w:pos="720"/>
                <w:tab w:val="num" w:pos="454"/>
              </w:tabs>
              <w:spacing w:afterLines="60" w:after="144"/>
              <w:ind w:left="453" w:hanging="357"/>
              <w:rPr>
                <w:rFonts w:eastAsia="Times New Roman" w:cs="Times New Roman"/>
                <w:color w:val="000000"/>
                <w:kern w:val="0"/>
                <w:sz w:val="21"/>
                <w:szCs w:val="21"/>
                <w14:ligatures w14:val="none"/>
              </w:rPr>
            </w:pPr>
            <w:r w:rsidRPr="00146F1B">
              <w:rPr>
                <w:rFonts w:eastAsia="Times New Roman" w:cs="Times New Roman"/>
                <w:color w:val="000000"/>
                <w:kern w:val="0"/>
                <w:sz w:val="21"/>
                <w:szCs w:val="21"/>
                <w14:ligatures w14:val="none"/>
              </w:rPr>
              <w:t>Asserting that they were regularly and systematically assessing delivery of good consumer outcomes via intermediaries but being unable to demonstrate this.</w:t>
            </w:r>
          </w:p>
          <w:p w14:paraId="4F71AD29" w14:textId="77777777" w:rsidR="000E3DC5" w:rsidRPr="00146F1B" w:rsidRDefault="000E3DC5" w:rsidP="000E3DC5">
            <w:pPr>
              <w:numPr>
                <w:ilvl w:val="0"/>
                <w:numId w:val="2"/>
              </w:numPr>
              <w:tabs>
                <w:tab w:val="clear" w:pos="720"/>
                <w:tab w:val="num" w:pos="454"/>
              </w:tabs>
              <w:spacing w:before="100" w:beforeAutospacing="1" w:afterLines="60" w:after="144"/>
              <w:ind w:left="454"/>
              <w:rPr>
                <w:rFonts w:eastAsia="Times New Roman" w:cs="Times New Roman"/>
                <w:color w:val="000000"/>
                <w:kern w:val="0"/>
                <w:sz w:val="21"/>
                <w:szCs w:val="21"/>
                <w14:ligatures w14:val="none"/>
              </w:rPr>
            </w:pPr>
            <w:r w:rsidRPr="00146F1B">
              <w:rPr>
                <w:rFonts w:eastAsia="Times New Roman" w:cs="Times New Roman"/>
                <w:color w:val="000000"/>
                <w:kern w:val="0"/>
                <w:sz w:val="21"/>
                <w:szCs w:val="21"/>
                <w14:ligatures w14:val="none"/>
              </w:rPr>
              <w:t>Having high level MI measuring delivery of good consumer outcomes but being unable to drill down to delivery of good outcomes via key intermediaries.</w:t>
            </w:r>
          </w:p>
          <w:p w14:paraId="570CEFC9" w14:textId="77777777" w:rsidR="000E3DC5" w:rsidRPr="00146F1B" w:rsidRDefault="000E3DC5" w:rsidP="000E3DC5">
            <w:pPr>
              <w:numPr>
                <w:ilvl w:val="0"/>
                <w:numId w:val="2"/>
              </w:numPr>
              <w:tabs>
                <w:tab w:val="clear" w:pos="720"/>
                <w:tab w:val="num" w:pos="454"/>
              </w:tabs>
              <w:spacing w:before="100" w:beforeAutospacing="1" w:afterLines="60" w:after="144"/>
              <w:ind w:left="454"/>
              <w:rPr>
                <w:rFonts w:eastAsia="Times New Roman" w:cs="Times New Roman"/>
                <w:color w:val="000000"/>
                <w:kern w:val="0"/>
                <w:sz w:val="21"/>
                <w:szCs w:val="21"/>
                <w14:ligatures w14:val="none"/>
              </w:rPr>
            </w:pPr>
            <w:r w:rsidRPr="00146F1B">
              <w:rPr>
                <w:rFonts w:eastAsia="Times New Roman" w:cs="Times New Roman"/>
                <w:color w:val="000000"/>
                <w:kern w:val="0"/>
                <w:sz w:val="21"/>
                <w:szCs w:val="21"/>
                <w14:ligatures w14:val="none"/>
              </w:rPr>
              <w:t>Taking action against intermediaries falling short of their Consumer Duty related standards but being unable to demonstrate that the firm was appropriately remediating consumers.</w:t>
            </w:r>
          </w:p>
          <w:p w14:paraId="299FA8C1" w14:textId="786B9EAA" w:rsidR="000E3DC5" w:rsidRPr="000E3DC5" w:rsidRDefault="000E3DC5" w:rsidP="000E3DC5">
            <w:pPr>
              <w:numPr>
                <w:ilvl w:val="0"/>
                <w:numId w:val="2"/>
              </w:numPr>
              <w:tabs>
                <w:tab w:val="clear" w:pos="720"/>
                <w:tab w:val="num" w:pos="454"/>
              </w:tabs>
              <w:spacing w:before="100" w:beforeAutospacing="1" w:afterLines="60" w:after="144"/>
              <w:ind w:left="454"/>
              <w:rPr>
                <w:rFonts w:eastAsia="Times New Roman" w:cs="Times New Roman"/>
                <w:color w:val="000000"/>
                <w:kern w:val="0"/>
                <w:sz w:val="21"/>
                <w:szCs w:val="21"/>
                <w14:ligatures w14:val="none"/>
              </w:rPr>
            </w:pPr>
            <w:r w:rsidRPr="00146F1B">
              <w:rPr>
                <w:rFonts w:eastAsia="Times New Roman" w:cs="Times New Roman"/>
                <w:color w:val="000000"/>
                <w:kern w:val="0"/>
                <w:sz w:val="21"/>
                <w:szCs w:val="21"/>
                <w14:ligatures w14:val="none"/>
              </w:rPr>
              <w:t>Being unable to demonstrate whether they had provided their intermediaries with the information they needed to ensure compliance with the Duty.</w:t>
            </w:r>
          </w:p>
        </w:tc>
        <w:tc>
          <w:tcPr>
            <w:tcW w:w="3747" w:type="dxa"/>
            <w:shd w:val="clear" w:color="auto" w:fill="FFEEEF"/>
          </w:tcPr>
          <w:p w14:paraId="66B0A2F4" w14:textId="77777777" w:rsidR="000E3DC5" w:rsidRPr="00146F1B" w:rsidRDefault="000E3DC5" w:rsidP="0069516E">
            <w:pPr>
              <w:spacing w:afterLines="60" w:after="144"/>
              <w:ind w:left="453"/>
              <w:rPr>
                <w:rFonts w:eastAsia="Times New Roman" w:cs="Times New Roman"/>
                <w:color w:val="000000"/>
                <w:kern w:val="0"/>
                <w:sz w:val="21"/>
                <w:szCs w:val="21"/>
                <w14:ligatures w14:val="none"/>
              </w:rPr>
            </w:pPr>
          </w:p>
        </w:tc>
      </w:tr>
      <w:tr w:rsidR="00DD1027" w14:paraId="0A96D70B" w14:textId="77777777" w:rsidTr="00DD1027">
        <w:tc>
          <w:tcPr>
            <w:tcW w:w="2179" w:type="dxa"/>
            <w:shd w:val="clear" w:color="auto" w:fill="FC515B"/>
          </w:tcPr>
          <w:p w14:paraId="5499CDCD" w14:textId="6344BF47" w:rsidR="00DD1027" w:rsidRPr="00DD1027" w:rsidRDefault="00DD1027" w:rsidP="00DD1027">
            <w:pPr>
              <w:spacing w:before="60" w:after="60"/>
              <w:rPr>
                <w:color w:val="FFFFFF" w:themeColor="background1"/>
              </w:rPr>
            </w:pPr>
            <w:r w:rsidRPr="00DD1027">
              <w:rPr>
                <w:color w:val="FFFFFF" w:themeColor="background1"/>
              </w:rPr>
              <w:t>Agent oversight next steps</w:t>
            </w:r>
          </w:p>
        </w:tc>
        <w:tc>
          <w:tcPr>
            <w:tcW w:w="11769" w:type="dxa"/>
            <w:gridSpan w:val="3"/>
            <w:shd w:val="clear" w:color="auto" w:fill="FFEEEF"/>
          </w:tcPr>
          <w:p w14:paraId="6D37A3E1" w14:textId="77777777" w:rsidR="00DD1027" w:rsidRPr="00146F1B" w:rsidRDefault="00DD1027" w:rsidP="00146F1B">
            <w:pPr>
              <w:contextualSpacing/>
              <w:rPr>
                <w:rFonts w:eastAsia="Times New Roman" w:cs="Times New Roman"/>
                <w:color w:val="000000"/>
                <w:kern w:val="0"/>
                <w:sz w:val="21"/>
                <w:szCs w:val="21"/>
                <w14:ligatures w14:val="none"/>
              </w:rPr>
            </w:pPr>
          </w:p>
        </w:tc>
      </w:tr>
      <w:tr w:rsidR="000E3DC5" w14:paraId="1BC6AA94" w14:textId="216845E8" w:rsidTr="00C21FB1">
        <w:tc>
          <w:tcPr>
            <w:tcW w:w="2179" w:type="dxa"/>
            <w:shd w:val="clear" w:color="auto" w:fill="CC4452"/>
          </w:tcPr>
          <w:p w14:paraId="0FD41447" w14:textId="4C979069" w:rsidR="000E3DC5" w:rsidRPr="00DD1027" w:rsidRDefault="000E3DC5" w:rsidP="00DD1027">
            <w:pPr>
              <w:tabs>
                <w:tab w:val="left" w:pos="1640"/>
              </w:tabs>
              <w:spacing w:before="60" w:after="60"/>
              <w:rPr>
                <w:color w:val="FFFFFF" w:themeColor="background1"/>
              </w:rPr>
            </w:pPr>
            <w:r w:rsidRPr="00DD1027">
              <w:rPr>
                <w:color w:val="FFFFFF" w:themeColor="background1"/>
              </w:rPr>
              <w:lastRenderedPageBreak/>
              <w:t>Fa</w:t>
            </w:r>
            <w:r w:rsidR="00DD1027" w:rsidRPr="00DD1027">
              <w:rPr>
                <w:color w:val="FFFFFF" w:themeColor="background1"/>
              </w:rPr>
              <w:t>i</w:t>
            </w:r>
            <w:r w:rsidRPr="00DD1027">
              <w:rPr>
                <w:color w:val="FFFFFF" w:themeColor="background1"/>
              </w:rPr>
              <w:t>r value assessments</w:t>
            </w:r>
          </w:p>
        </w:tc>
        <w:tc>
          <w:tcPr>
            <w:tcW w:w="3950" w:type="dxa"/>
            <w:tcBorders>
              <w:bottom w:val="single" w:sz="4" w:space="0" w:color="auto"/>
            </w:tcBorders>
            <w:shd w:val="clear" w:color="auto" w:fill="FEB1B5"/>
          </w:tcPr>
          <w:p w14:paraId="5DC6FA7D" w14:textId="77777777" w:rsidR="000E3DC5" w:rsidRPr="00146F1B" w:rsidRDefault="000E3DC5" w:rsidP="000E3DC5">
            <w:pPr>
              <w:numPr>
                <w:ilvl w:val="0"/>
                <w:numId w:val="4"/>
              </w:numPr>
              <w:tabs>
                <w:tab w:val="clear" w:pos="720"/>
                <w:tab w:val="num" w:pos="360"/>
              </w:tabs>
              <w:spacing w:afterLines="60" w:after="144"/>
              <w:ind w:left="323" w:hanging="283"/>
              <w:rPr>
                <w:sz w:val="21"/>
                <w:szCs w:val="21"/>
              </w:rPr>
            </w:pPr>
            <w:r w:rsidRPr="00146F1B">
              <w:rPr>
                <w:sz w:val="21"/>
                <w:szCs w:val="21"/>
              </w:rPr>
              <w:t>The best firms clearly set out whether they considered they were delivering fair value to their customers for each of their products and services and provided a clear supporting rationale.</w:t>
            </w:r>
          </w:p>
          <w:p w14:paraId="35847616" w14:textId="77777777" w:rsidR="000E3DC5" w:rsidRPr="00146F1B" w:rsidRDefault="000E3DC5" w:rsidP="000E3DC5">
            <w:pPr>
              <w:numPr>
                <w:ilvl w:val="0"/>
                <w:numId w:val="4"/>
              </w:numPr>
              <w:tabs>
                <w:tab w:val="clear" w:pos="720"/>
                <w:tab w:val="num" w:pos="360"/>
              </w:tabs>
              <w:spacing w:afterLines="60" w:after="144"/>
              <w:ind w:left="323" w:hanging="283"/>
              <w:rPr>
                <w:sz w:val="21"/>
                <w:szCs w:val="21"/>
              </w:rPr>
            </w:pPr>
            <w:r w:rsidRPr="00146F1B">
              <w:rPr>
                <w:sz w:val="21"/>
                <w:szCs w:val="21"/>
              </w:rPr>
              <w:t>These firms considered the differing groups of customers who used a product or service and how the costs and benefits fell on those groups.</w:t>
            </w:r>
          </w:p>
          <w:p w14:paraId="35B2FA51" w14:textId="77777777" w:rsidR="000E3DC5" w:rsidRPr="00146F1B" w:rsidRDefault="000E3DC5" w:rsidP="000E3DC5">
            <w:pPr>
              <w:numPr>
                <w:ilvl w:val="0"/>
                <w:numId w:val="4"/>
              </w:numPr>
              <w:tabs>
                <w:tab w:val="clear" w:pos="720"/>
                <w:tab w:val="num" w:pos="360"/>
              </w:tabs>
              <w:spacing w:afterLines="60" w:after="144"/>
              <w:ind w:left="323" w:hanging="283"/>
              <w:rPr>
                <w:sz w:val="21"/>
                <w:szCs w:val="21"/>
              </w:rPr>
            </w:pPr>
            <w:r w:rsidRPr="00146F1B">
              <w:rPr>
                <w:sz w:val="21"/>
                <w:szCs w:val="21"/>
              </w:rPr>
              <w:t>Where they identified shortfalls in the delivery of fair value, they set out the remediating actions they were taking.</w:t>
            </w:r>
          </w:p>
          <w:p w14:paraId="561A90A1" w14:textId="6CB773E9" w:rsidR="000E3DC5" w:rsidRPr="00146F1B" w:rsidRDefault="000E3DC5" w:rsidP="000E3DC5">
            <w:pPr>
              <w:numPr>
                <w:ilvl w:val="0"/>
                <w:numId w:val="4"/>
              </w:numPr>
              <w:tabs>
                <w:tab w:val="clear" w:pos="720"/>
                <w:tab w:val="num" w:pos="360"/>
              </w:tabs>
              <w:spacing w:afterLines="60" w:after="144"/>
              <w:ind w:left="323" w:hanging="283"/>
              <w:rPr>
                <w:sz w:val="21"/>
                <w:szCs w:val="21"/>
              </w:rPr>
            </w:pPr>
            <w:r w:rsidRPr="00146F1B">
              <w:rPr>
                <w:sz w:val="21"/>
                <w:szCs w:val="21"/>
              </w:rPr>
              <w:t>They considered a range of relevant factors to form a view as to whether price was reasonable in relation to the benefits received.  </w:t>
            </w:r>
          </w:p>
        </w:tc>
        <w:tc>
          <w:tcPr>
            <w:tcW w:w="4072" w:type="dxa"/>
            <w:tcBorders>
              <w:bottom w:val="single" w:sz="4" w:space="0" w:color="auto"/>
            </w:tcBorders>
            <w:shd w:val="clear" w:color="auto" w:fill="FEB1B5"/>
          </w:tcPr>
          <w:p w14:paraId="38353206" w14:textId="77777777" w:rsidR="000E3DC5" w:rsidRPr="00146F1B" w:rsidRDefault="000E3DC5" w:rsidP="000E3DC5">
            <w:pPr>
              <w:numPr>
                <w:ilvl w:val="0"/>
                <w:numId w:val="2"/>
              </w:numPr>
              <w:tabs>
                <w:tab w:val="clear" w:pos="720"/>
                <w:tab w:val="num" w:pos="454"/>
              </w:tabs>
              <w:spacing w:before="100" w:beforeAutospacing="1" w:afterLines="60" w:after="144"/>
              <w:ind w:left="454"/>
              <w:rPr>
                <w:rFonts w:eastAsia="Times New Roman" w:cs="Times New Roman"/>
                <w:color w:val="000000"/>
                <w:kern w:val="0"/>
                <w:sz w:val="21"/>
                <w:szCs w:val="21"/>
                <w14:ligatures w14:val="none"/>
              </w:rPr>
            </w:pPr>
            <w:r w:rsidRPr="00146F1B">
              <w:rPr>
                <w:sz w:val="21"/>
                <w:szCs w:val="21"/>
              </w:rPr>
              <w:t xml:space="preserve">Some firms did not clearly conclude whether they considered they were delivering fair value and/or </w:t>
            </w:r>
            <w:r w:rsidRPr="00146F1B">
              <w:rPr>
                <w:rFonts w:eastAsia="Times New Roman" w:cs="Times New Roman"/>
                <w:color w:val="000000"/>
                <w:kern w:val="0"/>
                <w:sz w:val="21"/>
                <w:szCs w:val="21"/>
                <w14:ligatures w14:val="none"/>
              </w:rPr>
              <w:t>provided insufficient explanation for their conclusion.</w:t>
            </w:r>
          </w:p>
          <w:p w14:paraId="542B4A1A" w14:textId="6214C610" w:rsidR="000E3DC5" w:rsidRPr="00146F1B" w:rsidRDefault="000E3DC5" w:rsidP="000E3DC5">
            <w:pPr>
              <w:numPr>
                <w:ilvl w:val="0"/>
                <w:numId w:val="2"/>
              </w:numPr>
              <w:tabs>
                <w:tab w:val="clear" w:pos="720"/>
                <w:tab w:val="num" w:pos="454"/>
              </w:tabs>
              <w:spacing w:before="100" w:beforeAutospacing="1" w:afterLines="60" w:after="144"/>
              <w:ind w:left="454"/>
              <w:rPr>
                <w:sz w:val="21"/>
                <w:szCs w:val="21"/>
              </w:rPr>
            </w:pPr>
            <w:r w:rsidRPr="00146F1B">
              <w:rPr>
                <w:rFonts w:eastAsia="Times New Roman" w:cs="Times New Roman"/>
                <w:color w:val="000000"/>
                <w:kern w:val="0"/>
                <w:sz w:val="21"/>
                <w:szCs w:val="21"/>
                <w14:ligatures w14:val="none"/>
              </w:rPr>
              <w:t>Some firms limited their value assessment to price comparisons</w:t>
            </w:r>
            <w:r w:rsidRPr="00146F1B">
              <w:rPr>
                <w:sz w:val="21"/>
                <w:szCs w:val="21"/>
              </w:rPr>
              <w:t xml:space="preserve"> and did not sufficiently consider non-financial benefits such as the level of consumer support provided.</w:t>
            </w:r>
          </w:p>
        </w:tc>
        <w:tc>
          <w:tcPr>
            <w:tcW w:w="3747" w:type="dxa"/>
            <w:tcBorders>
              <w:bottom w:val="single" w:sz="4" w:space="0" w:color="auto"/>
            </w:tcBorders>
            <w:shd w:val="clear" w:color="auto" w:fill="FEB1B5"/>
          </w:tcPr>
          <w:p w14:paraId="384E91E6" w14:textId="77777777" w:rsidR="000E3DC5" w:rsidRPr="00146F1B" w:rsidRDefault="000E3DC5" w:rsidP="0069516E">
            <w:pPr>
              <w:spacing w:before="100" w:beforeAutospacing="1" w:afterLines="60" w:after="144"/>
              <w:ind w:left="454"/>
              <w:rPr>
                <w:sz w:val="21"/>
                <w:szCs w:val="21"/>
              </w:rPr>
            </w:pPr>
          </w:p>
        </w:tc>
      </w:tr>
      <w:tr w:rsidR="00DD1027" w14:paraId="0D0EAF74" w14:textId="77777777" w:rsidTr="00C21FB1">
        <w:tc>
          <w:tcPr>
            <w:tcW w:w="2179" w:type="dxa"/>
            <w:shd w:val="clear" w:color="auto" w:fill="CC4452"/>
          </w:tcPr>
          <w:p w14:paraId="56BB151C" w14:textId="59A4E01D" w:rsidR="00DD1027" w:rsidRPr="00DD1027" w:rsidRDefault="00DD1027" w:rsidP="00DD1027">
            <w:pPr>
              <w:tabs>
                <w:tab w:val="left" w:pos="1640"/>
              </w:tabs>
              <w:spacing w:before="60" w:after="60"/>
              <w:rPr>
                <w:color w:val="FFFFFF" w:themeColor="background1"/>
              </w:rPr>
            </w:pPr>
            <w:r w:rsidRPr="00DD1027">
              <w:rPr>
                <w:color w:val="FFFFFF" w:themeColor="background1"/>
              </w:rPr>
              <w:t>Fair value assessment next steps</w:t>
            </w:r>
          </w:p>
        </w:tc>
        <w:tc>
          <w:tcPr>
            <w:tcW w:w="11769" w:type="dxa"/>
            <w:gridSpan w:val="3"/>
            <w:tcBorders>
              <w:top w:val="single" w:sz="4" w:space="0" w:color="auto"/>
            </w:tcBorders>
            <w:shd w:val="clear" w:color="auto" w:fill="FEB1B5"/>
          </w:tcPr>
          <w:p w14:paraId="63E61709" w14:textId="77777777" w:rsidR="00DD1027" w:rsidRPr="00146F1B" w:rsidRDefault="00DD1027" w:rsidP="000E3DC5">
            <w:pPr>
              <w:spacing w:before="100" w:beforeAutospacing="1" w:after="100" w:afterAutospacing="1"/>
              <w:ind w:left="94"/>
              <w:rPr>
                <w:sz w:val="21"/>
                <w:szCs w:val="21"/>
              </w:rPr>
            </w:pPr>
          </w:p>
        </w:tc>
      </w:tr>
      <w:tr w:rsidR="000E3DC5" w14:paraId="13EAAC0E" w14:textId="393FFC5F" w:rsidTr="00381601">
        <w:tc>
          <w:tcPr>
            <w:tcW w:w="2179" w:type="dxa"/>
            <w:shd w:val="clear" w:color="auto" w:fill="FC515B"/>
          </w:tcPr>
          <w:p w14:paraId="2F8AAF28" w14:textId="0E811AC5" w:rsidR="000E3DC5" w:rsidRPr="00146F1B" w:rsidRDefault="000E3DC5" w:rsidP="00DD1027">
            <w:pPr>
              <w:spacing w:before="60" w:after="60"/>
            </w:pPr>
            <w:r w:rsidRPr="00DD1027">
              <w:rPr>
                <w:color w:val="FFFFFF" w:themeColor="background1"/>
              </w:rPr>
              <w:t>Consumer understanding</w:t>
            </w:r>
          </w:p>
        </w:tc>
        <w:tc>
          <w:tcPr>
            <w:tcW w:w="3950" w:type="dxa"/>
            <w:tcBorders>
              <w:bottom w:val="single" w:sz="4" w:space="0" w:color="auto"/>
            </w:tcBorders>
            <w:shd w:val="clear" w:color="auto" w:fill="FFEEEF"/>
          </w:tcPr>
          <w:p w14:paraId="00D15E4B"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The best firms had clear arrangements in place to ensure their customers received the support they required to make informed decisions in relation to their products and services.</w:t>
            </w:r>
          </w:p>
          <w:p w14:paraId="7B1B227B"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 xml:space="preserve">Such firms' procedures tended to go beyond first and second line reviews of text and included some form of </w:t>
            </w:r>
            <w:r w:rsidRPr="00146F1B">
              <w:rPr>
                <w:sz w:val="21"/>
                <w:szCs w:val="21"/>
              </w:rPr>
              <w:lastRenderedPageBreak/>
              <w:t>testing consumer understanding of their communications.</w:t>
            </w:r>
          </w:p>
          <w:p w14:paraId="5B06D493"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Testing arrangements included testing consumer understanding both before and after communications were sent out. Examples included:</w:t>
            </w:r>
          </w:p>
          <w:p w14:paraId="3015F594" w14:textId="77777777" w:rsidR="000E3DC5" w:rsidRPr="00146F1B" w:rsidRDefault="000E3DC5" w:rsidP="000E3DC5">
            <w:pPr>
              <w:numPr>
                <w:ilvl w:val="1"/>
                <w:numId w:val="6"/>
              </w:numPr>
              <w:tabs>
                <w:tab w:val="num" w:pos="360"/>
              </w:tabs>
              <w:spacing w:afterLines="60" w:after="144"/>
              <w:ind w:left="323" w:hanging="283"/>
              <w:rPr>
                <w:sz w:val="21"/>
                <w:szCs w:val="21"/>
              </w:rPr>
            </w:pPr>
            <w:r w:rsidRPr="00146F1B">
              <w:rPr>
                <w:sz w:val="21"/>
                <w:szCs w:val="21"/>
              </w:rPr>
              <w:t>Pre-testing communications directly with consumers or using standardised reading ease tests. These consider factors such as average length of sentences and average number of syllables per word.</w:t>
            </w:r>
          </w:p>
          <w:p w14:paraId="557AF100" w14:textId="77777777" w:rsidR="000E3DC5" w:rsidRPr="00146F1B" w:rsidRDefault="000E3DC5" w:rsidP="000E3DC5">
            <w:pPr>
              <w:numPr>
                <w:ilvl w:val="1"/>
                <w:numId w:val="6"/>
              </w:numPr>
              <w:tabs>
                <w:tab w:val="num" w:pos="360"/>
              </w:tabs>
              <w:spacing w:afterLines="60" w:after="144"/>
              <w:ind w:left="323" w:hanging="283"/>
              <w:rPr>
                <w:sz w:val="21"/>
                <w:szCs w:val="21"/>
              </w:rPr>
            </w:pPr>
            <w:r w:rsidRPr="00146F1B">
              <w:rPr>
                <w:sz w:val="21"/>
                <w:szCs w:val="21"/>
              </w:rPr>
              <w:t>Post-testing communications after issuing them using online customer surveys.</w:t>
            </w:r>
          </w:p>
          <w:p w14:paraId="687C7CB7"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Some firms tested communications using A/B testing. This involves testing particular wording that is different in 2 otherwise similar versions of a communication to determine which is easier to understand.</w:t>
            </w:r>
          </w:p>
          <w:p w14:paraId="766E5EA1" w14:textId="5E217CE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 xml:space="preserve">Firms demonstrating an effective approach to testing consumer understanding provided comprehensive MI that included a range of data from regular reviews to provide management with assurance </w:t>
            </w:r>
            <w:r w:rsidRPr="00146F1B">
              <w:rPr>
                <w:sz w:val="21"/>
                <w:szCs w:val="21"/>
              </w:rPr>
              <w:lastRenderedPageBreak/>
              <w:t>that customer understanding was appropriately supported.</w:t>
            </w:r>
          </w:p>
        </w:tc>
        <w:tc>
          <w:tcPr>
            <w:tcW w:w="4072" w:type="dxa"/>
            <w:tcBorders>
              <w:bottom w:val="single" w:sz="4" w:space="0" w:color="auto"/>
            </w:tcBorders>
            <w:shd w:val="clear" w:color="auto" w:fill="FFEEEF"/>
          </w:tcPr>
          <w:p w14:paraId="690B655D" w14:textId="77777777" w:rsidR="000E3DC5" w:rsidRPr="00146F1B" w:rsidRDefault="000E3DC5" w:rsidP="000E3DC5">
            <w:pPr>
              <w:numPr>
                <w:ilvl w:val="0"/>
                <w:numId w:val="2"/>
              </w:numPr>
              <w:tabs>
                <w:tab w:val="clear" w:pos="720"/>
                <w:tab w:val="num" w:pos="454"/>
              </w:tabs>
              <w:spacing w:before="100" w:beforeAutospacing="1" w:afterLines="60" w:after="144"/>
              <w:ind w:left="454"/>
              <w:rPr>
                <w:rFonts w:eastAsia="Times New Roman" w:cs="Times New Roman"/>
                <w:color w:val="000000"/>
                <w:kern w:val="0"/>
                <w:sz w:val="21"/>
                <w:szCs w:val="21"/>
                <w14:ligatures w14:val="none"/>
              </w:rPr>
            </w:pPr>
            <w:r w:rsidRPr="00146F1B">
              <w:rPr>
                <w:sz w:val="21"/>
                <w:szCs w:val="21"/>
              </w:rPr>
              <w:lastRenderedPageBreak/>
              <w:t xml:space="preserve">Other firms were unable to provide assurance that </w:t>
            </w:r>
            <w:r w:rsidRPr="00146F1B">
              <w:rPr>
                <w:rFonts w:eastAsia="Times New Roman" w:cs="Times New Roman"/>
                <w:color w:val="000000"/>
                <w:kern w:val="0"/>
                <w:sz w:val="21"/>
                <w:szCs w:val="21"/>
                <w14:ligatures w14:val="none"/>
              </w:rPr>
              <w:t>they were robustly assessing whether they were supporting their customers to make informed decisions in relation to their products and services.</w:t>
            </w:r>
          </w:p>
          <w:p w14:paraId="753C8FFA" w14:textId="77777777" w:rsidR="000E3DC5" w:rsidRPr="00146F1B" w:rsidRDefault="000E3DC5" w:rsidP="000E3DC5">
            <w:pPr>
              <w:numPr>
                <w:ilvl w:val="0"/>
                <w:numId w:val="2"/>
              </w:numPr>
              <w:tabs>
                <w:tab w:val="clear" w:pos="720"/>
                <w:tab w:val="num" w:pos="454"/>
              </w:tabs>
              <w:spacing w:before="100" w:beforeAutospacing="1" w:afterLines="60" w:after="144"/>
              <w:ind w:left="454"/>
              <w:rPr>
                <w:rFonts w:eastAsia="Times New Roman" w:cs="Times New Roman"/>
                <w:color w:val="000000"/>
                <w:kern w:val="0"/>
                <w:sz w:val="21"/>
                <w:szCs w:val="21"/>
                <w14:ligatures w14:val="none"/>
              </w:rPr>
            </w:pPr>
            <w:r w:rsidRPr="00146F1B">
              <w:rPr>
                <w:rFonts w:eastAsia="Times New Roman" w:cs="Times New Roman"/>
                <w:color w:val="000000"/>
                <w:kern w:val="0"/>
                <w:sz w:val="21"/>
                <w:szCs w:val="21"/>
                <w14:ligatures w14:val="none"/>
              </w:rPr>
              <w:t xml:space="preserve">Such firms relied more heavily on existing first and second line review procedures and conducted limited or </w:t>
            </w:r>
            <w:r w:rsidRPr="00146F1B">
              <w:rPr>
                <w:rFonts w:eastAsia="Times New Roman" w:cs="Times New Roman"/>
                <w:color w:val="000000"/>
                <w:kern w:val="0"/>
                <w:sz w:val="21"/>
                <w:szCs w:val="21"/>
                <w14:ligatures w14:val="none"/>
              </w:rPr>
              <w:lastRenderedPageBreak/>
              <w:t>no pre-testing or post testing of communications.</w:t>
            </w:r>
          </w:p>
          <w:p w14:paraId="0331432C" w14:textId="6F0CCCD4" w:rsidR="000E3DC5" w:rsidRPr="00146F1B" w:rsidRDefault="000E3DC5" w:rsidP="000E3DC5">
            <w:pPr>
              <w:numPr>
                <w:ilvl w:val="0"/>
                <w:numId w:val="2"/>
              </w:numPr>
              <w:tabs>
                <w:tab w:val="clear" w:pos="720"/>
                <w:tab w:val="num" w:pos="454"/>
              </w:tabs>
              <w:spacing w:before="100" w:beforeAutospacing="1" w:afterLines="60" w:after="144"/>
              <w:ind w:left="454"/>
              <w:rPr>
                <w:sz w:val="21"/>
                <w:szCs w:val="21"/>
              </w:rPr>
            </w:pPr>
            <w:r w:rsidRPr="00146F1B">
              <w:rPr>
                <w:rFonts w:eastAsia="Times New Roman" w:cs="Times New Roman"/>
                <w:color w:val="000000"/>
                <w:kern w:val="0"/>
                <w:sz w:val="21"/>
                <w:szCs w:val="21"/>
                <w14:ligatures w14:val="none"/>
              </w:rPr>
              <w:t>Some firms’ customer MI appeared to be limited to distant pr</w:t>
            </w:r>
            <w:r w:rsidRPr="00146F1B">
              <w:rPr>
                <w:sz w:val="21"/>
                <w:szCs w:val="21"/>
              </w:rPr>
              <w:t>oxy measures of customer understanding such as email open rates or net promoter score measures.</w:t>
            </w:r>
          </w:p>
        </w:tc>
        <w:tc>
          <w:tcPr>
            <w:tcW w:w="3747" w:type="dxa"/>
            <w:tcBorders>
              <w:bottom w:val="single" w:sz="4" w:space="0" w:color="auto"/>
            </w:tcBorders>
            <w:shd w:val="clear" w:color="auto" w:fill="FFEEEF"/>
          </w:tcPr>
          <w:p w14:paraId="66C19DDA" w14:textId="77777777" w:rsidR="000E3DC5" w:rsidRPr="00146F1B" w:rsidRDefault="000E3DC5" w:rsidP="0069516E">
            <w:pPr>
              <w:spacing w:before="100" w:beforeAutospacing="1" w:afterLines="60" w:after="144"/>
              <w:ind w:left="454"/>
              <w:rPr>
                <w:sz w:val="21"/>
                <w:szCs w:val="21"/>
              </w:rPr>
            </w:pPr>
          </w:p>
        </w:tc>
      </w:tr>
      <w:tr w:rsidR="00DD1027" w14:paraId="1F57FEBC" w14:textId="77777777" w:rsidTr="00381601">
        <w:tc>
          <w:tcPr>
            <w:tcW w:w="2179" w:type="dxa"/>
            <w:shd w:val="clear" w:color="auto" w:fill="FC515B"/>
          </w:tcPr>
          <w:p w14:paraId="6097D061" w14:textId="5558304A" w:rsidR="00DD1027" w:rsidRPr="00146F1B" w:rsidRDefault="00DD1027" w:rsidP="00DD1027">
            <w:pPr>
              <w:spacing w:before="60" w:after="60"/>
            </w:pPr>
            <w:r w:rsidRPr="00DD1027">
              <w:rPr>
                <w:color w:val="FFFFFF" w:themeColor="background1"/>
              </w:rPr>
              <w:lastRenderedPageBreak/>
              <w:t>Consumer understanding next steps</w:t>
            </w:r>
          </w:p>
        </w:tc>
        <w:tc>
          <w:tcPr>
            <w:tcW w:w="11769" w:type="dxa"/>
            <w:gridSpan w:val="3"/>
            <w:tcBorders>
              <w:top w:val="single" w:sz="4" w:space="0" w:color="auto"/>
            </w:tcBorders>
            <w:shd w:val="clear" w:color="auto" w:fill="FFEEEF"/>
          </w:tcPr>
          <w:p w14:paraId="7B77006B" w14:textId="77777777" w:rsidR="00DD1027" w:rsidRPr="00146F1B" w:rsidRDefault="00DD1027" w:rsidP="000E3DC5">
            <w:pPr>
              <w:spacing w:before="100" w:beforeAutospacing="1" w:after="100" w:afterAutospacing="1"/>
              <w:ind w:left="94"/>
              <w:rPr>
                <w:sz w:val="21"/>
                <w:szCs w:val="21"/>
              </w:rPr>
            </w:pPr>
          </w:p>
        </w:tc>
      </w:tr>
      <w:tr w:rsidR="000E3DC5" w14:paraId="72DD16B2" w14:textId="2CD1B021" w:rsidTr="00C21FB1">
        <w:tc>
          <w:tcPr>
            <w:tcW w:w="2179" w:type="dxa"/>
            <w:shd w:val="clear" w:color="auto" w:fill="CC4452"/>
          </w:tcPr>
          <w:p w14:paraId="2CD749FD" w14:textId="0790EFC1" w:rsidR="000E3DC5" w:rsidRPr="00DD1027" w:rsidRDefault="000E3DC5" w:rsidP="00DD1027">
            <w:pPr>
              <w:spacing w:before="60" w:after="60"/>
              <w:rPr>
                <w:color w:val="FFFFFF" w:themeColor="background1"/>
              </w:rPr>
            </w:pPr>
            <w:r w:rsidRPr="00DD1027">
              <w:rPr>
                <w:color w:val="FFFFFF" w:themeColor="background1"/>
              </w:rPr>
              <w:t>Consumer support</w:t>
            </w:r>
          </w:p>
        </w:tc>
        <w:tc>
          <w:tcPr>
            <w:tcW w:w="3950" w:type="dxa"/>
            <w:tcBorders>
              <w:bottom w:val="single" w:sz="4" w:space="0" w:color="auto"/>
            </w:tcBorders>
            <w:shd w:val="clear" w:color="auto" w:fill="FEB1B5"/>
          </w:tcPr>
          <w:p w14:paraId="45E1D5A9"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The best firms were able to demonstrate that they had considered the support needs of their customers, including those who were vulnerable.</w:t>
            </w:r>
          </w:p>
          <w:p w14:paraId="03CE89E4"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They provided support channels appropriate to the needs of their target consumers.</w:t>
            </w:r>
          </w:p>
          <w:p w14:paraId="258CACF9"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They had clear internal service level agreements (SLAs) on delivering support and addressed any shortfalls in a timely manner.</w:t>
            </w:r>
          </w:p>
          <w:p w14:paraId="5A3E4287" w14:textId="01E63D98"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Their MI enabled likely issues with customer support to be identified using complaints and SLA data. Swift action was taken to investigate and fix issues.</w:t>
            </w:r>
          </w:p>
        </w:tc>
        <w:tc>
          <w:tcPr>
            <w:tcW w:w="4072" w:type="dxa"/>
            <w:tcBorders>
              <w:bottom w:val="single" w:sz="4" w:space="0" w:color="auto"/>
            </w:tcBorders>
            <w:shd w:val="clear" w:color="auto" w:fill="FEB1B5"/>
          </w:tcPr>
          <w:p w14:paraId="4167509A" w14:textId="77777777" w:rsidR="000E3DC5" w:rsidRPr="00146F1B" w:rsidRDefault="000E3DC5" w:rsidP="000E3DC5">
            <w:pPr>
              <w:numPr>
                <w:ilvl w:val="0"/>
                <w:numId w:val="2"/>
              </w:numPr>
              <w:tabs>
                <w:tab w:val="clear" w:pos="720"/>
                <w:tab w:val="num" w:pos="454"/>
              </w:tabs>
              <w:spacing w:before="100" w:beforeAutospacing="1" w:afterLines="60" w:after="144"/>
              <w:ind w:left="454"/>
              <w:rPr>
                <w:rFonts w:eastAsia="Times New Roman" w:cs="Times New Roman"/>
                <w:color w:val="000000"/>
                <w:kern w:val="0"/>
                <w:sz w:val="21"/>
                <w:szCs w:val="21"/>
                <w14:ligatures w14:val="none"/>
              </w:rPr>
            </w:pPr>
            <w:r w:rsidRPr="00146F1B">
              <w:rPr>
                <w:sz w:val="21"/>
                <w:szCs w:val="21"/>
              </w:rPr>
              <w:t xml:space="preserve">Some firms were unable to demonstrate that they had sufficiently considered the needs of their </w:t>
            </w:r>
            <w:r w:rsidRPr="00146F1B">
              <w:rPr>
                <w:rFonts w:eastAsia="Times New Roman" w:cs="Times New Roman"/>
                <w:color w:val="000000"/>
                <w:kern w:val="0"/>
                <w:sz w:val="21"/>
                <w:szCs w:val="21"/>
                <w14:ligatures w14:val="none"/>
              </w:rPr>
              <w:t>customers, including those who may be vulnerable, and provide appropriate support channels to them.</w:t>
            </w:r>
          </w:p>
          <w:p w14:paraId="338BFE16" w14:textId="77777777" w:rsidR="000E3DC5" w:rsidRPr="00146F1B" w:rsidRDefault="000E3DC5" w:rsidP="000E3DC5">
            <w:pPr>
              <w:numPr>
                <w:ilvl w:val="0"/>
                <w:numId w:val="2"/>
              </w:numPr>
              <w:tabs>
                <w:tab w:val="clear" w:pos="720"/>
                <w:tab w:val="num" w:pos="454"/>
              </w:tabs>
              <w:spacing w:before="100" w:beforeAutospacing="1" w:afterLines="60" w:after="144"/>
              <w:ind w:left="454"/>
              <w:rPr>
                <w:rFonts w:eastAsia="Times New Roman" w:cs="Times New Roman"/>
                <w:color w:val="000000"/>
                <w:kern w:val="0"/>
                <w:sz w:val="21"/>
                <w:szCs w:val="21"/>
                <w14:ligatures w14:val="none"/>
              </w:rPr>
            </w:pPr>
            <w:r w:rsidRPr="00146F1B">
              <w:rPr>
                <w:rFonts w:eastAsia="Times New Roman" w:cs="Times New Roman"/>
                <w:color w:val="000000"/>
                <w:kern w:val="0"/>
                <w:sz w:val="21"/>
                <w:szCs w:val="21"/>
                <w14:ligatures w14:val="none"/>
              </w:rPr>
              <w:t>Did not clearly point consumers to key support channels.</w:t>
            </w:r>
          </w:p>
          <w:p w14:paraId="218B2A28" w14:textId="60F2C69A" w:rsidR="000E3DC5" w:rsidRPr="00146F1B" w:rsidRDefault="000E3DC5" w:rsidP="000E3DC5">
            <w:pPr>
              <w:numPr>
                <w:ilvl w:val="0"/>
                <w:numId w:val="2"/>
              </w:numPr>
              <w:tabs>
                <w:tab w:val="clear" w:pos="720"/>
                <w:tab w:val="num" w:pos="454"/>
              </w:tabs>
              <w:spacing w:before="100" w:beforeAutospacing="1" w:afterLines="60" w:after="144"/>
              <w:ind w:left="454"/>
              <w:rPr>
                <w:sz w:val="21"/>
                <w:szCs w:val="21"/>
              </w:rPr>
            </w:pPr>
            <w:r w:rsidRPr="00146F1B">
              <w:rPr>
                <w:rFonts w:eastAsia="Times New Roman" w:cs="Times New Roman"/>
                <w:color w:val="000000"/>
                <w:kern w:val="0"/>
                <w:sz w:val="21"/>
                <w:szCs w:val="21"/>
                <w14:ligatures w14:val="none"/>
              </w:rPr>
              <w:t>Were unable to demonstrate good consumer support</w:t>
            </w:r>
            <w:r w:rsidRPr="00146F1B">
              <w:rPr>
                <w:sz w:val="21"/>
                <w:szCs w:val="21"/>
              </w:rPr>
              <w:t xml:space="preserve"> outcomes on complaints handling, exacerbating poor delivery of consumer support overall.</w:t>
            </w:r>
          </w:p>
        </w:tc>
        <w:tc>
          <w:tcPr>
            <w:tcW w:w="3747" w:type="dxa"/>
            <w:tcBorders>
              <w:bottom w:val="single" w:sz="4" w:space="0" w:color="auto"/>
            </w:tcBorders>
            <w:shd w:val="clear" w:color="auto" w:fill="FEB1B5"/>
          </w:tcPr>
          <w:p w14:paraId="035EA61A" w14:textId="77777777" w:rsidR="000E3DC5" w:rsidRPr="00DD1027" w:rsidRDefault="000E3DC5" w:rsidP="0069516E">
            <w:pPr>
              <w:spacing w:before="100" w:beforeAutospacing="1" w:afterLines="60" w:after="144"/>
              <w:ind w:left="454"/>
              <w:rPr>
                <w:rFonts w:eastAsia="Times New Roman" w:cs="Times New Roman"/>
                <w:color w:val="000000"/>
                <w:kern w:val="0"/>
                <w:sz w:val="21"/>
                <w:szCs w:val="21"/>
                <w14:ligatures w14:val="none"/>
              </w:rPr>
            </w:pPr>
          </w:p>
        </w:tc>
      </w:tr>
      <w:tr w:rsidR="00DD1027" w14:paraId="500F98DD" w14:textId="77777777" w:rsidTr="00381601">
        <w:tc>
          <w:tcPr>
            <w:tcW w:w="2179" w:type="dxa"/>
            <w:shd w:val="clear" w:color="auto" w:fill="CC4452"/>
          </w:tcPr>
          <w:p w14:paraId="69C4A21B" w14:textId="55510C05" w:rsidR="00DD1027" w:rsidRPr="00DD1027" w:rsidRDefault="00DD1027" w:rsidP="00DD1027">
            <w:pPr>
              <w:spacing w:before="60" w:after="60"/>
              <w:rPr>
                <w:color w:val="FFFFFF" w:themeColor="background1"/>
              </w:rPr>
            </w:pPr>
            <w:r w:rsidRPr="00DD1027">
              <w:rPr>
                <w:color w:val="FFFFFF" w:themeColor="background1"/>
              </w:rPr>
              <w:t>Consumer support next steps</w:t>
            </w:r>
          </w:p>
        </w:tc>
        <w:tc>
          <w:tcPr>
            <w:tcW w:w="11769" w:type="dxa"/>
            <w:gridSpan w:val="3"/>
            <w:tcBorders>
              <w:top w:val="single" w:sz="4" w:space="0" w:color="auto"/>
            </w:tcBorders>
            <w:shd w:val="clear" w:color="auto" w:fill="FEB1B5"/>
          </w:tcPr>
          <w:p w14:paraId="41FADD7B" w14:textId="77777777" w:rsidR="00DD1027" w:rsidRPr="00146F1B" w:rsidRDefault="00DD1027" w:rsidP="000E3DC5">
            <w:pPr>
              <w:spacing w:before="100" w:beforeAutospacing="1" w:after="100" w:afterAutospacing="1"/>
              <w:ind w:left="94"/>
              <w:rPr>
                <w:sz w:val="21"/>
                <w:szCs w:val="21"/>
              </w:rPr>
            </w:pPr>
          </w:p>
        </w:tc>
      </w:tr>
      <w:tr w:rsidR="000E3DC5" w14:paraId="69504010" w14:textId="6116EB31" w:rsidTr="00381601">
        <w:tc>
          <w:tcPr>
            <w:tcW w:w="2179" w:type="dxa"/>
            <w:shd w:val="clear" w:color="auto" w:fill="FC515B"/>
          </w:tcPr>
          <w:p w14:paraId="26BCA686" w14:textId="54B8512D" w:rsidR="000E3DC5" w:rsidRPr="00DD1027" w:rsidRDefault="000E3DC5" w:rsidP="00DD1027">
            <w:pPr>
              <w:spacing w:before="60" w:after="60"/>
              <w:rPr>
                <w:color w:val="FFFFFF" w:themeColor="background1"/>
              </w:rPr>
            </w:pPr>
            <w:r w:rsidRPr="00DD1027">
              <w:rPr>
                <w:color w:val="FFFFFF" w:themeColor="background1"/>
              </w:rPr>
              <w:t>Governance</w:t>
            </w:r>
          </w:p>
        </w:tc>
        <w:tc>
          <w:tcPr>
            <w:tcW w:w="3950" w:type="dxa"/>
            <w:tcBorders>
              <w:bottom w:val="single" w:sz="4" w:space="0" w:color="auto"/>
            </w:tcBorders>
            <w:shd w:val="clear" w:color="auto" w:fill="FFEEEF"/>
          </w:tcPr>
          <w:p w14:paraId="2F60129C"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 xml:space="preserve">The best firms demonstrated that their boards regularly considered and challenged the extent to which they were delivering good consumer </w:t>
            </w:r>
            <w:r w:rsidRPr="00146F1B">
              <w:rPr>
                <w:sz w:val="21"/>
                <w:szCs w:val="21"/>
              </w:rPr>
              <w:lastRenderedPageBreak/>
              <w:t>outcomes and were remediating shortfalls.</w:t>
            </w:r>
          </w:p>
          <w:p w14:paraId="13B6B707"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This included remediating shortfalls in delivering good consumer outcomes via their agents and distributors.</w:t>
            </w:r>
          </w:p>
          <w:p w14:paraId="63983E8A"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Such firms tended to have more detailed minutes providing evidence of the nature of the discussion, challenge by the Board and Consumer Duty Champion and the remediating action required.</w:t>
            </w:r>
          </w:p>
          <w:p w14:paraId="2E4D1FE6" w14:textId="7957CC9D"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Concise MI packs were provided to the Board that allowed proper consideration of Duty matters.</w:t>
            </w:r>
          </w:p>
        </w:tc>
        <w:tc>
          <w:tcPr>
            <w:tcW w:w="4072" w:type="dxa"/>
            <w:tcBorders>
              <w:bottom w:val="single" w:sz="4" w:space="0" w:color="auto"/>
            </w:tcBorders>
            <w:shd w:val="clear" w:color="auto" w:fill="FFEEEF"/>
          </w:tcPr>
          <w:p w14:paraId="7BDF3009" w14:textId="77777777" w:rsidR="000E3DC5" w:rsidRPr="00146F1B" w:rsidRDefault="000E3DC5" w:rsidP="000E3DC5">
            <w:pPr>
              <w:numPr>
                <w:ilvl w:val="0"/>
                <w:numId w:val="2"/>
              </w:numPr>
              <w:tabs>
                <w:tab w:val="clear" w:pos="720"/>
                <w:tab w:val="num" w:pos="454"/>
              </w:tabs>
              <w:spacing w:before="100" w:beforeAutospacing="1" w:afterLines="60" w:after="144"/>
              <w:ind w:left="454"/>
              <w:rPr>
                <w:rFonts w:eastAsia="Times New Roman" w:cs="Times New Roman"/>
                <w:color w:val="000000"/>
                <w:kern w:val="0"/>
                <w:sz w:val="21"/>
                <w:szCs w:val="21"/>
                <w14:ligatures w14:val="none"/>
              </w:rPr>
            </w:pPr>
            <w:r w:rsidRPr="00146F1B">
              <w:rPr>
                <w:sz w:val="21"/>
                <w:szCs w:val="21"/>
              </w:rPr>
              <w:lastRenderedPageBreak/>
              <w:t xml:space="preserve">Some firms were unable to clearly demonstrate that they had considered the Duty in their </w:t>
            </w:r>
            <w:r w:rsidRPr="00146F1B">
              <w:rPr>
                <w:rFonts w:eastAsia="Times New Roman" w:cs="Times New Roman"/>
                <w:color w:val="000000"/>
                <w:kern w:val="0"/>
                <w:sz w:val="21"/>
                <w:szCs w:val="21"/>
                <w14:ligatures w14:val="none"/>
              </w:rPr>
              <w:t xml:space="preserve">governance arrangements. We asked </w:t>
            </w:r>
            <w:r w:rsidRPr="00146F1B">
              <w:rPr>
                <w:rFonts w:eastAsia="Times New Roman" w:cs="Times New Roman"/>
                <w:color w:val="000000"/>
                <w:kern w:val="0"/>
                <w:sz w:val="21"/>
                <w:szCs w:val="21"/>
                <w14:ligatures w14:val="none"/>
              </w:rPr>
              <w:lastRenderedPageBreak/>
              <w:t>firms to provide their Consumer Duty governance structure to us. In some cases, the documents we received initially included no mention of the Duty and we had to ask firms to make sure they had considered the Duty in their governance arrangements.</w:t>
            </w:r>
          </w:p>
          <w:p w14:paraId="3C42CC18" w14:textId="77777777" w:rsidR="000E3DC5" w:rsidRPr="00146F1B" w:rsidRDefault="000E3DC5" w:rsidP="000E3DC5">
            <w:pPr>
              <w:numPr>
                <w:ilvl w:val="0"/>
                <w:numId w:val="2"/>
              </w:numPr>
              <w:tabs>
                <w:tab w:val="clear" w:pos="720"/>
                <w:tab w:val="num" w:pos="454"/>
              </w:tabs>
              <w:spacing w:before="100" w:beforeAutospacing="1" w:afterLines="60" w:after="144"/>
              <w:ind w:left="454"/>
              <w:rPr>
                <w:rFonts w:eastAsia="Times New Roman" w:cs="Times New Roman"/>
                <w:color w:val="000000"/>
                <w:kern w:val="0"/>
                <w:sz w:val="21"/>
                <w:szCs w:val="21"/>
                <w14:ligatures w14:val="none"/>
              </w:rPr>
            </w:pPr>
            <w:r w:rsidRPr="00146F1B">
              <w:rPr>
                <w:rFonts w:eastAsia="Times New Roman" w:cs="Times New Roman"/>
                <w:color w:val="000000"/>
                <w:kern w:val="0"/>
                <w:sz w:val="21"/>
                <w:szCs w:val="21"/>
                <w14:ligatures w14:val="none"/>
              </w:rPr>
              <w:t>Some Board minutes provided no, or very limited, evidence of challenge regarding the firm’s implementation of the Duty.</w:t>
            </w:r>
          </w:p>
          <w:p w14:paraId="5FCD7D64" w14:textId="25C3AFC2" w:rsidR="000E3DC5" w:rsidRPr="00146F1B" w:rsidRDefault="000E3DC5" w:rsidP="000E3DC5">
            <w:pPr>
              <w:numPr>
                <w:ilvl w:val="0"/>
                <w:numId w:val="2"/>
              </w:numPr>
              <w:tabs>
                <w:tab w:val="clear" w:pos="720"/>
                <w:tab w:val="num" w:pos="454"/>
              </w:tabs>
              <w:spacing w:before="100" w:beforeAutospacing="1" w:afterLines="60" w:after="144"/>
              <w:ind w:left="454"/>
              <w:rPr>
                <w:sz w:val="21"/>
                <w:szCs w:val="21"/>
              </w:rPr>
            </w:pPr>
            <w:r w:rsidRPr="00146F1B">
              <w:rPr>
                <w:rFonts w:eastAsia="Times New Roman" w:cs="Times New Roman"/>
                <w:color w:val="000000"/>
                <w:kern w:val="0"/>
                <w:sz w:val="21"/>
                <w:szCs w:val="21"/>
                <w14:ligatures w14:val="none"/>
              </w:rPr>
              <w:t>Some Board minutes noted the Board’s satisfaction with progress in embedding the Duty but failed to address key shortfalls, such as late delivery of k</w:t>
            </w:r>
            <w:r w:rsidRPr="00146F1B">
              <w:rPr>
                <w:sz w:val="21"/>
                <w:szCs w:val="21"/>
              </w:rPr>
              <w:t>ey actions raised in other documents we received.</w:t>
            </w:r>
          </w:p>
        </w:tc>
        <w:tc>
          <w:tcPr>
            <w:tcW w:w="3747" w:type="dxa"/>
            <w:tcBorders>
              <w:bottom w:val="single" w:sz="4" w:space="0" w:color="auto"/>
            </w:tcBorders>
            <w:shd w:val="clear" w:color="auto" w:fill="FFEEEF"/>
          </w:tcPr>
          <w:p w14:paraId="47499609" w14:textId="77777777" w:rsidR="000E3DC5" w:rsidRPr="00146F1B" w:rsidRDefault="000E3DC5" w:rsidP="0069516E">
            <w:pPr>
              <w:spacing w:before="100" w:beforeAutospacing="1" w:afterLines="60" w:after="144"/>
              <w:ind w:left="454"/>
              <w:rPr>
                <w:sz w:val="21"/>
                <w:szCs w:val="21"/>
              </w:rPr>
            </w:pPr>
          </w:p>
        </w:tc>
      </w:tr>
      <w:tr w:rsidR="00DD1027" w14:paraId="3A32C73A" w14:textId="77777777" w:rsidTr="00381601">
        <w:tc>
          <w:tcPr>
            <w:tcW w:w="2179" w:type="dxa"/>
            <w:shd w:val="clear" w:color="auto" w:fill="FC515B"/>
          </w:tcPr>
          <w:p w14:paraId="0DCE4DD1" w14:textId="37890928" w:rsidR="00DD1027" w:rsidRPr="00DD1027" w:rsidRDefault="00DD1027" w:rsidP="00DD1027">
            <w:pPr>
              <w:spacing w:before="60" w:after="60"/>
              <w:rPr>
                <w:color w:val="FFFFFF" w:themeColor="background1"/>
              </w:rPr>
            </w:pPr>
            <w:r w:rsidRPr="00DD1027">
              <w:rPr>
                <w:color w:val="FFFFFF" w:themeColor="background1"/>
              </w:rPr>
              <w:t>Governance next steps</w:t>
            </w:r>
          </w:p>
        </w:tc>
        <w:tc>
          <w:tcPr>
            <w:tcW w:w="11769" w:type="dxa"/>
            <w:gridSpan w:val="3"/>
            <w:tcBorders>
              <w:top w:val="single" w:sz="4" w:space="0" w:color="auto"/>
            </w:tcBorders>
            <w:shd w:val="clear" w:color="auto" w:fill="FFEEEF"/>
          </w:tcPr>
          <w:p w14:paraId="4347F29A" w14:textId="77777777" w:rsidR="00DD1027" w:rsidRPr="00146F1B" w:rsidRDefault="00DD1027" w:rsidP="000E3DC5">
            <w:pPr>
              <w:spacing w:before="100" w:beforeAutospacing="1" w:after="100" w:afterAutospacing="1"/>
              <w:ind w:left="94"/>
              <w:rPr>
                <w:sz w:val="21"/>
                <w:szCs w:val="21"/>
              </w:rPr>
            </w:pPr>
          </w:p>
        </w:tc>
      </w:tr>
      <w:tr w:rsidR="000E3DC5" w14:paraId="36AC463B" w14:textId="6D0DABF0" w:rsidTr="00C21FB1">
        <w:tc>
          <w:tcPr>
            <w:tcW w:w="2179" w:type="dxa"/>
            <w:shd w:val="clear" w:color="auto" w:fill="CC4452"/>
          </w:tcPr>
          <w:p w14:paraId="46B6A4BE" w14:textId="081869E2" w:rsidR="000E3DC5" w:rsidRPr="00146F1B" w:rsidRDefault="000E3DC5" w:rsidP="00DD1027">
            <w:pPr>
              <w:spacing w:before="60" w:after="60"/>
            </w:pPr>
            <w:r w:rsidRPr="00C21FB1">
              <w:rPr>
                <w:color w:val="FFFFFF" w:themeColor="background1"/>
              </w:rPr>
              <w:t>Management information</w:t>
            </w:r>
          </w:p>
        </w:tc>
        <w:tc>
          <w:tcPr>
            <w:tcW w:w="3950" w:type="dxa"/>
            <w:tcBorders>
              <w:bottom w:val="single" w:sz="4" w:space="0" w:color="auto"/>
            </w:tcBorders>
            <w:shd w:val="clear" w:color="auto" w:fill="FEB1B5"/>
          </w:tcPr>
          <w:p w14:paraId="09B9BB3F" w14:textId="77777777" w:rsidR="000E3DC5" w:rsidRPr="00146F1B" w:rsidRDefault="000E3DC5" w:rsidP="000E3DC5">
            <w:pPr>
              <w:spacing w:afterLines="60" w:after="144"/>
              <w:rPr>
                <w:sz w:val="21"/>
                <w:szCs w:val="21"/>
              </w:rPr>
            </w:pPr>
            <w:r w:rsidRPr="00146F1B">
              <w:rPr>
                <w:sz w:val="21"/>
                <w:szCs w:val="21"/>
              </w:rPr>
              <w:t>Set out MI in a way that assists the Board to identify good outcomes and shortfalls.</w:t>
            </w:r>
          </w:p>
          <w:p w14:paraId="4E02A4BC"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Setting out the good outcomes they wish to deliver under each of the outcome lenses and linking the MI measures to them.</w:t>
            </w:r>
          </w:p>
          <w:p w14:paraId="5676AEBD"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 xml:space="preserve">Including traffic lighted red, amber and green statistical thresholds or </w:t>
            </w:r>
            <w:r w:rsidRPr="00146F1B">
              <w:rPr>
                <w:sz w:val="21"/>
                <w:szCs w:val="21"/>
              </w:rPr>
              <w:lastRenderedPageBreak/>
              <w:t>similar on each measure to identify shortfalls requiring investigation.</w:t>
            </w:r>
          </w:p>
          <w:p w14:paraId="221A7ED3" w14:textId="77777777"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Clearly setting out remediating actions with action owners, target completion dates and progress updates.</w:t>
            </w:r>
          </w:p>
          <w:p w14:paraId="67DADB52" w14:textId="6332632E" w:rsidR="000E3DC5" w:rsidRPr="00146F1B" w:rsidRDefault="000E3DC5" w:rsidP="000E3DC5">
            <w:pPr>
              <w:numPr>
                <w:ilvl w:val="0"/>
                <w:numId w:val="6"/>
              </w:numPr>
              <w:tabs>
                <w:tab w:val="clear" w:pos="720"/>
                <w:tab w:val="num" w:pos="360"/>
              </w:tabs>
              <w:spacing w:afterLines="60" w:after="144"/>
              <w:ind w:left="323" w:hanging="283"/>
              <w:rPr>
                <w:sz w:val="21"/>
                <w:szCs w:val="21"/>
              </w:rPr>
            </w:pPr>
            <w:r w:rsidRPr="00146F1B">
              <w:rPr>
                <w:sz w:val="21"/>
                <w:szCs w:val="21"/>
              </w:rPr>
              <w:t>Assessing whether the remediating actions had been effective in raising standards.  </w:t>
            </w:r>
          </w:p>
        </w:tc>
        <w:tc>
          <w:tcPr>
            <w:tcW w:w="4072" w:type="dxa"/>
            <w:tcBorders>
              <w:bottom w:val="single" w:sz="4" w:space="0" w:color="auto"/>
            </w:tcBorders>
            <w:shd w:val="clear" w:color="auto" w:fill="FEB1B5"/>
          </w:tcPr>
          <w:p w14:paraId="33D0C45A" w14:textId="77777777" w:rsidR="000E3DC5" w:rsidRPr="00146F1B" w:rsidRDefault="000E3DC5" w:rsidP="000E3DC5">
            <w:pPr>
              <w:numPr>
                <w:ilvl w:val="0"/>
                <w:numId w:val="2"/>
              </w:numPr>
              <w:tabs>
                <w:tab w:val="clear" w:pos="720"/>
                <w:tab w:val="num" w:pos="454"/>
              </w:tabs>
              <w:spacing w:before="100" w:beforeAutospacing="1" w:afterLines="60" w:after="144"/>
              <w:ind w:left="454"/>
              <w:rPr>
                <w:rFonts w:eastAsia="Times New Roman" w:cs="Times New Roman"/>
                <w:color w:val="000000"/>
                <w:kern w:val="0"/>
                <w:sz w:val="21"/>
                <w:szCs w:val="21"/>
                <w14:ligatures w14:val="none"/>
              </w:rPr>
            </w:pPr>
            <w:r w:rsidRPr="00146F1B">
              <w:rPr>
                <w:sz w:val="21"/>
                <w:szCs w:val="21"/>
              </w:rPr>
              <w:lastRenderedPageBreak/>
              <w:t>Some firms had made minimal changes to their pre-</w:t>
            </w:r>
            <w:r w:rsidRPr="00146F1B">
              <w:rPr>
                <w:rFonts w:eastAsia="Times New Roman" w:cs="Times New Roman"/>
                <w:color w:val="000000"/>
                <w:kern w:val="0"/>
                <w:sz w:val="21"/>
                <w:szCs w:val="21"/>
                <w14:ligatures w14:val="none"/>
              </w:rPr>
              <w:t>Consumer Duty Board MI. In some cases, this meant that it was insufficient to identify shortfalls in delivering poor Consumer Duty outcomes.</w:t>
            </w:r>
          </w:p>
          <w:p w14:paraId="521CD1DF" w14:textId="7B59EEA5" w:rsidR="000E3DC5" w:rsidRPr="00146F1B" w:rsidRDefault="000E3DC5" w:rsidP="000E3DC5">
            <w:pPr>
              <w:numPr>
                <w:ilvl w:val="0"/>
                <w:numId w:val="2"/>
              </w:numPr>
              <w:tabs>
                <w:tab w:val="clear" w:pos="720"/>
                <w:tab w:val="num" w:pos="454"/>
              </w:tabs>
              <w:spacing w:before="100" w:beforeAutospacing="1" w:afterLines="60" w:after="144"/>
              <w:ind w:left="454"/>
              <w:rPr>
                <w:sz w:val="21"/>
                <w:szCs w:val="21"/>
              </w:rPr>
            </w:pPr>
            <w:r w:rsidRPr="00146F1B">
              <w:rPr>
                <w:rFonts w:eastAsia="Times New Roman" w:cs="Times New Roman"/>
                <w:color w:val="000000"/>
                <w:kern w:val="0"/>
                <w:sz w:val="21"/>
                <w:szCs w:val="21"/>
                <w14:ligatures w14:val="none"/>
              </w:rPr>
              <w:t xml:space="preserve">Some firms did not clearly link their Board MI to Consumer Duty outcomes or include statistical thresholds or clear qualitative </w:t>
            </w:r>
            <w:r w:rsidRPr="00146F1B">
              <w:rPr>
                <w:rFonts w:eastAsia="Times New Roman" w:cs="Times New Roman"/>
                <w:color w:val="000000"/>
                <w:kern w:val="0"/>
                <w:sz w:val="21"/>
                <w:szCs w:val="21"/>
                <w14:ligatures w14:val="none"/>
              </w:rPr>
              <w:lastRenderedPageBreak/>
              <w:t>assessments on whether they</w:t>
            </w:r>
            <w:r w:rsidRPr="00146F1B">
              <w:rPr>
                <w:sz w:val="21"/>
                <w:szCs w:val="21"/>
              </w:rPr>
              <w:t xml:space="preserve"> were delivering good outcomes. This is likely to make it challenging for them to identify poor consumer outcomes.</w:t>
            </w:r>
          </w:p>
        </w:tc>
        <w:tc>
          <w:tcPr>
            <w:tcW w:w="3747" w:type="dxa"/>
            <w:tcBorders>
              <w:bottom w:val="single" w:sz="4" w:space="0" w:color="auto"/>
            </w:tcBorders>
            <w:shd w:val="clear" w:color="auto" w:fill="FEB1B5"/>
          </w:tcPr>
          <w:p w14:paraId="4089F9C4" w14:textId="77777777" w:rsidR="000E3DC5" w:rsidRPr="00146F1B" w:rsidRDefault="000E3DC5" w:rsidP="0069516E">
            <w:pPr>
              <w:spacing w:before="100" w:beforeAutospacing="1" w:afterLines="60" w:after="144"/>
              <w:ind w:left="454"/>
              <w:rPr>
                <w:sz w:val="21"/>
                <w:szCs w:val="21"/>
              </w:rPr>
            </w:pPr>
          </w:p>
        </w:tc>
      </w:tr>
      <w:tr w:rsidR="00DD1027" w14:paraId="7B19BBC3" w14:textId="77777777" w:rsidTr="00C21FB1">
        <w:tc>
          <w:tcPr>
            <w:tcW w:w="2179" w:type="dxa"/>
            <w:shd w:val="clear" w:color="auto" w:fill="CC4452"/>
          </w:tcPr>
          <w:p w14:paraId="6F99C5E2" w14:textId="442AA6EB" w:rsidR="00DD1027" w:rsidRPr="00146F1B" w:rsidRDefault="00DD1027" w:rsidP="00DD1027">
            <w:pPr>
              <w:spacing w:before="60" w:after="60"/>
            </w:pPr>
            <w:r w:rsidRPr="00C21FB1">
              <w:rPr>
                <w:color w:val="FFFFFF" w:themeColor="background1"/>
              </w:rPr>
              <w:t>Management information next steps</w:t>
            </w:r>
          </w:p>
        </w:tc>
        <w:tc>
          <w:tcPr>
            <w:tcW w:w="11769" w:type="dxa"/>
            <w:gridSpan w:val="3"/>
            <w:tcBorders>
              <w:top w:val="single" w:sz="4" w:space="0" w:color="auto"/>
            </w:tcBorders>
            <w:shd w:val="clear" w:color="auto" w:fill="FEB1B5"/>
          </w:tcPr>
          <w:p w14:paraId="5D28A39E" w14:textId="77777777" w:rsidR="00DD1027" w:rsidRPr="00146F1B" w:rsidRDefault="00DD1027" w:rsidP="000E3DC5">
            <w:pPr>
              <w:spacing w:before="100" w:beforeAutospacing="1" w:after="100" w:afterAutospacing="1"/>
              <w:ind w:left="94"/>
              <w:rPr>
                <w:sz w:val="21"/>
                <w:szCs w:val="21"/>
              </w:rPr>
            </w:pPr>
          </w:p>
        </w:tc>
      </w:tr>
    </w:tbl>
    <w:p w14:paraId="7FC60253" w14:textId="77777777" w:rsidR="000D6F79" w:rsidRPr="00146F1B" w:rsidRDefault="000D6F79" w:rsidP="00146F1B">
      <w:pPr>
        <w:rPr>
          <w:sz w:val="12"/>
          <w:szCs w:val="12"/>
        </w:rPr>
      </w:pPr>
    </w:p>
    <w:sectPr w:rsidR="000D6F79" w:rsidRPr="00146F1B" w:rsidSect="00146F1B">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A9EF7" w14:textId="77777777" w:rsidR="007C5794" w:rsidRDefault="007C5794" w:rsidP="00405B7D">
      <w:pPr>
        <w:spacing w:after="0" w:line="240" w:lineRule="auto"/>
      </w:pPr>
      <w:r>
        <w:separator/>
      </w:r>
    </w:p>
  </w:endnote>
  <w:endnote w:type="continuationSeparator" w:id="0">
    <w:p w14:paraId="64A860B5" w14:textId="77777777" w:rsidR="007C5794" w:rsidRDefault="007C5794" w:rsidP="0040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B4FF" w14:textId="77777777" w:rsidR="00405B7D" w:rsidRDefault="00405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7294C" w14:textId="77777777" w:rsidR="00405B7D" w:rsidRDefault="00405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79CE0" w14:textId="77777777" w:rsidR="00405B7D" w:rsidRDefault="00405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CEC04" w14:textId="77777777" w:rsidR="007C5794" w:rsidRDefault="007C5794" w:rsidP="00405B7D">
      <w:pPr>
        <w:spacing w:after="0" w:line="240" w:lineRule="auto"/>
      </w:pPr>
      <w:r>
        <w:separator/>
      </w:r>
    </w:p>
  </w:footnote>
  <w:footnote w:type="continuationSeparator" w:id="0">
    <w:p w14:paraId="1446F332" w14:textId="77777777" w:rsidR="007C5794" w:rsidRDefault="007C5794" w:rsidP="00405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CF4C" w14:textId="77777777" w:rsidR="00405B7D" w:rsidRDefault="00405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E9B24" w14:textId="77777777" w:rsidR="00405B7D" w:rsidRDefault="00405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8F280" w14:textId="77777777" w:rsidR="00405B7D" w:rsidRDefault="00405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54"/>
    <w:multiLevelType w:val="multilevel"/>
    <w:tmpl w:val="81A6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94AE4"/>
    <w:multiLevelType w:val="multilevel"/>
    <w:tmpl w:val="BDA4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92600"/>
    <w:multiLevelType w:val="multilevel"/>
    <w:tmpl w:val="344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F52DC"/>
    <w:multiLevelType w:val="multilevel"/>
    <w:tmpl w:val="EC9C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A165F"/>
    <w:multiLevelType w:val="multilevel"/>
    <w:tmpl w:val="E962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921FA"/>
    <w:multiLevelType w:val="multilevel"/>
    <w:tmpl w:val="6F5A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F79DC"/>
    <w:multiLevelType w:val="multilevel"/>
    <w:tmpl w:val="88A2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673AA"/>
    <w:multiLevelType w:val="multilevel"/>
    <w:tmpl w:val="2E4A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32C77"/>
    <w:multiLevelType w:val="multilevel"/>
    <w:tmpl w:val="32543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02498"/>
    <w:multiLevelType w:val="multilevel"/>
    <w:tmpl w:val="2C28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44FE1"/>
    <w:multiLevelType w:val="multilevel"/>
    <w:tmpl w:val="7E48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4F7906"/>
    <w:multiLevelType w:val="multilevel"/>
    <w:tmpl w:val="6E4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A67E7F"/>
    <w:multiLevelType w:val="multilevel"/>
    <w:tmpl w:val="4ACE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238909">
    <w:abstractNumId w:val="1"/>
  </w:num>
  <w:num w:numId="2" w16cid:durableId="2015378255">
    <w:abstractNumId w:val="6"/>
  </w:num>
  <w:num w:numId="3" w16cid:durableId="275218228">
    <w:abstractNumId w:val="7"/>
  </w:num>
  <w:num w:numId="4" w16cid:durableId="1810979006">
    <w:abstractNumId w:val="4"/>
  </w:num>
  <w:num w:numId="5" w16cid:durableId="1317954053">
    <w:abstractNumId w:val="2"/>
  </w:num>
  <w:num w:numId="6" w16cid:durableId="931007108">
    <w:abstractNumId w:val="8"/>
  </w:num>
  <w:num w:numId="7" w16cid:durableId="811143231">
    <w:abstractNumId w:val="5"/>
  </w:num>
  <w:num w:numId="8" w16cid:durableId="1670477020">
    <w:abstractNumId w:val="12"/>
  </w:num>
  <w:num w:numId="9" w16cid:durableId="911893748">
    <w:abstractNumId w:val="0"/>
  </w:num>
  <w:num w:numId="10" w16cid:durableId="2016640301">
    <w:abstractNumId w:val="9"/>
  </w:num>
  <w:num w:numId="11" w16cid:durableId="1812095277">
    <w:abstractNumId w:val="3"/>
  </w:num>
  <w:num w:numId="12" w16cid:durableId="1100564777">
    <w:abstractNumId w:val="11"/>
  </w:num>
  <w:num w:numId="13" w16cid:durableId="220945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79"/>
    <w:rsid w:val="000D6F79"/>
    <w:rsid w:val="000E3DC5"/>
    <w:rsid w:val="001022AD"/>
    <w:rsid w:val="00146F1B"/>
    <w:rsid w:val="001F27AC"/>
    <w:rsid w:val="002A7DBA"/>
    <w:rsid w:val="00381601"/>
    <w:rsid w:val="00405B7D"/>
    <w:rsid w:val="00441BEA"/>
    <w:rsid w:val="004C2A71"/>
    <w:rsid w:val="00517DFA"/>
    <w:rsid w:val="005335A5"/>
    <w:rsid w:val="00656763"/>
    <w:rsid w:val="0069516E"/>
    <w:rsid w:val="0070725B"/>
    <w:rsid w:val="0075181D"/>
    <w:rsid w:val="0079796A"/>
    <w:rsid w:val="007C5794"/>
    <w:rsid w:val="007E5E40"/>
    <w:rsid w:val="00892493"/>
    <w:rsid w:val="00A45605"/>
    <w:rsid w:val="00C16A89"/>
    <w:rsid w:val="00C21FB1"/>
    <w:rsid w:val="00CF5B3A"/>
    <w:rsid w:val="00D00CF5"/>
    <w:rsid w:val="00D47017"/>
    <w:rsid w:val="00D85182"/>
    <w:rsid w:val="00DD1027"/>
    <w:rsid w:val="00DD251E"/>
    <w:rsid w:val="00E12F83"/>
    <w:rsid w:val="00F36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D07C"/>
  <w15:chartTrackingRefBased/>
  <w15:docId w15:val="{92E52ECC-404B-41F5-89EA-5D8840E0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027"/>
    <w:pPr>
      <w:keepNext/>
      <w:keepLines/>
      <w:spacing w:before="360" w:after="80"/>
      <w:outlineLvl w:val="0"/>
    </w:pPr>
    <w:rPr>
      <w:rFonts w:asciiTheme="majorHAnsi" w:eastAsiaTheme="majorEastAsia" w:hAnsiTheme="majorHAnsi" w:cstheme="majorBidi"/>
      <w:color w:val="FC515B"/>
      <w:sz w:val="40"/>
      <w:szCs w:val="40"/>
    </w:rPr>
  </w:style>
  <w:style w:type="paragraph" w:styleId="Heading2">
    <w:name w:val="heading 2"/>
    <w:basedOn w:val="Normal"/>
    <w:next w:val="Normal"/>
    <w:link w:val="Heading2Char"/>
    <w:uiPriority w:val="9"/>
    <w:unhideWhenUsed/>
    <w:qFormat/>
    <w:rsid w:val="00DD1027"/>
    <w:pPr>
      <w:keepNext/>
      <w:keepLines/>
      <w:spacing w:before="160" w:after="80"/>
      <w:outlineLvl w:val="1"/>
    </w:pPr>
    <w:rPr>
      <w:rFonts w:asciiTheme="majorHAnsi" w:eastAsiaTheme="majorEastAsia" w:hAnsiTheme="majorHAnsi" w:cstheme="majorBidi"/>
      <w:color w:val="FC515B"/>
      <w:sz w:val="32"/>
      <w:szCs w:val="32"/>
    </w:rPr>
  </w:style>
  <w:style w:type="paragraph" w:styleId="Heading3">
    <w:name w:val="heading 3"/>
    <w:basedOn w:val="Normal"/>
    <w:next w:val="Normal"/>
    <w:link w:val="Heading3Char"/>
    <w:uiPriority w:val="9"/>
    <w:semiHidden/>
    <w:unhideWhenUsed/>
    <w:qFormat/>
    <w:rsid w:val="000D6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027"/>
    <w:rPr>
      <w:rFonts w:asciiTheme="majorHAnsi" w:eastAsiaTheme="majorEastAsia" w:hAnsiTheme="majorHAnsi" w:cstheme="majorBidi"/>
      <w:color w:val="FC515B"/>
      <w:sz w:val="40"/>
      <w:szCs w:val="40"/>
    </w:rPr>
  </w:style>
  <w:style w:type="character" w:customStyle="1" w:styleId="Heading2Char">
    <w:name w:val="Heading 2 Char"/>
    <w:basedOn w:val="DefaultParagraphFont"/>
    <w:link w:val="Heading2"/>
    <w:uiPriority w:val="9"/>
    <w:rsid w:val="00DD1027"/>
    <w:rPr>
      <w:rFonts w:asciiTheme="majorHAnsi" w:eastAsiaTheme="majorEastAsia" w:hAnsiTheme="majorHAnsi" w:cstheme="majorBidi"/>
      <w:color w:val="FC515B"/>
      <w:sz w:val="32"/>
      <w:szCs w:val="32"/>
    </w:rPr>
  </w:style>
  <w:style w:type="character" w:customStyle="1" w:styleId="Heading3Char">
    <w:name w:val="Heading 3 Char"/>
    <w:basedOn w:val="DefaultParagraphFont"/>
    <w:link w:val="Heading3"/>
    <w:uiPriority w:val="9"/>
    <w:semiHidden/>
    <w:rsid w:val="000D6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F79"/>
    <w:rPr>
      <w:rFonts w:eastAsiaTheme="majorEastAsia" w:cstheme="majorBidi"/>
      <w:color w:val="272727" w:themeColor="text1" w:themeTint="D8"/>
    </w:rPr>
  </w:style>
  <w:style w:type="paragraph" w:styleId="Title">
    <w:name w:val="Title"/>
    <w:basedOn w:val="Normal"/>
    <w:next w:val="Normal"/>
    <w:link w:val="TitleChar"/>
    <w:uiPriority w:val="10"/>
    <w:qFormat/>
    <w:rsid w:val="00DD1027"/>
    <w:pPr>
      <w:spacing w:after="80" w:line="240" w:lineRule="auto"/>
      <w:contextualSpacing/>
    </w:pPr>
    <w:rPr>
      <w:rFonts w:asciiTheme="majorHAnsi" w:eastAsiaTheme="majorEastAsia" w:hAnsiTheme="majorHAnsi" w:cstheme="majorBidi"/>
      <w:color w:val="FC515B"/>
      <w:spacing w:val="-10"/>
      <w:kern w:val="28"/>
      <w:sz w:val="56"/>
      <w:szCs w:val="56"/>
    </w:rPr>
  </w:style>
  <w:style w:type="character" w:customStyle="1" w:styleId="TitleChar">
    <w:name w:val="Title Char"/>
    <w:basedOn w:val="DefaultParagraphFont"/>
    <w:link w:val="Title"/>
    <w:uiPriority w:val="10"/>
    <w:rsid w:val="00DD1027"/>
    <w:rPr>
      <w:rFonts w:asciiTheme="majorHAnsi" w:eastAsiaTheme="majorEastAsia" w:hAnsiTheme="majorHAnsi" w:cstheme="majorBidi"/>
      <w:color w:val="FC515B"/>
      <w:spacing w:val="-10"/>
      <w:kern w:val="28"/>
      <w:sz w:val="56"/>
      <w:szCs w:val="56"/>
    </w:rPr>
  </w:style>
  <w:style w:type="paragraph" w:styleId="Subtitle">
    <w:name w:val="Subtitle"/>
    <w:basedOn w:val="Normal"/>
    <w:next w:val="Normal"/>
    <w:link w:val="SubtitleChar"/>
    <w:uiPriority w:val="11"/>
    <w:qFormat/>
    <w:rsid w:val="000D6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F79"/>
    <w:pPr>
      <w:spacing w:before="160"/>
      <w:jc w:val="center"/>
    </w:pPr>
    <w:rPr>
      <w:i/>
      <w:iCs/>
      <w:color w:val="404040" w:themeColor="text1" w:themeTint="BF"/>
    </w:rPr>
  </w:style>
  <w:style w:type="character" w:customStyle="1" w:styleId="QuoteChar">
    <w:name w:val="Quote Char"/>
    <w:basedOn w:val="DefaultParagraphFont"/>
    <w:link w:val="Quote"/>
    <w:uiPriority w:val="29"/>
    <w:rsid w:val="000D6F79"/>
    <w:rPr>
      <w:i/>
      <w:iCs/>
      <w:color w:val="404040" w:themeColor="text1" w:themeTint="BF"/>
    </w:rPr>
  </w:style>
  <w:style w:type="paragraph" w:styleId="ListParagraph">
    <w:name w:val="List Paragraph"/>
    <w:basedOn w:val="Normal"/>
    <w:uiPriority w:val="34"/>
    <w:qFormat/>
    <w:rsid w:val="000D6F79"/>
    <w:pPr>
      <w:ind w:left="720"/>
      <w:contextualSpacing/>
    </w:pPr>
  </w:style>
  <w:style w:type="character" w:styleId="IntenseEmphasis">
    <w:name w:val="Intense Emphasis"/>
    <w:basedOn w:val="DefaultParagraphFont"/>
    <w:uiPriority w:val="21"/>
    <w:qFormat/>
    <w:rsid w:val="000D6F79"/>
    <w:rPr>
      <w:i/>
      <w:iCs/>
      <w:color w:val="0F4761" w:themeColor="accent1" w:themeShade="BF"/>
    </w:rPr>
  </w:style>
  <w:style w:type="paragraph" w:styleId="IntenseQuote">
    <w:name w:val="Intense Quote"/>
    <w:basedOn w:val="Normal"/>
    <w:next w:val="Normal"/>
    <w:link w:val="IntenseQuoteChar"/>
    <w:uiPriority w:val="30"/>
    <w:qFormat/>
    <w:rsid w:val="000D6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F79"/>
    <w:rPr>
      <w:i/>
      <w:iCs/>
      <w:color w:val="0F4761" w:themeColor="accent1" w:themeShade="BF"/>
    </w:rPr>
  </w:style>
  <w:style w:type="character" w:styleId="IntenseReference">
    <w:name w:val="Intense Reference"/>
    <w:basedOn w:val="DefaultParagraphFont"/>
    <w:uiPriority w:val="32"/>
    <w:qFormat/>
    <w:rsid w:val="000D6F79"/>
    <w:rPr>
      <w:b/>
      <w:bCs/>
      <w:smallCaps/>
      <w:color w:val="0F4761" w:themeColor="accent1" w:themeShade="BF"/>
      <w:spacing w:val="5"/>
    </w:rPr>
  </w:style>
  <w:style w:type="table" w:styleId="TableGrid">
    <w:name w:val="Table Grid"/>
    <w:basedOn w:val="TableNormal"/>
    <w:uiPriority w:val="39"/>
    <w:rsid w:val="0014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601"/>
    <w:rPr>
      <w:color w:val="467886" w:themeColor="hyperlink"/>
      <w:u w:val="single"/>
    </w:rPr>
  </w:style>
  <w:style w:type="character" w:styleId="UnresolvedMention">
    <w:name w:val="Unresolved Mention"/>
    <w:basedOn w:val="DefaultParagraphFont"/>
    <w:uiPriority w:val="99"/>
    <w:semiHidden/>
    <w:unhideWhenUsed/>
    <w:rsid w:val="00381601"/>
    <w:rPr>
      <w:color w:val="605E5C"/>
      <w:shd w:val="clear" w:color="auto" w:fill="E1DFDD"/>
    </w:rPr>
  </w:style>
  <w:style w:type="paragraph" w:styleId="Revision">
    <w:name w:val="Revision"/>
    <w:hidden/>
    <w:uiPriority w:val="99"/>
    <w:semiHidden/>
    <w:rsid w:val="00C16A89"/>
    <w:pPr>
      <w:spacing w:after="0" w:line="240" w:lineRule="auto"/>
    </w:pPr>
  </w:style>
  <w:style w:type="paragraph" w:styleId="Header">
    <w:name w:val="header"/>
    <w:basedOn w:val="Normal"/>
    <w:link w:val="HeaderChar"/>
    <w:uiPriority w:val="99"/>
    <w:unhideWhenUsed/>
    <w:rsid w:val="00405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B7D"/>
  </w:style>
  <w:style w:type="paragraph" w:styleId="Footer">
    <w:name w:val="footer"/>
    <w:basedOn w:val="Normal"/>
    <w:link w:val="FooterChar"/>
    <w:uiPriority w:val="99"/>
    <w:unhideWhenUsed/>
    <w:rsid w:val="00405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7300">
      <w:bodyDiv w:val="1"/>
      <w:marLeft w:val="0"/>
      <w:marRight w:val="0"/>
      <w:marTop w:val="0"/>
      <w:marBottom w:val="0"/>
      <w:divBdr>
        <w:top w:val="none" w:sz="0" w:space="0" w:color="auto"/>
        <w:left w:val="none" w:sz="0" w:space="0" w:color="auto"/>
        <w:bottom w:val="none" w:sz="0" w:space="0" w:color="auto"/>
        <w:right w:val="none" w:sz="0" w:space="0" w:color="auto"/>
      </w:divBdr>
    </w:div>
    <w:div w:id="42221231">
      <w:bodyDiv w:val="1"/>
      <w:marLeft w:val="0"/>
      <w:marRight w:val="0"/>
      <w:marTop w:val="0"/>
      <w:marBottom w:val="0"/>
      <w:divBdr>
        <w:top w:val="none" w:sz="0" w:space="0" w:color="auto"/>
        <w:left w:val="none" w:sz="0" w:space="0" w:color="auto"/>
        <w:bottom w:val="none" w:sz="0" w:space="0" w:color="auto"/>
        <w:right w:val="none" w:sz="0" w:space="0" w:color="auto"/>
      </w:divBdr>
    </w:div>
    <w:div w:id="60518448">
      <w:bodyDiv w:val="1"/>
      <w:marLeft w:val="0"/>
      <w:marRight w:val="0"/>
      <w:marTop w:val="0"/>
      <w:marBottom w:val="0"/>
      <w:divBdr>
        <w:top w:val="none" w:sz="0" w:space="0" w:color="auto"/>
        <w:left w:val="none" w:sz="0" w:space="0" w:color="auto"/>
        <w:bottom w:val="none" w:sz="0" w:space="0" w:color="auto"/>
        <w:right w:val="none" w:sz="0" w:space="0" w:color="auto"/>
      </w:divBdr>
    </w:div>
    <w:div w:id="215816705">
      <w:bodyDiv w:val="1"/>
      <w:marLeft w:val="0"/>
      <w:marRight w:val="0"/>
      <w:marTop w:val="0"/>
      <w:marBottom w:val="0"/>
      <w:divBdr>
        <w:top w:val="none" w:sz="0" w:space="0" w:color="auto"/>
        <w:left w:val="none" w:sz="0" w:space="0" w:color="auto"/>
        <w:bottom w:val="none" w:sz="0" w:space="0" w:color="auto"/>
        <w:right w:val="none" w:sz="0" w:space="0" w:color="auto"/>
      </w:divBdr>
    </w:div>
    <w:div w:id="238029225">
      <w:bodyDiv w:val="1"/>
      <w:marLeft w:val="0"/>
      <w:marRight w:val="0"/>
      <w:marTop w:val="0"/>
      <w:marBottom w:val="0"/>
      <w:divBdr>
        <w:top w:val="none" w:sz="0" w:space="0" w:color="auto"/>
        <w:left w:val="none" w:sz="0" w:space="0" w:color="auto"/>
        <w:bottom w:val="none" w:sz="0" w:space="0" w:color="auto"/>
        <w:right w:val="none" w:sz="0" w:space="0" w:color="auto"/>
      </w:divBdr>
    </w:div>
    <w:div w:id="417365522">
      <w:bodyDiv w:val="1"/>
      <w:marLeft w:val="0"/>
      <w:marRight w:val="0"/>
      <w:marTop w:val="0"/>
      <w:marBottom w:val="0"/>
      <w:divBdr>
        <w:top w:val="none" w:sz="0" w:space="0" w:color="auto"/>
        <w:left w:val="none" w:sz="0" w:space="0" w:color="auto"/>
        <w:bottom w:val="none" w:sz="0" w:space="0" w:color="auto"/>
        <w:right w:val="none" w:sz="0" w:space="0" w:color="auto"/>
      </w:divBdr>
    </w:div>
    <w:div w:id="633602760">
      <w:bodyDiv w:val="1"/>
      <w:marLeft w:val="0"/>
      <w:marRight w:val="0"/>
      <w:marTop w:val="0"/>
      <w:marBottom w:val="0"/>
      <w:divBdr>
        <w:top w:val="none" w:sz="0" w:space="0" w:color="auto"/>
        <w:left w:val="none" w:sz="0" w:space="0" w:color="auto"/>
        <w:bottom w:val="none" w:sz="0" w:space="0" w:color="auto"/>
        <w:right w:val="none" w:sz="0" w:space="0" w:color="auto"/>
      </w:divBdr>
    </w:div>
    <w:div w:id="738938712">
      <w:bodyDiv w:val="1"/>
      <w:marLeft w:val="0"/>
      <w:marRight w:val="0"/>
      <w:marTop w:val="0"/>
      <w:marBottom w:val="0"/>
      <w:divBdr>
        <w:top w:val="none" w:sz="0" w:space="0" w:color="auto"/>
        <w:left w:val="none" w:sz="0" w:space="0" w:color="auto"/>
        <w:bottom w:val="none" w:sz="0" w:space="0" w:color="auto"/>
        <w:right w:val="none" w:sz="0" w:space="0" w:color="auto"/>
      </w:divBdr>
    </w:div>
    <w:div w:id="832066351">
      <w:bodyDiv w:val="1"/>
      <w:marLeft w:val="0"/>
      <w:marRight w:val="0"/>
      <w:marTop w:val="0"/>
      <w:marBottom w:val="0"/>
      <w:divBdr>
        <w:top w:val="none" w:sz="0" w:space="0" w:color="auto"/>
        <w:left w:val="none" w:sz="0" w:space="0" w:color="auto"/>
        <w:bottom w:val="none" w:sz="0" w:space="0" w:color="auto"/>
        <w:right w:val="none" w:sz="0" w:space="0" w:color="auto"/>
      </w:divBdr>
    </w:div>
    <w:div w:id="869683239">
      <w:bodyDiv w:val="1"/>
      <w:marLeft w:val="0"/>
      <w:marRight w:val="0"/>
      <w:marTop w:val="0"/>
      <w:marBottom w:val="0"/>
      <w:divBdr>
        <w:top w:val="none" w:sz="0" w:space="0" w:color="auto"/>
        <w:left w:val="none" w:sz="0" w:space="0" w:color="auto"/>
        <w:bottom w:val="none" w:sz="0" w:space="0" w:color="auto"/>
        <w:right w:val="none" w:sz="0" w:space="0" w:color="auto"/>
      </w:divBdr>
    </w:div>
    <w:div w:id="996150963">
      <w:bodyDiv w:val="1"/>
      <w:marLeft w:val="0"/>
      <w:marRight w:val="0"/>
      <w:marTop w:val="0"/>
      <w:marBottom w:val="0"/>
      <w:divBdr>
        <w:top w:val="none" w:sz="0" w:space="0" w:color="auto"/>
        <w:left w:val="none" w:sz="0" w:space="0" w:color="auto"/>
        <w:bottom w:val="none" w:sz="0" w:space="0" w:color="auto"/>
        <w:right w:val="none" w:sz="0" w:space="0" w:color="auto"/>
      </w:divBdr>
    </w:div>
    <w:div w:id="1107120973">
      <w:bodyDiv w:val="1"/>
      <w:marLeft w:val="0"/>
      <w:marRight w:val="0"/>
      <w:marTop w:val="0"/>
      <w:marBottom w:val="0"/>
      <w:divBdr>
        <w:top w:val="none" w:sz="0" w:space="0" w:color="auto"/>
        <w:left w:val="none" w:sz="0" w:space="0" w:color="auto"/>
        <w:bottom w:val="none" w:sz="0" w:space="0" w:color="auto"/>
        <w:right w:val="none" w:sz="0" w:space="0" w:color="auto"/>
      </w:divBdr>
    </w:div>
    <w:div w:id="1141188413">
      <w:bodyDiv w:val="1"/>
      <w:marLeft w:val="0"/>
      <w:marRight w:val="0"/>
      <w:marTop w:val="0"/>
      <w:marBottom w:val="0"/>
      <w:divBdr>
        <w:top w:val="none" w:sz="0" w:space="0" w:color="auto"/>
        <w:left w:val="none" w:sz="0" w:space="0" w:color="auto"/>
        <w:bottom w:val="none" w:sz="0" w:space="0" w:color="auto"/>
        <w:right w:val="none" w:sz="0" w:space="0" w:color="auto"/>
      </w:divBdr>
    </w:div>
    <w:div w:id="1347056438">
      <w:bodyDiv w:val="1"/>
      <w:marLeft w:val="0"/>
      <w:marRight w:val="0"/>
      <w:marTop w:val="0"/>
      <w:marBottom w:val="0"/>
      <w:divBdr>
        <w:top w:val="none" w:sz="0" w:space="0" w:color="auto"/>
        <w:left w:val="none" w:sz="0" w:space="0" w:color="auto"/>
        <w:bottom w:val="none" w:sz="0" w:space="0" w:color="auto"/>
        <w:right w:val="none" w:sz="0" w:space="0" w:color="auto"/>
      </w:divBdr>
    </w:div>
    <w:div w:id="1485967063">
      <w:bodyDiv w:val="1"/>
      <w:marLeft w:val="0"/>
      <w:marRight w:val="0"/>
      <w:marTop w:val="0"/>
      <w:marBottom w:val="0"/>
      <w:divBdr>
        <w:top w:val="none" w:sz="0" w:space="0" w:color="auto"/>
        <w:left w:val="none" w:sz="0" w:space="0" w:color="auto"/>
        <w:bottom w:val="none" w:sz="0" w:space="0" w:color="auto"/>
        <w:right w:val="none" w:sz="0" w:space="0" w:color="auto"/>
      </w:divBdr>
    </w:div>
    <w:div w:id="1653630955">
      <w:bodyDiv w:val="1"/>
      <w:marLeft w:val="0"/>
      <w:marRight w:val="0"/>
      <w:marTop w:val="0"/>
      <w:marBottom w:val="0"/>
      <w:divBdr>
        <w:top w:val="none" w:sz="0" w:space="0" w:color="auto"/>
        <w:left w:val="none" w:sz="0" w:space="0" w:color="auto"/>
        <w:bottom w:val="none" w:sz="0" w:space="0" w:color="auto"/>
        <w:right w:val="none" w:sz="0" w:space="0" w:color="auto"/>
      </w:divBdr>
    </w:div>
    <w:div w:id="1720664558">
      <w:bodyDiv w:val="1"/>
      <w:marLeft w:val="0"/>
      <w:marRight w:val="0"/>
      <w:marTop w:val="0"/>
      <w:marBottom w:val="0"/>
      <w:divBdr>
        <w:top w:val="none" w:sz="0" w:space="0" w:color="auto"/>
        <w:left w:val="none" w:sz="0" w:space="0" w:color="auto"/>
        <w:bottom w:val="none" w:sz="0" w:space="0" w:color="auto"/>
        <w:right w:val="none" w:sz="0" w:space="0" w:color="auto"/>
      </w:divBdr>
    </w:div>
    <w:div w:id="1807772281">
      <w:bodyDiv w:val="1"/>
      <w:marLeft w:val="0"/>
      <w:marRight w:val="0"/>
      <w:marTop w:val="0"/>
      <w:marBottom w:val="0"/>
      <w:divBdr>
        <w:top w:val="none" w:sz="0" w:space="0" w:color="auto"/>
        <w:left w:val="none" w:sz="0" w:space="0" w:color="auto"/>
        <w:bottom w:val="none" w:sz="0" w:space="0" w:color="auto"/>
        <w:right w:val="none" w:sz="0" w:space="0" w:color="auto"/>
      </w:divBdr>
    </w:div>
    <w:div w:id="1814060947">
      <w:bodyDiv w:val="1"/>
      <w:marLeft w:val="0"/>
      <w:marRight w:val="0"/>
      <w:marTop w:val="0"/>
      <w:marBottom w:val="0"/>
      <w:divBdr>
        <w:top w:val="none" w:sz="0" w:space="0" w:color="auto"/>
        <w:left w:val="none" w:sz="0" w:space="0" w:color="auto"/>
        <w:bottom w:val="none" w:sz="0" w:space="0" w:color="auto"/>
        <w:right w:val="none" w:sz="0" w:space="0" w:color="auto"/>
      </w:divBdr>
    </w:div>
    <w:div w:id="1871725020">
      <w:bodyDiv w:val="1"/>
      <w:marLeft w:val="0"/>
      <w:marRight w:val="0"/>
      <w:marTop w:val="0"/>
      <w:marBottom w:val="0"/>
      <w:divBdr>
        <w:top w:val="none" w:sz="0" w:space="0" w:color="auto"/>
        <w:left w:val="none" w:sz="0" w:space="0" w:color="auto"/>
        <w:bottom w:val="none" w:sz="0" w:space="0" w:color="auto"/>
        <w:right w:val="none" w:sz="0" w:space="0" w:color="auto"/>
      </w:divBdr>
    </w:div>
    <w:div w:id="2019119416">
      <w:bodyDiv w:val="1"/>
      <w:marLeft w:val="0"/>
      <w:marRight w:val="0"/>
      <w:marTop w:val="0"/>
      <w:marBottom w:val="0"/>
      <w:divBdr>
        <w:top w:val="none" w:sz="0" w:space="0" w:color="auto"/>
        <w:left w:val="none" w:sz="0" w:space="0" w:color="auto"/>
        <w:bottom w:val="none" w:sz="0" w:space="0" w:color="auto"/>
        <w:right w:val="none" w:sz="0" w:space="0" w:color="auto"/>
      </w:divBdr>
    </w:div>
    <w:div w:id="2078283219">
      <w:bodyDiv w:val="1"/>
      <w:marLeft w:val="0"/>
      <w:marRight w:val="0"/>
      <w:marTop w:val="0"/>
      <w:marBottom w:val="0"/>
      <w:divBdr>
        <w:top w:val="none" w:sz="0" w:space="0" w:color="auto"/>
        <w:left w:val="none" w:sz="0" w:space="0" w:color="auto"/>
        <w:bottom w:val="none" w:sz="0" w:space="0" w:color="auto"/>
        <w:right w:val="none" w:sz="0" w:space="0" w:color="auto"/>
      </w:divBdr>
    </w:div>
    <w:div w:id="20807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 L _ L I V E _ E M E A 1 ! 1 1 1 5 9 6 9 8 2 . 3 < / d o c u m e n t i d >  
     < s e n d e r i d > R S H P < / s e n d e r i d >  
     < s e n d e r e m a i l > R A C H E L . S H A R P E @ S I M M O N S - S I M M O N S . C O M < / s e n d e r e m a i l >  
     < l a s t m o d i f i e d > 2 0 2 4 - 1 0 - 1 1 T 0 9 : 2 8 : 0 0 . 0 0 0 0 0 0 0 + 0 1 : 0 0 < / l a s t m o d i f i e d >  
     < d a t a b a s e > L _ L I V E _ E M E A 1 < / d a t a b a s e >  
 < / p r o p e r t i e s > 
</file>

<file path=customXml/itemProps1.xml><?xml version="1.0" encoding="utf-8"?>
<ds:datastoreItem xmlns:ds="http://schemas.openxmlformats.org/officeDocument/2006/customXml" ds:itemID="{EFF5A7B5-28C6-4D87-BD6D-0D98A5E25DC4}">
  <ds:schemaRefs>
    <ds:schemaRef ds:uri="http://schemas.openxmlformats.org/officeDocument/2006/bibliography"/>
  </ds:schemaRefs>
</ds:datastoreItem>
</file>

<file path=customXml/itemProps2.xml><?xml version="1.0" encoding="utf-8"?>
<ds:datastoreItem xmlns:ds="http://schemas.openxmlformats.org/officeDocument/2006/customXml" ds:itemID="{CC06B559-226A-4C24-9708-A5F79DBEA0A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6333</Characters>
  <Application>Microsoft Office Word</Application>
  <DocSecurity>0</DocSecurity>
  <Lines>218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Handfield</dc:creator>
  <cp:keywords/>
  <dc:description/>
  <cp:lastModifiedBy>Vanessa Bossom</cp:lastModifiedBy>
  <cp:revision>2</cp:revision>
  <cp:lastPrinted>2024-10-15T11:26:00Z</cp:lastPrinted>
  <dcterms:created xsi:type="dcterms:W3CDTF">2024-10-16T15:46:00Z</dcterms:created>
  <dcterms:modified xsi:type="dcterms:W3CDTF">2024-10-16T15:46:00Z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#111639167v1&lt;L_LIVE_EMEA1&gt; - Payments Consumer Duty multi firm review (002)(111596982.3)</vt:lpwstr>
  </property>
</Properties>
</file>