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AC4" w:rsidRDefault="00CF5AC4" w:rsidP="00102DBC">
      <w:pPr>
        <w:spacing w:before="123"/>
        <w:ind w:right="4638"/>
        <w:rPr>
          <w:rFonts w:ascii="Times New Roman"/>
          <w:b/>
          <w:sz w:val="28"/>
        </w:rPr>
      </w:pPr>
      <w:bookmarkStart w:id="0" w:name="_GoBack"/>
      <w:bookmarkEnd w:id="0"/>
      <w:r>
        <w:rPr>
          <w:rFonts w:ascii="Times New Roman"/>
          <w:b/>
          <w:sz w:val="28"/>
        </w:rPr>
        <w:t xml:space="preserve">MiFID2 Delegated Regulation </w:t>
      </w:r>
      <w:r>
        <w:rPr>
          <w:rFonts w:ascii="Times New Roman"/>
          <w:b/>
          <w:sz w:val="28"/>
        </w:rPr>
        <w:t>–</w:t>
      </w:r>
      <w:r>
        <w:rPr>
          <w:rFonts w:ascii="Times New Roman"/>
          <w:b/>
          <w:sz w:val="28"/>
        </w:rPr>
        <w:t xml:space="preserve"> April 2016</w:t>
      </w:r>
    </w:p>
    <w:p w:rsidR="00E238B2" w:rsidRDefault="00CA48DB">
      <w:pPr>
        <w:spacing w:before="123"/>
        <w:ind w:left="4639" w:right="4638" w:hanging="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z w:val="28"/>
        </w:rPr>
        <w:t>S</w:t>
      </w:r>
      <w:r>
        <w:rPr>
          <w:rFonts w:ascii="Times New Roman"/>
          <w:b/>
        </w:rPr>
        <w:t>ECTION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z w:val="28"/>
        </w:rPr>
        <w:t>2</w:t>
      </w:r>
      <w:r>
        <w:rPr>
          <w:rFonts w:ascii="Times New Roman"/>
          <w:b/>
          <w:w w:val="99"/>
          <w:sz w:val="28"/>
        </w:rPr>
        <w:t xml:space="preserve"> </w:t>
      </w:r>
      <w:r>
        <w:rPr>
          <w:rFonts w:ascii="Times New Roman"/>
          <w:b/>
          <w:w w:val="95"/>
          <w:sz w:val="28"/>
        </w:rPr>
        <w:t>O</w:t>
      </w:r>
      <w:r>
        <w:rPr>
          <w:rFonts w:ascii="Times New Roman"/>
          <w:b/>
          <w:w w:val="95"/>
        </w:rPr>
        <w:t>UTSOURCING</w:t>
      </w:r>
    </w:p>
    <w:p w:rsidR="00E238B2" w:rsidRDefault="00E238B2">
      <w:pPr>
        <w:spacing w:before="1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E238B2" w:rsidRDefault="00CA48DB">
      <w:pPr>
        <w:ind w:left="2437" w:right="243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Article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30</w:t>
      </w:r>
    </w:p>
    <w:p w:rsidR="00E238B2" w:rsidRDefault="00CA48DB">
      <w:pPr>
        <w:pStyle w:val="Heading3"/>
        <w:spacing w:line="275" w:lineRule="exact"/>
        <w:ind w:right="2437"/>
        <w:jc w:val="center"/>
        <w:rPr>
          <w:b w:val="0"/>
          <w:bCs w:val="0"/>
        </w:rPr>
      </w:pPr>
      <w:r>
        <w:t>Scope of critical and important operational</w:t>
      </w:r>
      <w:r>
        <w:rPr>
          <w:spacing w:val="-4"/>
        </w:rPr>
        <w:t xml:space="preserve"> </w:t>
      </w:r>
      <w:r>
        <w:t>functions</w:t>
      </w:r>
    </w:p>
    <w:p w:rsidR="00E238B2" w:rsidRDefault="00CA48DB">
      <w:pPr>
        <w:spacing w:line="275" w:lineRule="exact"/>
        <w:ind w:left="965" w:right="9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(Article 16(2) and first subparagraph of Article 16(5) of Directive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2014/65/EU)</w:t>
      </w:r>
    </w:p>
    <w:p w:rsidR="00E238B2" w:rsidRDefault="00CA48DB" w:rsidP="00CA48DB">
      <w:pPr>
        <w:pStyle w:val="ListParagraph"/>
        <w:numPr>
          <w:ilvl w:val="0"/>
          <w:numId w:val="3"/>
        </w:numPr>
        <w:tabs>
          <w:tab w:val="left" w:pos="1807"/>
        </w:tabs>
        <w:spacing w:before="119"/>
        <w:ind w:right="958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For the purposes of the first subparagraph of Article 16(5) of Directive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2014/65/EU, an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operational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function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shall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regarded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critical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important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where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defect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or failure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its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performance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would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materially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impair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continuing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compliance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an investment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firm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conditions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obligations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its</w:t>
      </w:r>
      <w:r>
        <w:rPr>
          <w:rFonts w:ascii="Times New Roman"/>
          <w:spacing w:val="24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authorisation</w:t>
      </w:r>
      <w:proofErr w:type="spellEnd"/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its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other obligations under Directive 2014/65/EU, or its financial performance, or</w:t>
      </w:r>
      <w:r>
        <w:rPr>
          <w:rFonts w:ascii="Times New Roman"/>
          <w:spacing w:val="58"/>
          <w:sz w:val="24"/>
        </w:rPr>
        <w:t xml:space="preserve"> </w:t>
      </w:r>
      <w:r>
        <w:rPr>
          <w:rFonts w:ascii="Times New Roman"/>
          <w:sz w:val="24"/>
        </w:rPr>
        <w:t>the soundness or the continuity of its investment services 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activities.</w:t>
      </w:r>
    </w:p>
    <w:p w:rsidR="00E238B2" w:rsidRPr="00CA48DB" w:rsidRDefault="00CA48DB" w:rsidP="00CA48DB">
      <w:pPr>
        <w:pStyle w:val="ListParagraph"/>
        <w:numPr>
          <w:ilvl w:val="0"/>
          <w:numId w:val="3"/>
        </w:numPr>
        <w:tabs>
          <w:tab w:val="left" w:pos="1807"/>
        </w:tabs>
        <w:spacing w:before="120"/>
        <w:ind w:right="959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Without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prejudice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status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other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function,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following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functions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shall not be considered as critical or important for the purposes of paragraph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1:</w:t>
      </w:r>
    </w:p>
    <w:p w:rsidR="00E238B2" w:rsidRDefault="00CA48DB" w:rsidP="00CA48DB">
      <w:pPr>
        <w:pStyle w:val="ListParagraph"/>
        <w:numPr>
          <w:ilvl w:val="1"/>
          <w:numId w:val="3"/>
        </w:numPr>
        <w:tabs>
          <w:tab w:val="left" w:pos="2375"/>
        </w:tabs>
        <w:spacing w:before="52"/>
        <w:ind w:right="9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provision to the firm of advisory services, and other services which do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not form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part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investment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business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firm,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including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provision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of legal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advice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firm,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training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personnel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firm,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billing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services and the security of the firm's premises and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personnel;</w:t>
      </w:r>
    </w:p>
    <w:p w:rsidR="00E238B2" w:rsidRDefault="00CA48DB" w:rsidP="00CA48DB">
      <w:pPr>
        <w:pStyle w:val="ListParagraph"/>
        <w:numPr>
          <w:ilvl w:val="1"/>
          <w:numId w:val="3"/>
        </w:numPr>
        <w:tabs>
          <w:tab w:val="left" w:pos="2375"/>
        </w:tabs>
        <w:spacing w:before="120"/>
        <w:ind w:right="9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purchase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6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standardised</w:t>
      </w:r>
      <w:proofErr w:type="spellEnd"/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services,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including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market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information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services and the provision of price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feeds.</w:t>
      </w:r>
    </w:p>
    <w:p w:rsidR="00E238B2" w:rsidRDefault="00E238B2">
      <w:pPr>
        <w:spacing w:before="5"/>
        <w:rPr>
          <w:rFonts w:ascii="Times New Roman" w:eastAsia="Times New Roman" w:hAnsi="Times New Roman" w:cs="Times New Roman"/>
          <w:sz w:val="31"/>
          <w:szCs w:val="31"/>
        </w:rPr>
      </w:pPr>
    </w:p>
    <w:p w:rsidR="00E238B2" w:rsidRDefault="00CA48DB">
      <w:pPr>
        <w:ind w:left="2437" w:right="243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Article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31</w:t>
      </w:r>
    </w:p>
    <w:p w:rsidR="00E238B2" w:rsidRDefault="00CA48DB">
      <w:pPr>
        <w:pStyle w:val="Heading3"/>
        <w:spacing w:line="275" w:lineRule="exact"/>
        <w:ind w:right="2437"/>
        <w:jc w:val="center"/>
        <w:rPr>
          <w:b w:val="0"/>
          <w:bCs w:val="0"/>
        </w:rPr>
      </w:pPr>
      <w:r>
        <w:t>Outsourcing critical or important operational</w:t>
      </w:r>
      <w:r>
        <w:rPr>
          <w:spacing w:val="-5"/>
        </w:rPr>
        <w:t xml:space="preserve"> </w:t>
      </w:r>
      <w:r>
        <w:t>functions</w:t>
      </w:r>
    </w:p>
    <w:p w:rsidR="00E238B2" w:rsidRDefault="00CA48DB">
      <w:pPr>
        <w:spacing w:line="275" w:lineRule="exact"/>
        <w:ind w:left="965" w:right="96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(Article 16(2) and of Article 16(5) first subparagraph of Directive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2014/65/EU)</w:t>
      </w:r>
    </w:p>
    <w:p w:rsidR="00E238B2" w:rsidRDefault="00CA48DB" w:rsidP="00CA48DB">
      <w:pPr>
        <w:pStyle w:val="ListParagraph"/>
        <w:numPr>
          <w:ilvl w:val="0"/>
          <w:numId w:val="2"/>
        </w:numPr>
        <w:tabs>
          <w:tab w:val="left" w:pos="1807"/>
        </w:tabs>
        <w:spacing w:before="119"/>
        <w:ind w:right="959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Investment firms outsourcing critical or important operational functions shall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remain fully responsible for discharging all of their obligations under Directive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2014/65/EU and shall comply with the following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conditions:</w:t>
      </w:r>
    </w:p>
    <w:p w:rsidR="00E238B2" w:rsidRDefault="00CA48DB" w:rsidP="00CA48DB">
      <w:pPr>
        <w:pStyle w:val="ListParagraph"/>
        <w:numPr>
          <w:ilvl w:val="1"/>
          <w:numId w:val="2"/>
        </w:numPr>
        <w:tabs>
          <w:tab w:val="left" w:pos="2375"/>
        </w:tabs>
        <w:spacing w:before="120"/>
        <w:ind w:right="9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outsourcing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does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result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delegation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senior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management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its responsibility;</w:t>
      </w:r>
    </w:p>
    <w:p w:rsidR="00E238B2" w:rsidRDefault="00CA48DB" w:rsidP="00CA48DB">
      <w:pPr>
        <w:pStyle w:val="ListParagraph"/>
        <w:numPr>
          <w:ilvl w:val="1"/>
          <w:numId w:val="2"/>
        </w:numPr>
        <w:tabs>
          <w:tab w:val="left" w:pos="2375"/>
        </w:tabs>
        <w:spacing w:before="120"/>
        <w:ind w:right="9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relationship and obligations of the investment firm towards its clients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under the terms of Directive 2014/65/EU is not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altered;</w:t>
      </w:r>
    </w:p>
    <w:p w:rsidR="00E238B2" w:rsidRDefault="00CA48DB" w:rsidP="00CA48DB">
      <w:pPr>
        <w:pStyle w:val="ListParagraph"/>
        <w:numPr>
          <w:ilvl w:val="1"/>
          <w:numId w:val="2"/>
        </w:numPr>
        <w:tabs>
          <w:tab w:val="left" w:pos="2375"/>
        </w:tabs>
        <w:spacing w:before="120"/>
        <w:ind w:right="9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conditions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investment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firm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comply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order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 xml:space="preserve">be </w:t>
      </w:r>
      <w:proofErr w:type="spellStart"/>
      <w:r>
        <w:rPr>
          <w:rFonts w:ascii="Times New Roman"/>
          <w:sz w:val="24"/>
        </w:rPr>
        <w:t>authorised</w:t>
      </w:r>
      <w:proofErr w:type="spellEnd"/>
      <w:r>
        <w:rPr>
          <w:rFonts w:ascii="Times New Roman"/>
          <w:sz w:val="24"/>
        </w:rPr>
        <w:t xml:space="preserve"> in accordance with Article 5 of Directive 2014/65/EU, and 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to remain so, are not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undermined;</w:t>
      </w:r>
    </w:p>
    <w:p w:rsidR="00E238B2" w:rsidRDefault="00CA48DB" w:rsidP="00CA48DB">
      <w:pPr>
        <w:pStyle w:val="ListParagraph"/>
        <w:numPr>
          <w:ilvl w:val="1"/>
          <w:numId w:val="2"/>
        </w:numPr>
        <w:tabs>
          <w:tab w:val="left" w:pos="2375"/>
        </w:tabs>
        <w:spacing w:before="120"/>
        <w:ind w:right="9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none of the other conditions subject to which the firm's </w:t>
      </w:r>
      <w:proofErr w:type="spellStart"/>
      <w:r>
        <w:rPr>
          <w:rFonts w:ascii="Times New Roman"/>
          <w:sz w:val="24"/>
        </w:rPr>
        <w:t>authorisation</w:t>
      </w:r>
      <w:proofErr w:type="spellEnd"/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was granted is removed 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modified.</w:t>
      </w:r>
    </w:p>
    <w:p w:rsidR="00E238B2" w:rsidRDefault="00CA48DB" w:rsidP="00CA48DB">
      <w:pPr>
        <w:pStyle w:val="ListParagraph"/>
        <w:numPr>
          <w:ilvl w:val="0"/>
          <w:numId w:val="2"/>
        </w:numPr>
        <w:tabs>
          <w:tab w:val="left" w:pos="1807"/>
        </w:tabs>
        <w:spacing w:before="120"/>
        <w:ind w:right="958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Investment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firms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shall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exercise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due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skill,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care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diligence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when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entering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into, managing or terminating any arrangement for the outsourcing to a service provider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 critical or important operational functions and shall take the necessary steps 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ensure that the following conditions are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satisfied:</w:t>
      </w:r>
    </w:p>
    <w:p w:rsidR="00E238B2" w:rsidRDefault="00CA48DB" w:rsidP="00CA48DB">
      <w:pPr>
        <w:pStyle w:val="ListParagraph"/>
        <w:numPr>
          <w:ilvl w:val="1"/>
          <w:numId w:val="2"/>
        </w:numPr>
        <w:tabs>
          <w:tab w:val="left" w:pos="2375"/>
        </w:tabs>
        <w:spacing w:before="120"/>
        <w:ind w:right="9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service provider has the ability, capacity, sufficient resources,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 xml:space="preserve">appropriate </w:t>
      </w:r>
      <w:proofErr w:type="spellStart"/>
      <w:r>
        <w:rPr>
          <w:rFonts w:ascii="Times New Roman"/>
          <w:sz w:val="24"/>
        </w:rPr>
        <w:lastRenderedPageBreak/>
        <w:t>organisational</w:t>
      </w:r>
      <w:proofErr w:type="spellEnd"/>
      <w:r>
        <w:rPr>
          <w:rFonts w:ascii="Times New Roman"/>
          <w:sz w:val="24"/>
        </w:rPr>
        <w:t xml:space="preserve"> structure supporting the performance of the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outsourced functions,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45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authorisation</w:t>
      </w:r>
      <w:proofErr w:type="spellEnd"/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required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law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perform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outsourced functions, reliably and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professionally;</w:t>
      </w:r>
    </w:p>
    <w:p w:rsidR="00E238B2" w:rsidRDefault="00CA48DB" w:rsidP="00CA48DB">
      <w:pPr>
        <w:pStyle w:val="ListParagraph"/>
        <w:numPr>
          <w:ilvl w:val="1"/>
          <w:numId w:val="2"/>
        </w:numPr>
        <w:tabs>
          <w:tab w:val="left" w:pos="2375"/>
        </w:tabs>
        <w:spacing w:before="120"/>
        <w:ind w:right="9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service provider carries out the outsourced services effectively and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in compliance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applicable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law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regulatory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requirements,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end the firm has established methods and procedures for assessing the standard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of performance of the service provider and for reviewing on an ongoing basis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the services provided by the service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provider;</w:t>
      </w:r>
    </w:p>
    <w:p w:rsidR="00E238B2" w:rsidRDefault="00CA48DB" w:rsidP="00CA48DB">
      <w:pPr>
        <w:pStyle w:val="ListParagraph"/>
        <w:numPr>
          <w:ilvl w:val="1"/>
          <w:numId w:val="2"/>
        </w:numPr>
        <w:tabs>
          <w:tab w:val="left" w:pos="2375"/>
        </w:tabs>
        <w:spacing w:before="120"/>
        <w:ind w:right="9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service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provider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properly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supervises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carrying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out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outsourced functions, and adequately manage the risks associated with the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outsourcing;</w:t>
      </w:r>
    </w:p>
    <w:p w:rsidR="00E238B2" w:rsidRDefault="00CA48DB" w:rsidP="00CA48DB">
      <w:pPr>
        <w:pStyle w:val="ListParagraph"/>
        <w:numPr>
          <w:ilvl w:val="1"/>
          <w:numId w:val="2"/>
        </w:numPr>
        <w:tabs>
          <w:tab w:val="left" w:pos="2375"/>
        </w:tabs>
        <w:spacing w:before="120"/>
        <w:ind w:right="9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appropriate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action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taken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where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appears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service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provider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may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not be carrying out the functions effectively or in compliance with applicable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laws and regulatory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requirements;</w:t>
      </w:r>
    </w:p>
    <w:p w:rsidR="00E238B2" w:rsidRPr="00CA48DB" w:rsidRDefault="00CA48DB" w:rsidP="00CA48DB">
      <w:pPr>
        <w:pStyle w:val="ListParagraph"/>
        <w:numPr>
          <w:ilvl w:val="1"/>
          <w:numId w:val="2"/>
        </w:numPr>
        <w:tabs>
          <w:tab w:val="left" w:pos="2375"/>
        </w:tabs>
        <w:spacing w:before="120"/>
        <w:ind w:right="9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investment firm effectively supervises the outsourced functions or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services and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manage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risks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associated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outsourcing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end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firm retains the necessary expertise and resources to supervise the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outsourced functions effectively and manage those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risks;</w:t>
      </w:r>
    </w:p>
    <w:p w:rsidR="00E238B2" w:rsidRDefault="00CA48DB" w:rsidP="00CA48DB">
      <w:pPr>
        <w:pStyle w:val="ListParagraph"/>
        <w:numPr>
          <w:ilvl w:val="1"/>
          <w:numId w:val="2"/>
        </w:numPr>
        <w:tabs>
          <w:tab w:val="left" w:pos="2375"/>
        </w:tabs>
        <w:spacing w:before="52"/>
        <w:ind w:right="9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service provider has disclosed to the investment firm any development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that may have a material impact on its ability to carry out the outsourced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functions effectively and in compliance with applicable laws and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regulatory requirements;</w:t>
      </w:r>
    </w:p>
    <w:p w:rsidR="00E238B2" w:rsidRDefault="00CA48DB" w:rsidP="00CA48DB">
      <w:pPr>
        <w:pStyle w:val="ListParagraph"/>
        <w:numPr>
          <w:ilvl w:val="1"/>
          <w:numId w:val="2"/>
        </w:numPr>
        <w:tabs>
          <w:tab w:val="left" w:pos="2375"/>
        </w:tabs>
        <w:spacing w:before="120"/>
        <w:ind w:right="9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investment firm is able to terminate the arrangement for outsourcing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where necessary,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immediate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effect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z w:val="24"/>
        </w:rPr>
        <w:t>when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interests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z w:val="24"/>
        </w:rPr>
        <w:t>its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clients, without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detriment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continuity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quality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its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provision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services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to clients;</w:t>
      </w:r>
    </w:p>
    <w:p w:rsidR="00E238B2" w:rsidRDefault="00CA48DB" w:rsidP="00CA48DB">
      <w:pPr>
        <w:pStyle w:val="ListParagraph"/>
        <w:numPr>
          <w:ilvl w:val="1"/>
          <w:numId w:val="2"/>
        </w:numPr>
        <w:tabs>
          <w:tab w:val="left" w:pos="2375"/>
        </w:tabs>
        <w:spacing w:before="120"/>
        <w:ind w:right="9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service provider cooperates with the competent authorities of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the investment firm in connection with the outsourced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functions;</w:t>
      </w:r>
    </w:p>
    <w:p w:rsidR="00E238B2" w:rsidRDefault="00CA48DB" w:rsidP="00CA48DB">
      <w:pPr>
        <w:pStyle w:val="ListParagraph"/>
        <w:numPr>
          <w:ilvl w:val="1"/>
          <w:numId w:val="2"/>
        </w:numPr>
        <w:tabs>
          <w:tab w:val="left" w:pos="2375"/>
        </w:tabs>
        <w:spacing w:before="120"/>
        <w:ind w:right="9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investment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firm,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its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auditors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relevant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competent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authorities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have effective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access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related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outsourced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functions,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well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the relevant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business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premises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service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provider,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where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necessary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the purpose of effective oversight in accordance with this article, and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the competent authorities are able to exercise those rights 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access;</w:t>
      </w:r>
    </w:p>
    <w:p w:rsidR="00E238B2" w:rsidRDefault="00CA48DB" w:rsidP="00CA48DB">
      <w:pPr>
        <w:pStyle w:val="ListParagraph"/>
        <w:numPr>
          <w:ilvl w:val="1"/>
          <w:numId w:val="2"/>
        </w:numPr>
        <w:tabs>
          <w:tab w:val="left" w:pos="2375"/>
        </w:tabs>
        <w:spacing w:before="120"/>
        <w:ind w:right="9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service provider protects any confidential information relating to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z w:val="24"/>
        </w:rPr>
        <w:t>the investment firm and its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clients;</w:t>
      </w:r>
    </w:p>
    <w:p w:rsidR="00E238B2" w:rsidRDefault="00CA48DB" w:rsidP="00CA48DB">
      <w:pPr>
        <w:pStyle w:val="ListParagraph"/>
        <w:numPr>
          <w:ilvl w:val="1"/>
          <w:numId w:val="2"/>
        </w:numPr>
        <w:tabs>
          <w:tab w:val="left" w:pos="2375"/>
        </w:tabs>
        <w:spacing w:before="120"/>
        <w:ind w:right="9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the investment firm and the service provider have established, 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implemented and maintained a contingency plan for disaster recovery and periodic testing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of backup facilities, where that is necessary having regard to the function,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service or activity that has been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outsourced;</w:t>
      </w:r>
    </w:p>
    <w:p w:rsidR="00E238B2" w:rsidRDefault="00CA48DB" w:rsidP="00CA48DB">
      <w:pPr>
        <w:pStyle w:val="ListParagraph"/>
        <w:numPr>
          <w:ilvl w:val="1"/>
          <w:numId w:val="2"/>
        </w:numPr>
        <w:tabs>
          <w:tab w:val="left" w:pos="2375"/>
        </w:tabs>
        <w:spacing w:before="120"/>
        <w:ind w:right="9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investment firm has ensured that the continuity and quality of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the outsourced functions or services are maintained also in the event of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termination of the outsourcing either by transferring the outsourced functions or services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z w:val="24"/>
        </w:rPr>
        <w:t>to another third party or by performing them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itself.</w:t>
      </w:r>
    </w:p>
    <w:p w:rsidR="00E238B2" w:rsidRDefault="00CA48DB" w:rsidP="00CA48DB">
      <w:pPr>
        <w:pStyle w:val="ListParagraph"/>
        <w:numPr>
          <w:ilvl w:val="0"/>
          <w:numId w:val="2"/>
        </w:numPr>
        <w:tabs>
          <w:tab w:val="left" w:pos="1807"/>
        </w:tabs>
        <w:spacing w:before="120"/>
        <w:ind w:right="953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respective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rights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obligations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investment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firms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service provider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shall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clearly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allocated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set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out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written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agreement.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particular, the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investment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firm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z w:val="24"/>
        </w:rPr>
        <w:t>shall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keep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its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instruction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termination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rights,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its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rights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of information, and its right to inspections and access to books and premises.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The agreement shall ensure that outsourcing by the service provider only takes place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 xml:space="preserve">with </w:t>
      </w:r>
      <w:r>
        <w:rPr>
          <w:rFonts w:ascii="Times New Roman"/>
          <w:sz w:val="24"/>
        </w:rPr>
        <w:lastRenderedPageBreak/>
        <w:t>the consent, in writing, of the investment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firm.</w:t>
      </w:r>
    </w:p>
    <w:p w:rsidR="00E238B2" w:rsidRDefault="00CA48DB" w:rsidP="00CA48DB">
      <w:pPr>
        <w:pStyle w:val="ListParagraph"/>
        <w:numPr>
          <w:ilvl w:val="0"/>
          <w:numId w:val="2"/>
        </w:numPr>
        <w:tabs>
          <w:tab w:val="left" w:pos="1807"/>
        </w:tabs>
        <w:spacing w:before="120"/>
        <w:ind w:right="957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Where the investment firm and the service provider are members of the same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z w:val="24"/>
        </w:rPr>
        <w:t xml:space="preserve">group, the investment firm may, for the purposes of complying with  this  Article 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and Article 32, take into account the extent to which the firm controls the</w:t>
      </w:r>
      <w:r>
        <w:rPr>
          <w:rFonts w:ascii="Times New Roman"/>
          <w:spacing w:val="58"/>
          <w:sz w:val="24"/>
        </w:rPr>
        <w:t xml:space="preserve"> </w:t>
      </w:r>
      <w:r>
        <w:rPr>
          <w:rFonts w:ascii="Times New Roman"/>
          <w:sz w:val="24"/>
        </w:rPr>
        <w:t>service provider or has the ability to influence its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actions.</w:t>
      </w:r>
    </w:p>
    <w:p w:rsidR="00E238B2" w:rsidRDefault="00CA48DB" w:rsidP="00CA48DB">
      <w:pPr>
        <w:pStyle w:val="ListParagraph"/>
        <w:numPr>
          <w:ilvl w:val="0"/>
          <w:numId w:val="2"/>
        </w:numPr>
        <w:tabs>
          <w:tab w:val="left" w:pos="1807"/>
        </w:tabs>
        <w:spacing w:before="120"/>
        <w:ind w:right="955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Investment firms shall make available on request to the competent authority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all information necessary to enable the authority to supervise the compliance of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the performance of the outsourced functions with the requirements of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Directive 2014/65/EU and its implementing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measures.</w:t>
      </w:r>
    </w:p>
    <w:p w:rsidR="00E238B2" w:rsidRDefault="00E238B2">
      <w:pPr>
        <w:spacing w:before="5"/>
        <w:rPr>
          <w:rFonts w:ascii="Times New Roman" w:eastAsia="Times New Roman" w:hAnsi="Times New Roman" w:cs="Times New Roman"/>
          <w:sz w:val="31"/>
          <w:szCs w:val="31"/>
        </w:rPr>
      </w:pPr>
    </w:p>
    <w:p w:rsidR="00E238B2" w:rsidRDefault="00CA48DB">
      <w:pPr>
        <w:ind w:left="2437" w:right="243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Article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32</w:t>
      </w:r>
    </w:p>
    <w:p w:rsidR="00E238B2" w:rsidRDefault="00CA48DB">
      <w:pPr>
        <w:pStyle w:val="Heading3"/>
        <w:spacing w:line="276" w:lineRule="exact"/>
        <w:ind w:right="2437"/>
        <w:jc w:val="center"/>
        <w:rPr>
          <w:b w:val="0"/>
          <w:bCs w:val="0"/>
        </w:rPr>
      </w:pPr>
      <w:r>
        <w:t>Service providers located in third</w:t>
      </w:r>
      <w:r>
        <w:rPr>
          <w:spacing w:val="-4"/>
        </w:rPr>
        <w:t xml:space="preserve"> </w:t>
      </w:r>
      <w:r>
        <w:t>countries</w:t>
      </w:r>
    </w:p>
    <w:p w:rsidR="00E238B2" w:rsidRDefault="00CA48DB">
      <w:pPr>
        <w:spacing w:line="276" w:lineRule="exact"/>
        <w:ind w:left="965" w:right="96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(Article 16(2) and first subparagraph of Article 16(5) of Directive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2014/65/EU)</w:t>
      </w:r>
    </w:p>
    <w:p w:rsidR="00E238B2" w:rsidRDefault="00E238B2">
      <w:pPr>
        <w:spacing w:before="4"/>
        <w:rPr>
          <w:rFonts w:ascii="Times New Roman" w:eastAsia="Times New Roman" w:hAnsi="Times New Roman" w:cs="Times New Roman"/>
          <w:i/>
          <w:sz w:val="34"/>
          <w:szCs w:val="34"/>
        </w:rPr>
      </w:pPr>
    </w:p>
    <w:p w:rsidR="00E238B2" w:rsidRPr="00CA48DB" w:rsidRDefault="00CA48DB" w:rsidP="00CA48DB">
      <w:pPr>
        <w:pStyle w:val="ListParagraph"/>
        <w:numPr>
          <w:ilvl w:val="0"/>
          <w:numId w:val="1"/>
        </w:numPr>
        <w:tabs>
          <w:tab w:val="left" w:pos="1807"/>
        </w:tabs>
        <w:ind w:right="959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 addition to the requirements set out in Article 31, where an investment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z w:val="24"/>
        </w:rPr>
        <w:t>firm outsources functions related to the investment service of portfolio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 xml:space="preserve">management </w:t>
      </w:r>
    </w:p>
    <w:p w:rsidR="00E238B2" w:rsidRDefault="00CA48DB">
      <w:pPr>
        <w:pStyle w:val="BodyText"/>
        <w:spacing w:before="52"/>
        <w:ind w:right="960" w:firstLine="0"/>
      </w:pPr>
      <w:r>
        <w:t>provided</w:t>
      </w:r>
      <w:r>
        <w:rPr>
          <w:spacing w:val="25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clients</w:t>
      </w:r>
      <w:r>
        <w:rPr>
          <w:spacing w:val="25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service</w:t>
      </w:r>
      <w:r>
        <w:rPr>
          <w:spacing w:val="24"/>
        </w:rPr>
        <w:t xml:space="preserve"> </w:t>
      </w:r>
      <w:r>
        <w:t>provider</w:t>
      </w:r>
      <w:r>
        <w:rPr>
          <w:spacing w:val="25"/>
        </w:rPr>
        <w:t xml:space="preserve"> </w:t>
      </w:r>
      <w:r>
        <w:t>located</w:t>
      </w:r>
      <w:r>
        <w:rPr>
          <w:spacing w:val="23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third</w:t>
      </w:r>
      <w:r>
        <w:rPr>
          <w:spacing w:val="25"/>
        </w:rPr>
        <w:t xml:space="preserve"> </w:t>
      </w:r>
      <w:r>
        <w:t>country,</w:t>
      </w:r>
      <w:r>
        <w:rPr>
          <w:spacing w:val="25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t>investment firm ensures that the following conditions are</w:t>
      </w:r>
      <w:r>
        <w:rPr>
          <w:spacing w:val="-6"/>
        </w:rPr>
        <w:t xml:space="preserve"> </w:t>
      </w:r>
      <w:r>
        <w:t>satisfied:</w:t>
      </w:r>
    </w:p>
    <w:p w:rsidR="00E238B2" w:rsidRDefault="00CA48DB" w:rsidP="00CA48DB">
      <w:pPr>
        <w:pStyle w:val="ListParagraph"/>
        <w:numPr>
          <w:ilvl w:val="1"/>
          <w:numId w:val="1"/>
        </w:numPr>
        <w:tabs>
          <w:tab w:val="left" w:pos="2375"/>
        </w:tabs>
        <w:spacing w:before="120"/>
        <w:ind w:right="9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service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provider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18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authorised</w:t>
      </w:r>
      <w:proofErr w:type="spellEnd"/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registered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its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home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country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provide that service and is effectively supervised by a competent authority in that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third country;</w:t>
      </w:r>
    </w:p>
    <w:p w:rsidR="00E238B2" w:rsidRDefault="00CA48DB" w:rsidP="00CA48DB">
      <w:pPr>
        <w:pStyle w:val="ListParagraph"/>
        <w:numPr>
          <w:ilvl w:val="1"/>
          <w:numId w:val="1"/>
        </w:numPr>
        <w:tabs>
          <w:tab w:val="left" w:pos="2375"/>
        </w:tabs>
        <w:spacing w:before="120"/>
        <w:ind w:right="9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there is an appropriate cooperation agreement between the competent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z w:val="24"/>
        </w:rPr>
        <w:t>authority of the investment firm and the supervisory authority of the service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provider.</w:t>
      </w:r>
    </w:p>
    <w:p w:rsidR="00E238B2" w:rsidRDefault="00CA48DB" w:rsidP="00CA48DB">
      <w:pPr>
        <w:pStyle w:val="ListParagraph"/>
        <w:numPr>
          <w:ilvl w:val="0"/>
          <w:numId w:val="1"/>
        </w:numPr>
        <w:tabs>
          <w:tab w:val="left" w:pos="1807"/>
        </w:tabs>
        <w:spacing w:before="120"/>
        <w:ind w:right="959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cooperation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agreement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referred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point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(b)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paragraph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1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shall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ensure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that the competent authorities of the investment firm are able, at least,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to:</w:t>
      </w:r>
    </w:p>
    <w:p w:rsidR="00E238B2" w:rsidRDefault="00CA48DB" w:rsidP="00CA48DB">
      <w:pPr>
        <w:pStyle w:val="ListParagraph"/>
        <w:numPr>
          <w:ilvl w:val="1"/>
          <w:numId w:val="1"/>
        </w:numPr>
        <w:tabs>
          <w:tab w:val="left" w:pos="2375"/>
        </w:tabs>
        <w:spacing w:before="120"/>
        <w:ind w:right="9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obtain on request the information necessary to carry out their supervisory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tasks pursuant to Directive 2014/65/EU and Regulation (EU) No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600/2014;</w:t>
      </w:r>
    </w:p>
    <w:p w:rsidR="00E238B2" w:rsidRDefault="00CA48DB" w:rsidP="00CA48DB">
      <w:pPr>
        <w:pStyle w:val="ListParagraph"/>
        <w:numPr>
          <w:ilvl w:val="1"/>
          <w:numId w:val="1"/>
        </w:numPr>
        <w:tabs>
          <w:tab w:val="left" w:pos="2375"/>
        </w:tabs>
        <w:spacing w:before="120"/>
        <w:ind w:right="9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obtain access to the documents relevant for the performance of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their supervisory duties maintained in the third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country;</w:t>
      </w:r>
    </w:p>
    <w:p w:rsidR="00E238B2" w:rsidRDefault="00CA48DB" w:rsidP="00CA48DB">
      <w:pPr>
        <w:pStyle w:val="ListParagraph"/>
        <w:numPr>
          <w:ilvl w:val="1"/>
          <w:numId w:val="1"/>
        </w:numPr>
        <w:tabs>
          <w:tab w:val="left" w:pos="2375"/>
        </w:tabs>
        <w:spacing w:before="120"/>
        <w:ind w:right="9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receive information from the supervisory authority in the third country as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soon as possible for the purpose of investigating apparent breaches of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the requirements of Directive 2014/65/EU and its implementing measures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and Regulation (EU) No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600/2014;</w:t>
      </w:r>
    </w:p>
    <w:p w:rsidR="00E238B2" w:rsidRDefault="00CA48DB" w:rsidP="00CA48DB">
      <w:pPr>
        <w:pStyle w:val="ListParagraph"/>
        <w:numPr>
          <w:ilvl w:val="1"/>
          <w:numId w:val="1"/>
        </w:numPr>
        <w:tabs>
          <w:tab w:val="left" w:pos="2375"/>
        </w:tabs>
        <w:spacing w:before="120"/>
        <w:ind w:right="9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cooperate with regard to enforcement, in accordance with the national</w:t>
      </w:r>
      <w:r>
        <w:rPr>
          <w:rFonts w:ascii="Times New Roman"/>
          <w:spacing w:val="-19"/>
          <w:sz w:val="24"/>
        </w:rPr>
        <w:t xml:space="preserve"> </w:t>
      </w:r>
      <w:r>
        <w:rPr>
          <w:rFonts w:ascii="Times New Roman"/>
          <w:sz w:val="24"/>
        </w:rPr>
        <w:t>and international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law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applicable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supervisory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authority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third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country and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competent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authorities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Union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cases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breach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the requirements of Directive 2014/65/EU and its implementing measures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and relevant national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law.</w:t>
      </w:r>
    </w:p>
    <w:p w:rsidR="00E238B2" w:rsidRDefault="00CA48DB" w:rsidP="00CA48DB">
      <w:pPr>
        <w:pStyle w:val="ListParagraph"/>
        <w:numPr>
          <w:ilvl w:val="0"/>
          <w:numId w:val="1"/>
        </w:numPr>
        <w:tabs>
          <w:tab w:val="left" w:pos="1807"/>
        </w:tabs>
        <w:spacing w:before="120"/>
        <w:ind w:right="955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Competent authorities shall publish on their website a list of the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z w:val="24"/>
        </w:rPr>
        <w:t>supervisory authorities in third countries with which they have a cooperation agreement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referred to in point (b) of paragraph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1.</w:t>
      </w:r>
    </w:p>
    <w:p w:rsidR="00E238B2" w:rsidRDefault="00CA48DB">
      <w:pPr>
        <w:pStyle w:val="BodyText"/>
        <w:ind w:right="959" w:firstLine="0"/>
      </w:pPr>
      <w:r>
        <w:t>Competent authorities shall update cooperation agreements concluded before the</w:t>
      </w:r>
      <w:r>
        <w:rPr>
          <w:spacing w:val="-8"/>
        </w:rPr>
        <w:t xml:space="preserve"> </w:t>
      </w:r>
      <w:r>
        <w:t>date of entry into application of this Regulation within six months from that</w:t>
      </w:r>
      <w:r>
        <w:rPr>
          <w:spacing w:val="-12"/>
        </w:rPr>
        <w:t xml:space="preserve"> </w:t>
      </w:r>
      <w:r>
        <w:t>date.</w:t>
      </w:r>
    </w:p>
    <w:sectPr w:rsidR="00E238B2" w:rsidSect="002D6671">
      <w:headerReference w:type="default" r:id="rId7"/>
      <w:footerReference w:type="default" r:id="rId8"/>
      <w:headerReference w:type="first" r:id="rId9"/>
      <w:pgSz w:w="11910" w:h="16840" w:code="9"/>
      <w:pgMar w:top="1060" w:right="459" w:bottom="1179" w:left="459" w:header="0" w:footer="998" w:gutter="0"/>
      <w:pgNumType w:start="5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3E0" w:rsidRDefault="003C63E0">
      <w:r>
        <w:separator/>
      </w:r>
    </w:p>
  </w:endnote>
  <w:endnote w:type="continuationSeparator" w:id="0">
    <w:p w:rsidR="003C63E0" w:rsidRDefault="003C6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8B2" w:rsidRDefault="003C63E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.4pt;margin-top:780.95pt;width:35.4pt;height:26pt;z-index:-71320;mso-position-horizontal-relative:page;mso-position-vertical-relative:page" filled="f" stroked="f">
          <v:textbox inset="0,0,0,0">
            <w:txbxContent>
              <w:p w:rsidR="00E238B2" w:rsidRDefault="00CA48DB">
                <w:pPr>
                  <w:spacing w:line="511" w:lineRule="exact"/>
                  <w:ind w:left="20"/>
                  <w:rPr>
                    <w:rFonts w:ascii="Arial" w:eastAsia="Arial" w:hAnsi="Arial" w:cs="Arial"/>
                    <w:sz w:val="48"/>
                    <w:szCs w:val="48"/>
                  </w:rPr>
                </w:pPr>
                <w:r>
                  <w:rPr>
                    <w:rFonts w:ascii="Arial"/>
                    <w:b/>
                    <w:sz w:val="48"/>
                  </w:rPr>
                  <w:t>EN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532.6pt;margin-top:780.95pt;width:35.4pt;height:26pt;z-index:-71296;mso-position-horizontal-relative:page;mso-position-vertical-relative:page" filled="f" stroked="f">
          <v:textbox inset="0,0,0,0">
            <w:txbxContent>
              <w:p w:rsidR="00E238B2" w:rsidRDefault="00CA48DB">
                <w:pPr>
                  <w:spacing w:line="511" w:lineRule="exact"/>
                  <w:ind w:left="20"/>
                  <w:rPr>
                    <w:rFonts w:ascii="Arial" w:eastAsia="Arial" w:hAnsi="Arial" w:cs="Arial"/>
                    <w:sz w:val="48"/>
                    <w:szCs w:val="48"/>
                  </w:rPr>
                </w:pPr>
                <w:r>
                  <w:rPr>
                    <w:rFonts w:ascii="Arial"/>
                    <w:b/>
                    <w:sz w:val="48"/>
                  </w:rPr>
                  <w:t>EN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289.6pt;margin-top:790.75pt;width:16pt;height:14pt;z-index:-71272;mso-position-horizontal-relative:page;mso-position-vertical-relative:page" filled="f" stroked="f">
          <v:textbox inset="0,0,0,0">
            <w:txbxContent>
              <w:p w:rsidR="00E238B2" w:rsidRDefault="00CA48DB">
                <w:pPr>
                  <w:pStyle w:val="BodyText"/>
                  <w:spacing w:before="0"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02DBC">
                  <w:rPr>
                    <w:noProof/>
                  </w:rPr>
                  <w:t>54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3E0" w:rsidRDefault="003C63E0">
      <w:r>
        <w:separator/>
      </w:r>
    </w:p>
  </w:footnote>
  <w:footnote w:type="continuationSeparator" w:id="0">
    <w:p w:rsidR="003C63E0" w:rsidRDefault="003C6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8B2" w:rsidRDefault="00E238B2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671" w:rsidRDefault="002D6671">
    <w:pPr>
      <w:pStyle w:val="Header"/>
    </w:pPr>
  </w:p>
  <w:p w:rsidR="002D6671" w:rsidRDefault="002D6671">
    <w:pPr>
      <w:pStyle w:val="Header"/>
    </w:pPr>
  </w:p>
  <w:p w:rsidR="002D6671" w:rsidRDefault="002D6671" w:rsidP="002D6671">
    <w:pPr>
      <w:pStyle w:val="Header"/>
      <w:ind w:left="993"/>
    </w:pPr>
    <w:r>
      <w:rPr>
        <w:noProof/>
        <w:sz w:val="2"/>
        <w:szCs w:val="2"/>
        <w:lang w:val="en-GB" w:eastAsia="en-GB"/>
      </w:rPr>
      <w:drawing>
        <wp:inline distT="0" distB="0" distL="0" distR="0" wp14:anchorId="31426A12" wp14:editId="5BEBF0EE">
          <wp:extent cx="1670400" cy="817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400" cy="81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6671" w:rsidRDefault="002D6671" w:rsidP="002D6671">
    <w:pPr>
      <w:pStyle w:val="Header"/>
      <w:ind w:left="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C47D8"/>
    <w:multiLevelType w:val="hybridMultilevel"/>
    <w:tmpl w:val="EDD24958"/>
    <w:lvl w:ilvl="0" w:tplc="490A513A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6DE2FB5C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BCC0B5A4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F5F8C3EE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24BC8BC2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06C6455A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DDAA57D2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92BCD518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AB9AD3AE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1" w15:restartNumberingAfterBreak="0">
    <w:nsid w:val="29CD513B"/>
    <w:multiLevelType w:val="hybridMultilevel"/>
    <w:tmpl w:val="24C03858"/>
    <w:lvl w:ilvl="0" w:tplc="F29CF1B4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430A5586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5C72EAE4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B7DE6D30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2932BA64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1DA6E358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441AE5C6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8AD24080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F3966EC0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2" w15:restartNumberingAfterBreak="0">
    <w:nsid w:val="7FB6454A"/>
    <w:multiLevelType w:val="hybridMultilevel"/>
    <w:tmpl w:val="BD38B0BE"/>
    <w:lvl w:ilvl="0" w:tplc="D6EA7CA8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9C782D4C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22602C76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0908F7E2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32B46BBC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8876B1DC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B98815A2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29CAAF86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56C07326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8B2"/>
    <w:rsid w:val="00102DBC"/>
    <w:rsid w:val="002D6671"/>
    <w:rsid w:val="003C63E0"/>
    <w:rsid w:val="00593B44"/>
    <w:rsid w:val="00BE0B92"/>
    <w:rsid w:val="00CA48DB"/>
    <w:rsid w:val="00CF5AC4"/>
    <w:rsid w:val="00E238B2"/>
    <w:rsid w:val="00ED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B8EC632-1B4B-4A18-A721-8988DB7C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Arial" w:eastAsia="Arial" w:hAnsi="Arial"/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spacing w:before="122"/>
      <w:ind w:left="965"/>
      <w:outlineLvl w:val="1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spacing w:before="1"/>
      <w:ind w:left="2437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1"/>
      <w:ind w:left="965"/>
      <w:outlineLvl w:val="3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1806" w:hanging="568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D66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671"/>
  </w:style>
  <w:style w:type="paragraph" w:styleId="Footer">
    <w:name w:val="footer"/>
    <w:basedOn w:val="Normal"/>
    <w:link w:val="FooterChar"/>
    <w:uiPriority w:val="99"/>
    <w:unhideWhenUsed/>
    <w:rsid w:val="002D66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671"/>
  </w:style>
  <w:style w:type="paragraph" w:styleId="BalloonText">
    <w:name w:val="Balloon Text"/>
    <w:basedOn w:val="Normal"/>
    <w:link w:val="BalloonTextChar"/>
    <w:uiPriority w:val="99"/>
    <w:semiHidden/>
    <w:unhideWhenUsed/>
    <w:rsid w:val="002D6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6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C(2016)2398/F1 - EN</vt:lpstr>
    </vt:vector>
  </TitlesOfParts>
  <Company>Simmons &amp; Simmons</Company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C(2016)2398/F1 - EN</dc:title>
  <dc:subject>COMMISSION DELEGATED REGULATION (EU) …/... supplementing Directive 2014/65/EU of the European Parliament and of the Council as regards organisational requirements and operating conditions for investment firms and defined terms for the purposes of that Directive</dc:subject>
  <dc:creator>DG FISMA - DG Financial Stability, Financial Services and Capital Markets Union</dc:creator>
  <cp:lastModifiedBy>Matthew Lewis</cp:lastModifiedBy>
  <cp:revision>2</cp:revision>
  <dcterms:created xsi:type="dcterms:W3CDTF">2019-10-13T18:38:00Z</dcterms:created>
  <dcterms:modified xsi:type="dcterms:W3CDTF">2019-10-13T18:38:00Z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2016-04-25T00:00:00Z</vt:filetime>
  </property>
  <property fmtid="{D5CDD505-2E9C-101B-9397-08002B2CF9AE}" pid="3" name="Creator">
    <vt:lpwstr>PDF CoDe 2015.5473 (c) 2002-2015 European Commission</vt:lpwstr>
  </property>
  <property fmtid="{D5CDD505-2E9C-101B-9397-08002B2CF9AE}" pid="4" name="LastSaved">
    <vt:filetime>2016-05-13T00:00:00Z</vt:filetime>
  </property>
  <property fmtid="{D5CDD505-2E9C-101B-9397-08002B2CF9AE}" pid="5" name="MAIL_MSG_ID1">
    <vt:lpwstr>gFAA5ajW4yTOEjsHDnSO6KJPfQTCUiH3wPwgejqPOGr3lMI7kUqv71u6lxlA3avENxPlkKxAc1/bRBam
s44nX6mmc1t/Y9tZgcgretB28te0JhQquKaMN3TAK+Gv8V+DtkVpgWaq1YQGvtOms44nX6mmc1t/
Y9tZgcgretB28te0JhQquKaMN3TAKwbReRKdQhWgEDf/v8/5Ai4Y2dP90VfCUU2pRRDWbdE0Ppyl
5rpsVgbhErHxcnoKu</vt:lpwstr>
  </property>
  <property fmtid="{D5CDD505-2E9C-101B-9397-08002B2CF9AE}" pid="6" name="MAIL_MSG_ID2">
    <vt:lpwstr>aLhl9DOhkx3MPJej4ir1saDyEFc1VhRCugTF1S9rv70H08OvX4oyJkp7mYe
jWrnvYT4F7CYQtO0CuhUCEdyd2N6Iyj61GoGoA==</vt:lpwstr>
  </property>
  <property fmtid="{D5CDD505-2E9C-101B-9397-08002B2CF9AE}" pid="7" name="RESPONSE_SENDER_NAME">
    <vt:lpwstr>gAAAJ+PfKkF/6hhwWohgfD5oazfTC0la50X6</vt:lpwstr>
  </property>
  <property fmtid="{D5CDD505-2E9C-101B-9397-08002B2CF9AE}" pid="8" name="EMAIL_OWNER_ADDRESS">
    <vt:lpwstr>ABAAmylTnWthiz/2U7+Qrsc8j5QjBWqELp1c7a3PO8GaG+pB90Gz5/oitapwLxQF8LeS</vt:lpwstr>
  </property>
  <property fmtid="{D5CDD505-2E9C-101B-9397-08002B2CF9AE}" pid="9" name="WS_TRACKING_ID">
    <vt:lpwstr>199a764c-690f-46f1-99ca-519377ee8f02</vt:lpwstr>
  </property>
</Properties>
</file>