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A1" w:rsidRPr="002971A1" w:rsidRDefault="0060630A" w:rsidP="002971A1">
      <w:pPr>
        <w:pStyle w:val="ssPara1"/>
        <w:jc w:val="center"/>
        <w:rPr>
          <w:b/>
        </w:rPr>
      </w:pPr>
      <w:bookmarkStart w:id="0" w:name="_GoBack"/>
      <w:bookmarkEnd w:id="0"/>
      <w:r w:rsidRPr="0060630A">
        <w:rPr>
          <w:b/>
        </w:rPr>
        <w:t>MiFID2 CONFLICTS OF INTEREST</w:t>
      </w:r>
    </w:p>
    <w:p w:rsidR="002971A1" w:rsidRPr="002971A1" w:rsidRDefault="002971A1" w:rsidP="002971A1">
      <w:pPr>
        <w:pStyle w:val="ssPara1"/>
        <w:jc w:val="center"/>
        <w:rPr>
          <w:b/>
        </w:rPr>
      </w:pPr>
      <w:r w:rsidRPr="002971A1">
        <w:rPr>
          <w:b/>
        </w:rPr>
        <w:t xml:space="preserve">ESMA </w:t>
      </w:r>
      <w:hyperlink r:id="rId8" w:history="1">
        <w:r w:rsidRPr="0060630A">
          <w:rPr>
            <w:rStyle w:val="Hyperlink"/>
            <w:b/>
          </w:rPr>
          <w:t>Technical Advice</w:t>
        </w:r>
      </w:hyperlink>
      <w:r w:rsidRPr="002971A1">
        <w:rPr>
          <w:b/>
        </w:rPr>
        <w:t xml:space="preserve"> (19 December 2014)</w:t>
      </w:r>
      <w:r>
        <w:rPr>
          <w:b/>
        </w:rPr>
        <w:br/>
      </w:r>
      <w:r w:rsidRPr="002971A1">
        <w:rPr>
          <w:b/>
        </w:rPr>
        <w:t>vs.</w:t>
      </w:r>
      <w:r>
        <w:rPr>
          <w:b/>
        </w:rPr>
        <w:br/>
      </w:r>
      <w:hyperlink r:id="rId9" w:history="1">
        <w:r w:rsidR="0060630A" w:rsidRPr="0060630A">
          <w:rPr>
            <w:rStyle w:val="Hyperlink"/>
            <w:b/>
          </w:rPr>
          <w:t>MiFID 1 Implementing Directive</w:t>
        </w:r>
      </w:hyperlink>
      <w:r w:rsidR="0060630A" w:rsidRPr="0060630A">
        <w:rPr>
          <w:b/>
        </w:rPr>
        <w:t xml:space="preserve"> (2006/73/EC) and </w:t>
      </w:r>
      <w:r w:rsidRPr="002971A1">
        <w:rPr>
          <w:b/>
        </w:rPr>
        <w:t xml:space="preserve">European Commission </w:t>
      </w:r>
      <w:hyperlink r:id="rId10" w:history="1">
        <w:r w:rsidRPr="0060630A">
          <w:rPr>
            <w:rStyle w:val="Hyperlink"/>
            <w:b/>
          </w:rPr>
          <w:t>Draft Delegated Regulation</w:t>
        </w:r>
      </w:hyperlink>
      <w:r w:rsidRPr="0060630A">
        <w:rPr>
          <w:b/>
        </w:rPr>
        <w:t xml:space="preserve"> </w:t>
      </w:r>
      <w:r w:rsidRPr="002971A1">
        <w:rPr>
          <w:b/>
        </w:rPr>
        <w:t>(25 April 2016)</w:t>
      </w:r>
    </w:p>
    <w:p w:rsidR="002971A1" w:rsidRPr="001E0645" w:rsidRDefault="002971A1"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971A1" w:rsidRPr="001E0645" w:rsidTr="002971A1">
        <w:tc>
          <w:tcPr>
            <w:tcW w:w="675" w:type="dxa"/>
            <w:shd w:val="clear" w:color="auto" w:fill="92D050"/>
          </w:tcPr>
          <w:p w:rsidR="002971A1" w:rsidRPr="001E0645" w:rsidRDefault="002971A1" w:rsidP="00A7460B">
            <w:pPr>
              <w:rPr>
                <w:rFonts w:cs="Arial"/>
                <w:szCs w:val="20"/>
              </w:rPr>
            </w:pPr>
          </w:p>
        </w:tc>
        <w:tc>
          <w:tcPr>
            <w:tcW w:w="7938" w:type="dxa"/>
          </w:tcPr>
          <w:p w:rsidR="002971A1" w:rsidRPr="001E0645" w:rsidRDefault="002971A1" w:rsidP="001F21EF">
            <w:pPr>
              <w:rPr>
                <w:rFonts w:cs="Arial"/>
                <w:szCs w:val="20"/>
              </w:rPr>
            </w:pPr>
            <w:r w:rsidRPr="001E0645">
              <w:rPr>
                <w:rFonts w:cs="Arial"/>
                <w:szCs w:val="20"/>
              </w:rPr>
              <w:t>No change or minor / immaterial change</w:t>
            </w:r>
          </w:p>
        </w:tc>
      </w:tr>
      <w:tr w:rsidR="002971A1" w:rsidRPr="001E0645" w:rsidTr="002971A1">
        <w:tc>
          <w:tcPr>
            <w:tcW w:w="675" w:type="dxa"/>
            <w:shd w:val="clear" w:color="auto" w:fill="FFC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Change to be reviewed, but not requiring gap assessment to be revisited with business</w:t>
            </w:r>
          </w:p>
        </w:tc>
      </w:tr>
      <w:tr w:rsidR="002971A1" w:rsidRPr="001E0645" w:rsidTr="002971A1">
        <w:tc>
          <w:tcPr>
            <w:tcW w:w="675" w:type="dxa"/>
            <w:shd w:val="clear" w:color="auto" w:fill="FF0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 xml:space="preserve">Significant change requiring detailed review </w:t>
            </w:r>
          </w:p>
        </w:tc>
      </w:tr>
    </w:tbl>
    <w:p w:rsidR="002971A1" w:rsidRPr="001E0645" w:rsidRDefault="002971A1" w:rsidP="00A7460B">
      <w:pPr>
        <w:rPr>
          <w:rFonts w:cs="Arial"/>
          <w:szCs w:val="20"/>
        </w:rPr>
      </w:pPr>
    </w:p>
    <w:p w:rsidR="002971A1" w:rsidRPr="001E0645" w:rsidRDefault="002971A1" w:rsidP="00B14584">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70"/>
        <w:gridCol w:w="2670"/>
        <w:gridCol w:w="6208"/>
      </w:tblGrid>
      <w:tr w:rsidR="0060630A" w:rsidRPr="00C14BD4" w:rsidTr="00C23EC3">
        <w:trPr>
          <w:tblHeader/>
        </w:trPr>
        <w:tc>
          <w:tcPr>
            <w:tcW w:w="939" w:type="pct"/>
            <w:shd w:val="clear" w:color="auto" w:fill="32464D"/>
          </w:tcPr>
          <w:p w:rsidR="0060630A" w:rsidRPr="0060630A" w:rsidRDefault="0060630A" w:rsidP="0060630A">
            <w:pPr>
              <w:jc w:val="center"/>
              <w:rPr>
                <w:rFonts w:cs="Arial"/>
                <w:b/>
                <w:color w:val="FFFFFF" w:themeColor="background1"/>
                <w:szCs w:val="20"/>
              </w:rPr>
            </w:pPr>
            <w:r w:rsidRPr="0060630A">
              <w:rPr>
                <w:rFonts w:cs="Arial"/>
                <w:b/>
                <w:color w:val="FFFFFF" w:themeColor="background1"/>
                <w:szCs w:val="20"/>
              </w:rPr>
              <w:t>ESMA Technical Advice</w:t>
            </w:r>
          </w:p>
          <w:p w:rsidR="0060630A" w:rsidRPr="00C14BD4" w:rsidRDefault="0060630A" w:rsidP="0060630A">
            <w:pPr>
              <w:jc w:val="center"/>
              <w:rPr>
                <w:rFonts w:cs="Arial"/>
                <w:b/>
                <w:color w:val="FFFFFF" w:themeColor="background1"/>
                <w:szCs w:val="20"/>
              </w:rPr>
            </w:pPr>
            <w:r w:rsidRPr="0060630A">
              <w:rPr>
                <w:rFonts w:cs="Arial"/>
                <w:b/>
                <w:color w:val="FFFFFF" w:themeColor="background1"/>
                <w:szCs w:val="20"/>
              </w:rPr>
              <w:t>Section 2.9</w:t>
            </w:r>
            <w:r w:rsidR="005B26FE">
              <w:rPr>
                <w:rFonts w:cs="Arial"/>
                <w:b/>
                <w:color w:val="FFFFFF" w:themeColor="background1"/>
                <w:szCs w:val="20"/>
              </w:rPr>
              <w:t xml:space="preserve"> pg 79</w:t>
            </w:r>
          </w:p>
        </w:tc>
        <w:tc>
          <w:tcPr>
            <w:tcW w:w="939" w:type="pct"/>
            <w:shd w:val="clear" w:color="auto" w:fill="32464D"/>
          </w:tcPr>
          <w:p w:rsidR="0060630A" w:rsidRPr="0060630A" w:rsidRDefault="0060630A" w:rsidP="0060630A">
            <w:pPr>
              <w:jc w:val="center"/>
              <w:rPr>
                <w:rFonts w:cs="Arial"/>
                <w:b/>
                <w:color w:val="FFFFFF" w:themeColor="background1"/>
                <w:szCs w:val="20"/>
              </w:rPr>
            </w:pPr>
            <w:r w:rsidRPr="0060630A">
              <w:rPr>
                <w:rFonts w:cs="Arial"/>
                <w:b/>
                <w:color w:val="FFFFFF" w:themeColor="background1"/>
                <w:szCs w:val="20"/>
              </w:rPr>
              <w:t>MiFID Implementing Directive</w:t>
            </w:r>
          </w:p>
          <w:p w:rsidR="0060630A" w:rsidRPr="00C14BD4" w:rsidRDefault="0060630A" w:rsidP="0060630A">
            <w:pPr>
              <w:jc w:val="center"/>
              <w:rPr>
                <w:rFonts w:cs="Arial"/>
                <w:b/>
                <w:color w:val="FFFFFF" w:themeColor="background1"/>
                <w:szCs w:val="20"/>
              </w:rPr>
            </w:pPr>
            <w:r w:rsidRPr="0060630A">
              <w:rPr>
                <w:rFonts w:cs="Arial"/>
                <w:b/>
                <w:color w:val="FFFFFF" w:themeColor="background1"/>
                <w:szCs w:val="20"/>
              </w:rPr>
              <w:t>Article 22</w:t>
            </w:r>
          </w:p>
        </w:tc>
        <w:tc>
          <w:tcPr>
            <w:tcW w:w="939" w:type="pct"/>
            <w:shd w:val="clear" w:color="auto" w:fill="32464D"/>
          </w:tcPr>
          <w:p w:rsidR="0060630A" w:rsidRPr="0060630A" w:rsidRDefault="0060630A" w:rsidP="0060630A">
            <w:pPr>
              <w:jc w:val="center"/>
              <w:rPr>
                <w:rFonts w:cs="Arial"/>
                <w:b/>
                <w:color w:val="FFFFFF" w:themeColor="background1"/>
                <w:szCs w:val="20"/>
              </w:rPr>
            </w:pPr>
            <w:r w:rsidRPr="0060630A">
              <w:rPr>
                <w:rFonts w:cs="Arial"/>
                <w:b/>
                <w:color w:val="FFFFFF" w:themeColor="background1"/>
                <w:szCs w:val="20"/>
              </w:rPr>
              <w:t>Commission Draft Delegated Regulation</w:t>
            </w:r>
          </w:p>
          <w:p w:rsidR="0060630A" w:rsidRPr="00C14BD4" w:rsidRDefault="0060630A" w:rsidP="0060630A">
            <w:pPr>
              <w:jc w:val="center"/>
              <w:rPr>
                <w:rFonts w:cs="Arial"/>
                <w:b/>
                <w:color w:val="FFFFFF" w:themeColor="background1"/>
                <w:szCs w:val="20"/>
              </w:rPr>
            </w:pPr>
            <w:r w:rsidRPr="0060630A">
              <w:rPr>
                <w:rFonts w:cs="Arial"/>
                <w:b/>
                <w:color w:val="FFFFFF" w:themeColor="background1"/>
                <w:szCs w:val="20"/>
              </w:rPr>
              <w:t>Article 33-</w:t>
            </w:r>
            <w:r w:rsidR="005B26FE">
              <w:rPr>
                <w:rFonts w:cs="Arial"/>
                <w:b/>
                <w:color w:val="FFFFFF" w:themeColor="background1"/>
                <w:szCs w:val="20"/>
              </w:rPr>
              <w:t>37</w:t>
            </w:r>
          </w:p>
        </w:tc>
        <w:tc>
          <w:tcPr>
            <w:tcW w:w="2183" w:type="pct"/>
            <w:shd w:val="clear" w:color="auto" w:fill="32464D"/>
          </w:tcPr>
          <w:p w:rsidR="0060630A" w:rsidRPr="00C14BD4" w:rsidRDefault="0060630A" w:rsidP="001955B3">
            <w:pPr>
              <w:jc w:val="center"/>
              <w:rPr>
                <w:rFonts w:cs="Arial"/>
                <w:b/>
                <w:color w:val="FFFFFF" w:themeColor="background1"/>
                <w:szCs w:val="20"/>
              </w:rPr>
            </w:pPr>
            <w:r w:rsidRPr="0060630A">
              <w:rPr>
                <w:rFonts w:cs="Arial"/>
                <w:b/>
                <w:color w:val="FFFFFF" w:themeColor="background1"/>
                <w:szCs w:val="20"/>
              </w:rPr>
              <w:t>Summary of Key Changes</w:t>
            </w:r>
          </w:p>
        </w:tc>
      </w:tr>
      <w:tr w:rsidR="0060630A" w:rsidRPr="001E0645" w:rsidTr="00C23EC3">
        <w:trPr>
          <w:trHeight w:val="1872"/>
        </w:trPr>
        <w:tc>
          <w:tcPr>
            <w:tcW w:w="939" w:type="pct"/>
            <w:shd w:val="clear" w:color="auto" w:fill="auto"/>
          </w:tcPr>
          <w:p w:rsidR="0060630A" w:rsidRPr="0060630A" w:rsidRDefault="0060630A" w:rsidP="0028044D">
            <w:r w:rsidRPr="0060630A">
              <w:t>N/A</w:t>
            </w:r>
          </w:p>
        </w:tc>
        <w:tc>
          <w:tcPr>
            <w:tcW w:w="939" w:type="pct"/>
          </w:tcPr>
          <w:p w:rsidR="0060630A" w:rsidRPr="000D1A58" w:rsidRDefault="0060630A" w:rsidP="0028044D">
            <w:r w:rsidRPr="000D1A58">
              <w:t>Article 21(a) to (e)</w:t>
            </w:r>
          </w:p>
        </w:tc>
        <w:tc>
          <w:tcPr>
            <w:tcW w:w="939" w:type="pct"/>
            <w:shd w:val="clear" w:color="auto" w:fill="auto"/>
          </w:tcPr>
          <w:p w:rsidR="0060630A" w:rsidRPr="000D1A58" w:rsidRDefault="0060630A" w:rsidP="0028044D">
            <w:r w:rsidRPr="000D1A58">
              <w:t>Article 33(a) to (e)</w:t>
            </w:r>
          </w:p>
        </w:tc>
        <w:tc>
          <w:tcPr>
            <w:tcW w:w="2183" w:type="pct"/>
            <w:shd w:val="clear" w:color="auto" w:fill="FFC000"/>
          </w:tcPr>
          <w:p w:rsidR="007A42EC" w:rsidRDefault="007A42EC" w:rsidP="007A42EC">
            <w:r>
              <w:t>MiFID 1 Implementing Directive Article 21 incorporated into Delegated Regulation Article 33.  New subparagraph (e) has been amended slightly to specify that the requirements relate to inducements in the form of monetary and non-monetary benefits [this is broader than the old subparagraph (e) which referred to monies, goods or services, other than the standard commission or fee for that service].</w:t>
            </w:r>
          </w:p>
          <w:p w:rsidR="0060630A" w:rsidRPr="000D1A58" w:rsidRDefault="007A42EC" w:rsidP="007A42EC">
            <w:r>
              <w:t>Otherwise, minor changes – language tidy-up.</w:t>
            </w:r>
          </w:p>
        </w:tc>
      </w:tr>
      <w:tr w:rsidR="0060630A" w:rsidRPr="001E0645" w:rsidTr="00C23EC3">
        <w:tc>
          <w:tcPr>
            <w:tcW w:w="939" w:type="pct"/>
            <w:shd w:val="clear" w:color="auto" w:fill="auto"/>
          </w:tcPr>
          <w:p w:rsidR="0060630A" w:rsidRPr="00CB7050" w:rsidRDefault="0060630A" w:rsidP="000C173A">
            <w:r w:rsidRPr="00CB7050">
              <w:t>Paragraph 1</w:t>
            </w:r>
          </w:p>
        </w:tc>
        <w:tc>
          <w:tcPr>
            <w:tcW w:w="939" w:type="pct"/>
          </w:tcPr>
          <w:p w:rsidR="0060630A" w:rsidRPr="00CB7050" w:rsidRDefault="0060630A" w:rsidP="000C173A">
            <w:r w:rsidRPr="00CB7050">
              <w:t>Article 22(1) to (3)</w:t>
            </w:r>
          </w:p>
        </w:tc>
        <w:tc>
          <w:tcPr>
            <w:tcW w:w="939" w:type="pct"/>
            <w:shd w:val="clear" w:color="auto" w:fill="auto"/>
          </w:tcPr>
          <w:p w:rsidR="0060630A" w:rsidRPr="00CB7050" w:rsidRDefault="0060630A" w:rsidP="000C173A">
            <w:r w:rsidRPr="00CB7050">
              <w:t>Article 34(1) to (3)</w:t>
            </w:r>
          </w:p>
        </w:tc>
        <w:tc>
          <w:tcPr>
            <w:tcW w:w="2183" w:type="pct"/>
            <w:shd w:val="clear" w:color="auto" w:fill="92D050"/>
          </w:tcPr>
          <w:p w:rsidR="0060630A" w:rsidRDefault="0060630A" w:rsidP="000C173A">
            <w:r w:rsidRPr="00CB7050">
              <w:t>As directed in Technical Advice paragraph 1, MiFID 1 Implementing Directive Article 22(1) to (3) incorporated into Delegated Regulation Article 34(1) to (3).  Minor changes – language tidy-up.</w:t>
            </w:r>
          </w:p>
        </w:tc>
      </w:tr>
      <w:tr w:rsidR="0060630A" w:rsidRPr="001E0645" w:rsidTr="00C23EC3">
        <w:tc>
          <w:tcPr>
            <w:tcW w:w="939" w:type="pct"/>
            <w:shd w:val="clear" w:color="auto" w:fill="auto"/>
          </w:tcPr>
          <w:p w:rsidR="0060630A" w:rsidRPr="008C3AAE" w:rsidRDefault="0060630A" w:rsidP="00DB652E">
            <w:r w:rsidRPr="008C3AAE">
              <w:t>Paragraph 2</w:t>
            </w:r>
          </w:p>
        </w:tc>
        <w:tc>
          <w:tcPr>
            <w:tcW w:w="939" w:type="pct"/>
          </w:tcPr>
          <w:p w:rsidR="0060630A" w:rsidRPr="008C3AAE" w:rsidRDefault="0060630A" w:rsidP="00DB652E">
            <w:r w:rsidRPr="008C3AAE">
              <w:t>N/A</w:t>
            </w:r>
          </w:p>
        </w:tc>
        <w:tc>
          <w:tcPr>
            <w:tcW w:w="939" w:type="pct"/>
            <w:shd w:val="clear" w:color="auto" w:fill="auto"/>
          </w:tcPr>
          <w:p w:rsidR="0060630A" w:rsidRPr="008C3AAE" w:rsidRDefault="0060630A" w:rsidP="00DB652E">
            <w:r w:rsidRPr="008C3AAE">
              <w:t>Article 34(4) first paragraph</w:t>
            </w:r>
          </w:p>
        </w:tc>
        <w:tc>
          <w:tcPr>
            <w:tcW w:w="2183" w:type="pct"/>
            <w:shd w:val="clear" w:color="auto" w:fill="92D050"/>
          </w:tcPr>
          <w:p w:rsidR="0060630A" w:rsidRDefault="0060630A" w:rsidP="00DB652E">
            <w:r w:rsidRPr="008C3AAE">
              <w:t>Technical Advice paragraph 2 incorporated into Delegated Regulation Article 34(4) first paragraph.  Minor changes – language tidy-up.</w:t>
            </w:r>
          </w:p>
        </w:tc>
      </w:tr>
      <w:tr w:rsidR="0060630A" w:rsidRPr="001E0645" w:rsidTr="00C23EC3">
        <w:trPr>
          <w:cantSplit/>
        </w:trPr>
        <w:tc>
          <w:tcPr>
            <w:tcW w:w="939" w:type="pct"/>
            <w:shd w:val="clear" w:color="auto" w:fill="auto"/>
          </w:tcPr>
          <w:p w:rsidR="0060630A" w:rsidRPr="008A4657" w:rsidRDefault="0060630A" w:rsidP="00125AF4">
            <w:r w:rsidRPr="008A4657">
              <w:t>Paragraph 3</w:t>
            </w:r>
          </w:p>
        </w:tc>
        <w:tc>
          <w:tcPr>
            <w:tcW w:w="939" w:type="pct"/>
          </w:tcPr>
          <w:p w:rsidR="0060630A" w:rsidRPr="008A4657" w:rsidRDefault="0060630A" w:rsidP="00125AF4">
            <w:r w:rsidRPr="008A4657">
              <w:t>Article 22(4)</w:t>
            </w:r>
          </w:p>
        </w:tc>
        <w:tc>
          <w:tcPr>
            <w:tcW w:w="939" w:type="pct"/>
            <w:shd w:val="clear" w:color="auto" w:fill="auto"/>
          </w:tcPr>
          <w:p w:rsidR="0060630A" w:rsidRPr="008A4657" w:rsidRDefault="0060630A" w:rsidP="00125AF4">
            <w:r w:rsidRPr="008A4657">
              <w:t>Article 34(4) second paragraph</w:t>
            </w:r>
          </w:p>
        </w:tc>
        <w:tc>
          <w:tcPr>
            <w:tcW w:w="2183" w:type="pct"/>
            <w:shd w:val="clear" w:color="auto" w:fill="FFC000"/>
          </w:tcPr>
          <w:p w:rsidR="007A42EC" w:rsidRDefault="007A42EC" w:rsidP="007A42EC">
            <w:r>
              <w:t>MiFID 1 Implementing Directive Article 22(4) and Technical Advice paragraph 3 incorporated into Delegated Regulation Article 34(4) second paragraph.</w:t>
            </w:r>
          </w:p>
          <w:p w:rsidR="007A42EC" w:rsidRDefault="007A42EC" w:rsidP="007A42EC">
            <w:r>
              <w:t>Requirement that disclosure to clients must be made in a “durable medium” no longer included in Article 34(4) second paragraph.</w:t>
            </w:r>
          </w:p>
          <w:p w:rsidR="0060630A" w:rsidRPr="008A4657" w:rsidRDefault="007A42EC" w:rsidP="007A42EC">
            <w:r>
              <w:t>Otherwise, minor changes – language tidy-up.</w:t>
            </w:r>
          </w:p>
        </w:tc>
      </w:tr>
      <w:tr w:rsidR="0060630A" w:rsidRPr="001E0645" w:rsidTr="00C23EC3">
        <w:tc>
          <w:tcPr>
            <w:tcW w:w="939" w:type="pct"/>
            <w:shd w:val="clear" w:color="auto" w:fill="auto"/>
          </w:tcPr>
          <w:p w:rsidR="0060630A" w:rsidRPr="00FC700A" w:rsidRDefault="0060630A" w:rsidP="00202176">
            <w:r w:rsidRPr="00FC700A">
              <w:t>Paragraph 4</w:t>
            </w:r>
          </w:p>
        </w:tc>
        <w:tc>
          <w:tcPr>
            <w:tcW w:w="939" w:type="pct"/>
          </w:tcPr>
          <w:p w:rsidR="0060630A" w:rsidRPr="00FC700A" w:rsidRDefault="0060630A" w:rsidP="00202176">
            <w:r w:rsidRPr="00FC700A">
              <w:t>N/A</w:t>
            </w:r>
          </w:p>
        </w:tc>
        <w:tc>
          <w:tcPr>
            <w:tcW w:w="939" w:type="pct"/>
            <w:shd w:val="clear" w:color="auto" w:fill="auto"/>
          </w:tcPr>
          <w:p w:rsidR="0060630A" w:rsidRPr="00FC700A" w:rsidRDefault="0060630A" w:rsidP="00202176">
            <w:r w:rsidRPr="00FC700A">
              <w:t>Article 34(5)</w:t>
            </w:r>
          </w:p>
        </w:tc>
        <w:tc>
          <w:tcPr>
            <w:tcW w:w="2183" w:type="pct"/>
            <w:shd w:val="clear" w:color="auto" w:fill="92D050"/>
          </w:tcPr>
          <w:p w:rsidR="0060630A" w:rsidRDefault="0060630A" w:rsidP="00202176">
            <w:r w:rsidRPr="00FC700A">
              <w:t xml:space="preserve">Technical Advice paragraph 4 incorporated into Delegated </w:t>
            </w:r>
            <w:r w:rsidRPr="00FC700A">
              <w:lastRenderedPageBreak/>
              <w:t>Regulation Article 34(5).  Minor changes – language tidy-up.</w:t>
            </w:r>
          </w:p>
        </w:tc>
      </w:tr>
      <w:tr w:rsidR="0060630A" w:rsidRPr="001E0645" w:rsidTr="00C23EC3">
        <w:tc>
          <w:tcPr>
            <w:tcW w:w="939" w:type="pct"/>
            <w:shd w:val="clear" w:color="auto" w:fill="auto"/>
          </w:tcPr>
          <w:p w:rsidR="0060630A" w:rsidRPr="004906AE" w:rsidRDefault="0060630A" w:rsidP="008F10F6">
            <w:r w:rsidRPr="004906AE">
              <w:lastRenderedPageBreak/>
              <w:t>Paragraph 5(i)</w:t>
            </w:r>
          </w:p>
        </w:tc>
        <w:tc>
          <w:tcPr>
            <w:tcW w:w="939" w:type="pct"/>
          </w:tcPr>
          <w:p w:rsidR="0060630A" w:rsidRPr="004906AE" w:rsidRDefault="0060630A" w:rsidP="008F10F6">
            <w:r w:rsidRPr="004906AE">
              <w:t>Article 25(1)</w:t>
            </w:r>
          </w:p>
        </w:tc>
        <w:tc>
          <w:tcPr>
            <w:tcW w:w="939" w:type="pct"/>
            <w:shd w:val="clear" w:color="auto" w:fill="auto"/>
          </w:tcPr>
          <w:p w:rsidR="0060630A" w:rsidRPr="004906AE" w:rsidRDefault="0060630A" w:rsidP="008F10F6">
            <w:r w:rsidRPr="004906AE">
              <w:t>Article 37(1)</w:t>
            </w:r>
          </w:p>
        </w:tc>
        <w:tc>
          <w:tcPr>
            <w:tcW w:w="2183" w:type="pct"/>
            <w:shd w:val="clear" w:color="auto" w:fill="92D050"/>
          </w:tcPr>
          <w:p w:rsidR="0060630A" w:rsidRDefault="0060630A" w:rsidP="008F10F6">
            <w:r w:rsidRPr="004906AE">
              <w:t>Technical Advice paragraph 5(i) incorporated into Delegated Regulation Article 37(1). Article 37(1) indicates that these obligations also apply to Article 37(2)</w:t>
            </w:r>
          </w:p>
        </w:tc>
      </w:tr>
      <w:tr w:rsidR="007A42EC" w:rsidRPr="001E0645" w:rsidTr="00C23EC3">
        <w:tc>
          <w:tcPr>
            <w:tcW w:w="939" w:type="pct"/>
            <w:shd w:val="clear" w:color="auto" w:fill="auto"/>
          </w:tcPr>
          <w:p w:rsidR="007A42EC" w:rsidRPr="008E12C2" w:rsidRDefault="007A42EC" w:rsidP="00AF7BBD">
            <w:r w:rsidRPr="008E12C2">
              <w:t>Paragraph 5(ii)</w:t>
            </w:r>
          </w:p>
        </w:tc>
        <w:tc>
          <w:tcPr>
            <w:tcW w:w="939" w:type="pct"/>
          </w:tcPr>
          <w:p w:rsidR="007A42EC" w:rsidRPr="008E12C2" w:rsidRDefault="007A42EC" w:rsidP="00AF7BBD">
            <w:r w:rsidRPr="008E12C2">
              <w:t>Article 25(2)(a) to (e)</w:t>
            </w:r>
          </w:p>
        </w:tc>
        <w:tc>
          <w:tcPr>
            <w:tcW w:w="939" w:type="pct"/>
            <w:shd w:val="clear" w:color="auto" w:fill="auto"/>
          </w:tcPr>
          <w:p w:rsidR="007A42EC" w:rsidRPr="008E12C2" w:rsidRDefault="007A42EC" w:rsidP="00AF7BBD">
            <w:r w:rsidRPr="008E12C2">
              <w:t>Article 37(2)(a) to (f)</w:t>
            </w:r>
          </w:p>
        </w:tc>
        <w:tc>
          <w:tcPr>
            <w:tcW w:w="2183" w:type="pct"/>
            <w:shd w:val="clear" w:color="auto" w:fill="FFC000"/>
          </w:tcPr>
          <w:p w:rsidR="007A42EC" w:rsidRDefault="007A42EC" w:rsidP="00AF7BBD">
            <w:r w:rsidRPr="008E12C2">
              <w:t>MiFID 1 Implementing Directive Article 25 incorporated into Delegated Regulation Article 37.  As directed in Technical Advice paragraph 5(ii), Delegated Regulation Article 37(c) contains a new provision on “physical separation” between financial analysts and other relevant persons, and “appropriate alternative information barriers”.</w:t>
            </w:r>
          </w:p>
        </w:tc>
      </w:tr>
      <w:tr w:rsidR="007A42EC" w:rsidRPr="00064302" w:rsidTr="00C2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9" w:type="pct"/>
            <w:tcBorders>
              <w:top w:val="single" w:sz="4" w:space="0" w:color="auto"/>
              <w:left w:val="single" w:sz="4" w:space="0" w:color="auto"/>
              <w:bottom w:val="single" w:sz="4" w:space="0" w:color="auto"/>
              <w:right w:val="single" w:sz="4" w:space="0" w:color="auto"/>
            </w:tcBorders>
          </w:tcPr>
          <w:p w:rsidR="007A42EC" w:rsidRPr="007A42EC" w:rsidRDefault="007A42EC" w:rsidP="009C4B41">
            <w:r w:rsidRPr="007A42EC">
              <w:t>N/A</w:t>
            </w:r>
          </w:p>
        </w:tc>
        <w:tc>
          <w:tcPr>
            <w:tcW w:w="939" w:type="pct"/>
            <w:tcBorders>
              <w:top w:val="single" w:sz="4" w:space="0" w:color="auto"/>
              <w:left w:val="single" w:sz="4" w:space="0" w:color="auto"/>
              <w:bottom w:val="single" w:sz="4" w:space="0" w:color="auto"/>
              <w:right w:val="single" w:sz="4" w:space="0" w:color="auto"/>
            </w:tcBorders>
          </w:tcPr>
          <w:p w:rsidR="007A42EC" w:rsidRPr="007A42EC" w:rsidRDefault="007A42EC" w:rsidP="009C4B41">
            <w:pPr>
              <w:spacing w:after="120"/>
            </w:pPr>
            <w:r w:rsidRPr="007A42EC">
              <w:t>Article 23</w:t>
            </w:r>
          </w:p>
        </w:tc>
        <w:tc>
          <w:tcPr>
            <w:tcW w:w="939" w:type="pct"/>
            <w:tcBorders>
              <w:top w:val="single" w:sz="4" w:space="0" w:color="auto"/>
              <w:left w:val="single" w:sz="4" w:space="0" w:color="auto"/>
              <w:bottom w:val="single" w:sz="4" w:space="0" w:color="auto"/>
              <w:right w:val="single" w:sz="4" w:space="0" w:color="auto"/>
            </w:tcBorders>
          </w:tcPr>
          <w:p w:rsidR="007A42EC" w:rsidRPr="007A42EC" w:rsidRDefault="007A42EC" w:rsidP="009C4B41">
            <w:r w:rsidRPr="007A42EC">
              <w:t>Article 35</w:t>
            </w:r>
          </w:p>
        </w:tc>
        <w:tc>
          <w:tcPr>
            <w:tcW w:w="2183" w:type="pct"/>
            <w:tcBorders>
              <w:top w:val="single" w:sz="4" w:space="0" w:color="auto"/>
              <w:left w:val="single" w:sz="4" w:space="0" w:color="auto"/>
              <w:bottom w:val="single" w:sz="4" w:space="0" w:color="auto"/>
              <w:right w:val="single" w:sz="4" w:space="0" w:color="auto"/>
            </w:tcBorders>
            <w:shd w:val="clear" w:color="auto" w:fill="FFC000"/>
          </w:tcPr>
          <w:p w:rsidR="007A42EC" w:rsidRPr="007A42EC" w:rsidRDefault="007A42EC" w:rsidP="009C4B41">
            <w:pPr>
              <w:spacing w:after="120"/>
            </w:pPr>
            <w:r w:rsidRPr="007A42EC">
              <w:t xml:space="preserve">MiFID 1 Implementing Directive Article 23 incorporated into Delegated Regulation Article 35 with slightly different wording.  </w:t>
            </w:r>
          </w:p>
          <w:p w:rsidR="007A42EC" w:rsidRPr="007A42EC" w:rsidRDefault="007A42EC" w:rsidP="009C4B41">
            <w:pPr>
              <w:spacing w:after="120"/>
            </w:pPr>
            <w:r w:rsidRPr="007A42EC">
              <w:t>New requirement on providing written reports, at least annually, to senior management.</w:t>
            </w:r>
          </w:p>
        </w:tc>
      </w:tr>
    </w:tbl>
    <w:p w:rsidR="002971A1" w:rsidRPr="001E0645" w:rsidRDefault="002971A1">
      <w:pPr>
        <w:rPr>
          <w:rFonts w:cs="Arial"/>
          <w:szCs w:val="20"/>
        </w:rPr>
      </w:pPr>
    </w:p>
    <w:p w:rsidR="00990647" w:rsidRDefault="00990647">
      <w:pPr>
        <w:spacing w:after="200" w:line="276" w:lineRule="auto"/>
        <w:rPr>
          <w:rFonts w:cs="Arial"/>
          <w:szCs w:val="20"/>
        </w:rPr>
        <w:sectPr w:rsidR="00990647" w:rsidSect="00CB058A">
          <w:headerReference w:type="default" r:id="rId11"/>
          <w:footerReference w:type="default" r:id="rId12"/>
          <w:pgSz w:w="16838" w:h="11906" w:orient="landscape" w:code="9"/>
          <w:pgMar w:top="1418" w:right="1418" w:bottom="1418" w:left="1418" w:header="709" w:footer="709" w:gutter="0"/>
          <w:cols w:space="708"/>
          <w:docGrid w:linePitch="360"/>
        </w:sectPr>
      </w:pPr>
    </w:p>
    <w:p w:rsidR="005B26FE" w:rsidRPr="005B26FE" w:rsidRDefault="005B26FE">
      <w:pPr>
        <w:spacing w:after="200" w:line="276" w:lineRule="auto"/>
        <w:rPr>
          <w:b/>
        </w:rPr>
      </w:pPr>
      <w:r w:rsidRPr="005B26FE">
        <w:rPr>
          <w:b/>
        </w:rPr>
        <w:lastRenderedPageBreak/>
        <w:t>Technical Advice pg 82-83</w:t>
      </w:r>
    </w:p>
    <w:p w:rsidR="005B26FE" w:rsidRDefault="005B26FE" w:rsidP="005B26FE">
      <w:pPr>
        <w:spacing w:after="200" w:line="276" w:lineRule="auto"/>
        <w:ind w:left="720" w:hanging="720"/>
      </w:pPr>
      <w:r>
        <w:t xml:space="preserve">1. </w:t>
      </w:r>
      <w:r>
        <w:tab/>
        <w:t xml:space="preserve">ESMA considers that Article 22 of the MiFID Implementing Directive on conflicts of interest policies should be amended by inserting new provisions in relation to the disclosure of conflicts of interest. The following proposals are not intended to replace the existing provisions on conflicts of interest, but rather to clarify or supplement the existing regime. </w:t>
      </w:r>
    </w:p>
    <w:p w:rsidR="005B26FE" w:rsidRDefault="005B26FE" w:rsidP="005B26FE">
      <w:pPr>
        <w:spacing w:after="200" w:line="276" w:lineRule="auto"/>
        <w:ind w:left="720" w:hanging="720"/>
      </w:pPr>
      <w:r>
        <w:t xml:space="preserve">2. </w:t>
      </w:r>
      <w:r>
        <w:tab/>
        <w:t xml:space="preserve">Investment firms shall ensure that disclosure to clients, pursuant to Article 23(2) of MiFID II, is a measure of last resort that can be used only where the effective organisational and administrative arrangements established by the investment firm to prevent or manage its conflicts of interest in accordance with Article 23 of MiFID II are not sufficient to ensure, with reasonable confidence, that the risks of damage to the interests of the client will be prevented. </w:t>
      </w:r>
    </w:p>
    <w:p w:rsidR="005B26FE" w:rsidRDefault="005B26FE" w:rsidP="005B26FE">
      <w:pPr>
        <w:spacing w:after="200" w:line="276" w:lineRule="auto"/>
        <w:ind w:left="720" w:hanging="720"/>
      </w:pPr>
      <w:r>
        <w:t xml:space="preserve">3. </w:t>
      </w:r>
      <w:r>
        <w:tab/>
        <w:t xml:space="preserve">When disclosure of specific conflicts of interest is required, the disclosure shall clearly state that the organisational and administrative arrangements established by the investment firm 83 to prevent or manage that conflict are not sufficient to ensure, with reasonable confidence, that the risks of damage to the interests of the client will be prevented. The disclosure to clients must be made in a durable medium and it must also include a specific description of the conflict of interest that arises in the provision of investment and/or ancillary services, taking into account the nature of the clients to whom the disclosure is being made. That description must explain the general nature and/or sources of conflicts of interest, as well as the risks to the client that arise as a result of the conflict and the steps undertaken to mitigate these risks, in sufficient detail to enable that client to make an informed investment decision. </w:t>
      </w:r>
    </w:p>
    <w:p w:rsidR="005B26FE" w:rsidRDefault="005B26FE" w:rsidP="005B26FE">
      <w:pPr>
        <w:spacing w:after="200" w:line="276" w:lineRule="auto"/>
        <w:ind w:left="720" w:hanging="720"/>
      </w:pPr>
      <w:r>
        <w:t xml:space="preserve">4. </w:t>
      </w:r>
      <w:r>
        <w:tab/>
        <w:t xml:space="preserve">Member States shall require investment firms to assess and periodically review - at least annually - the conflicts of interest policy established in accordance with this article and to take all appropriate measures to address any deficiencies. Over reliance on disclosure of conflicts of interest must be considered a deficiency in an investment firm’s conflicts of interest policy. </w:t>
      </w:r>
    </w:p>
    <w:p w:rsidR="005B26FE" w:rsidRDefault="005B26FE">
      <w:pPr>
        <w:spacing w:after="200" w:line="276" w:lineRule="auto"/>
      </w:pPr>
      <w:r>
        <w:t xml:space="preserve">5. </w:t>
      </w:r>
      <w:r>
        <w:tab/>
        <w:t xml:space="preserve">On the topic of investment research, ESMA considers that: </w:t>
      </w:r>
    </w:p>
    <w:p w:rsidR="005B26FE" w:rsidRDefault="005B26FE" w:rsidP="005B26FE">
      <w:pPr>
        <w:spacing w:after="200" w:line="276" w:lineRule="auto"/>
        <w:ind w:left="720"/>
      </w:pPr>
      <w:r>
        <w:t>i. Article 25(1) of the MiFID Implementing Directive should also apply to recommendations covered under Article 24(2) of the MiFID Implementing Directive.</w:t>
      </w:r>
    </w:p>
    <w:p w:rsidR="005B26FE" w:rsidRDefault="005B26FE" w:rsidP="005B26FE">
      <w:pPr>
        <w:spacing w:after="200" w:line="276" w:lineRule="auto"/>
        <w:ind w:left="720"/>
      </w:pPr>
      <w:r>
        <w:t xml:space="preserve"> ii. Article 25(2) of the MiFID Implementing Directive should be amended by inserting new provision to require a physical separation between the financial analysts involved in the production of the investment research and other relevant persons whose responsibilities or business interests may conflict with the interests of the persons to whom the investment research is disseminated. This provision should also require that when considered not appropriate to the size and organisation of the firm and the nature, scale and complexity of its business, the investment firm shall be able to demonstrate it has put in place appropriate alternative information barriers.</w:t>
      </w:r>
    </w:p>
    <w:p w:rsidR="005B26FE" w:rsidRPr="005B26FE" w:rsidRDefault="005B26FE" w:rsidP="005B26FE">
      <w:pPr>
        <w:numPr>
          <w:ilvl w:val="0"/>
          <w:numId w:val="30"/>
        </w:numPr>
        <w:shd w:val="clear" w:color="auto" w:fill="FFFFFF"/>
        <w:spacing w:line="270" w:lineRule="atLeast"/>
        <w:ind w:left="0"/>
        <w:jc w:val="left"/>
        <w:rPr>
          <w:rFonts w:cs="Arial"/>
          <w:b/>
          <w:color w:val="4B5156"/>
          <w:szCs w:val="18"/>
        </w:rPr>
      </w:pPr>
      <w:r>
        <w:rPr>
          <w:rFonts w:cs="Arial"/>
          <w:b/>
          <w:color w:val="4B5156"/>
          <w:szCs w:val="18"/>
        </w:rPr>
        <w:t xml:space="preserve">See Delegated Regulation provisions here - </w:t>
      </w:r>
      <w:hyperlink r:id="rId13" w:tgtFrame="_blank" w:history="1">
        <w:r w:rsidRPr="005B26FE">
          <w:rPr>
            <w:rStyle w:val="Hyperlink"/>
            <w:rFonts w:cs="Arial"/>
            <w:b/>
            <w:color w:val="00675D"/>
            <w:szCs w:val="18"/>
          </w:rPr>
          <w:t xml:space="preserve">DR April 2016 - </w:t>
        </w:r>
        <w:proofErr w:type="spellStart"/>
        <w:r w:rsidRPr="005B26FE">
          <w:rPr>
            <w:rStyle w:val="Hyperlink"/>
            <w:rFonts w:cs="Arial"/>
            <w:b/>
            <w:color w:val="00675D"/>
            <w:szCs w:val="18"/>
          </w:rPr>
          <w:t>Chp</w:t>
        </w:r>
        <w:proofErr w:type="spellEnd"/>
        <w:r w:rsidRPr="005B26FE">
          <w:rPr>
            <w:rStyle w:val="Hyperlink"/>
            <w:rFonts w:cs="Arial"/>
            <w:b/>
            <w:color w:val="00675D"/>
            <w:szCs w:val="18"/>
          </w:rPr>
          <w:t xml:space="preserve"> 2 S3, Art 33-43 Conflicts of Interest</w:t>
        </w:r>
      </w:hyperlink>
    </w:p>
    <w:p w:rsidR="005B26FE" w:rsidRDefault="005B26FE">
      <w:pPr>
        <w:jc w:val="left"/>
      </w:pPr>
    </w:p>
    <w:p w:rsidR="005B26FE" w:rsidRDefault="005B26FE" w:rsidP="005B26FE">
      <w:pPr>
        <w:spacing w:after="200" w:line="276" w:lineRule="auto"/>
        <w:ind w:left="720"/>
        <w:rPr>
          <w:rFonts w:cs="Arial"/>
          <w:szCs w:val="20"/>
        </w:rPr>
      </w:pPr>
    </w:p>
    <w:p w:rsidR="005B26FE" w:rsidRPr="005B26FE" w:rsidRDefault="005B26FE" w:rsidP="005B26FE">
      <w:pPr>
        <w:spacing w:after="200" w:line="276" w:lineRule="auto"/>
        <w:ind w:left="720"/>
        <w:rPr>
          <w:rFonts w:cs="Arial"/>
          <w:b/>
          <w:sz w:val="22"/>
          <w:szCs w:val="20"/>
        </w:rPr>
      </w:pPr>
    </w:p>
    <w:sectPr w:rsidR="005B26FE" w:rsidRPr="005B26FE" w:rsidSect="00990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150" w:rsidRDefault="009A5150" w:rsidP="00C14BD4">
      <w:r>
        <w:separator/>
      </w:r>
    </w:p>
  </w:endnote>
  <w:endnote w:type="continuationSeparator" w:id="0">
    <w:p w:rsidR="009A5150" w:rsidRDefault="009A5150" w:rsidP="00C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3252CD" w:rsidRDefault="001F53FC">
    <w:pPr>
      <w:rPr>
        <w:sz w:val="12"/>
        <w:szCs w:val="12"/>
      </w:rPr>
    </w:pPr>
  </w:p>
  <w:p w:rsidR="001F53FC" w:rsidRPr="003252CD" w:rsidRDefault="001F53FC" w:rsidP="00E74DB4">
    <w:pPr>
      <w:rPr>
        <w:sz w:val="12"/>
        <w:szCs w:val="12"/>
      </w:rPr>
    </w:pPr>
    <w:r w:rsidRPr="003252CD">
      <w:rPr>
        <w:sz w:val="12"/>
        <w:szCs w:val="12"/>
      </w:rPr>
      <w:t xml:space="preserve"> </w:t>
    </w:r>
    <w:r w:rsidR="0064577C" w:rsidRPr="003252CD">
      <w:rPr>
        <w:sz w:val="12"/>
        <w:szCs w:val="12"/>
      </w:rPr>
      <w:fldChar w:fldCharType="begin"/>
    </w:r>
    <w:r w:rsidRPr="003252CD">
      <w:rPr>
        <w:sz w:val="12"/>
        <w:szCs w:val="12"/>
      </w:rPr>
      <w:instrText xml:space="preserve"> DOCPROPERTY  document_number </w:instrText>
    </w:r>
    <w:r w:rsidR="0064577C" w:rsidRPr="003252CD">
      <w:rPr>
        <w:sz w:val="12"/>
        <w:szCs w:val="12"/>
      </w:rPr>
      <w:fldChar w:fldCharType="separate"/>
    </w:r>
    <w:r w:rsidR="00381DDC">
      <w:rPr>
        <w:sz w:val="12"/>
        <w:szCs w:val="12"/>
      </w:rPr>
      <w:t>62052754 V1 -  - UK1</w:t>
    </w:r>
    <w:r w:rsidR="0064577C" w:rsidRPr="003252CD">
      <w:rPr>
        <w:sz w:val="12"/>
        <w:szCs w:val="12"/>
      </w:rPr>
      <w:fldChar w:fldCharType="end"/>
    </w:r>
    <w:r w:rsidRPr="003252CD">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150" w:rsidRDefault="009A5150" w:rsidP="00C14BD4">
      <w:r>
        <w:separator/>
      </w:r>
    </w:p>
  </w:footnote>
  <w:footnote w:type="continuationSeparator" w:id="0">
    <w:p w:rsidR="009A5150" w:rsidRDefault="009A5150" w:rsidP="00C1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D4" w:rsidRDefault="00C14BD4" w:rsidP="00A7460B">
    <w:pPr>
      <w:jc w:val="right"/>
      <w:rPr>
        <w:rFonts w:cs="Arial"/>
        <w:sz w:val="16"/>
        <w:szCs w:val="16"/>
      </w:rPr>
    </w:pPr>
    <w:r>
      <w:rPr>
        <w:rFonts w:cs="Arial"/>
        <w:noProof/>
        <w:sz w:val="16"/>
        <w:szCs w:val="16"/>
        <w:lang w:eastAsia="en-GB"/>
      </w:rPr>
      <w:drawing>
        <wp:inline distT="0" distB="0" distL="0" distR="0" wp14:anchorId="7057EE7B" wp14:editId="7864E3D5">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5B26FE" w:rsidP="00A7460B">
    <w:pPr>
      <w:jc w:val="right"/>
      <w:rPr>
        <w:rFonts w:cs="Arial"/>
        <w:sz w:val="16"/>
        <w:szCs w:val="16"/>
      </w:rPr>
    </w:pPr>
    <w:r>
      <w:rPr>
        <w:rFonts w:cs="Arial"/>
        <w:sz w:val="16"/>
        <w:szCs w:val="16"/>
      </w:rPr>
      <w:t>20 June</w:t>
    </w:r>
    <w:r w:rsidR="00A7460B" w:rsidRPr="00A7460B">
      <w:rPr>
        <w:rFonts w:cs="Arial"/>
        <w:sz w:val="16"/>
        <w:szCs w:val="16"/>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E4B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729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487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B06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0295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4C8E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D49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FAF8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D22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D493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27"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BA77B09"/>
    <w:multiLevelType w:val="multilevel"/>
    <w:tmpl w:val="D074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6"/>
  </w:num>
  <w:num w:numId="2">
    <w:abstractNumId w:val="16"/>
  </w:num>
  <w:num w:numId="3">
    <w:abstractNumId w:val="22"/>
  </w:num>
  <w:num w:numId="4">
    <w:abstractNumId w:val="14"/>
  </w:num>
  <w:num w:numId="5">
    <w:abstractNumId w:val="19"/>
  </w:num>
  <w:num w:numId="6">
    <w:abstractNumId w:val="24"/>
  </w:num>
  <w:num w:numId="7">
    <w:abstractNumId w:val="25"/>
  </w:num>
  <w:num w:numId="8">
    <w:abstractNumId w:val="23"/>
  </w:num>
  <w:num w:numId="9">
    <w:abstractNumId w:val="12"/>
  </w:num>
  <w:num w:numId="10">
    <w:abstractNumId w:val="27"/>
  </w:num>
  <w:num w:numId="11">
    <w:abstractNumId w:val="13"/>
  </w:num>
  <w:num w:numId="12">
    <w:abstractNumId w:val="29"/>
  </w:num>
  <w:num w:numId="13">
    <w:abstractNumId w:val="11"/>
  </w:num>
  <w:num w:numId="14">
    <w:abstractNumId w:val="10"/>
  </w:num>
  <w:num w:numId="15">
    <w:abstractNumId w:val="20"/>
  </w:num>
  <w:num w:numId="16">
    <w:abstractNumId w:val="18"/>
  </w:num>
  <w:num w:numId="17">
    <w:abstractNumId w:val="15"/>
  </w:num>
  <w:num w:numId="18">
    <w:abstractNumId w:val="21"/>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F4286"/>
    <w:rsid w:val="001153B6"/>
    <w:rsid w:val="00126D51"/>
    <w:rsid w:val="00175581"/>
    <w:rsid w:val="0017715A"/>
    <w:rsid w:val="001955B3"/>
    <w:rsid w:val="001B24D8"/>
    <w:rsid w:val="001E0645"/>
    <w:rsid w:val="001E43A5"/>
    <w:rsid w:val="001F21EF"/>
    <w:rsid w:val="001F53FC"/>
    <w:rsid w:val="00213975"/>
    <w:rsid w:val="00220094"/>
    <w:rsid w:val="002906AA"/>
    <w:rsid w:val="0029381C"/>
    <w:rsid w:val="002960E1"/>
    <w:rsid w:val="002971A1"/>
    <w:rsid w:val="002A6843"/>
    <w:rsid w:val="002E4D24"/>
    <w:rsid w:val="002F49E3"/>
    <w:rsid w:val="00301554"/>
    <w:rsid w:val="00311015"/>
    <w:rsid w:val="003252CD"/>
    <w:rsid w:val="00381DDC"/>
    <w:rsid w:val="00390328"/>
    <w:rsid w:val="003C310D"/>
    <w:rsid w:val="003E12AE"/>
    <w:rsid w:val="003E16E2"/>
    <w:rsid w:val="003F2EB0"/>
    <w:rsid w:val="0044328B"/>
    <w:rsid w:val="004C7C3F"/>
    <w:rsid w:val="00502393"/>
    <w:rsid w:val="0056687A"/>
    <w:rsid w:val="005B26FE"/>
    <w:rsid w:val="0060630A"/>
    <w:rsid w:val="0062234B"/>
    <w:rsid w:val="0064577C"/>
    <w:rsid w:val="00695E51"/>
    <w:rsid w:val="006E7FB2"/>
    <w:rsid w:val="00767452"/>
    <w:rsid w:val="007A42EC"/>
    <w:rsid w:val="007A7E9F"/>
    <w:rsid w:val="007C222B"/>
    <w:rsid w:val="007E5B5C"/>
    <w:rsid w:val="00822DBB"/>
    <w:rsid w:val="008A3338"/>
    <w:rsid w:val="008A4EB4"/>
    <w:rsid w:val="00920739"/>
    <w:rsid w:val="0096097B"/>
    <w:rsid w:val="00980174"/>
    <w:rsid w:val="00990647"/>
    <w:rsid w:val="009A5150"/>
    <w:rsid w:val="009B0A35"/>
    <w:rsid w:val="009F3C71"/>
    <w:rsid w:val="00A7460B"/>
    <w:rsid w:val="00AC41A4"/>
    <w:rsid w:val="00AE07E3"/>
    <w:rsid w:val="00AE6F9C"/>
    <w:rsid w:val="00AF5BA0"/>
    <w:rsid w:val="00B14584"/>
    <w:rsid w:val="00BB285E"/>
    <w:rsid w:val="00BD7939"/>
    <w:rsid w:val="00BD7D3A"/>
    <w:rsid w:val="00C04072"/>
    <w:rsid w:val="00C11828"/>
    <w:rsid w:val="00C14BD4"/>
    <w:rsid w:val="00C23EC3"/>
    <w:rsid w:val="00C27680"/>
    <w:rsid w:val="00CA7274"/>
    <w:rsid w:val="00CB058A"/>
    <w:rsid w:val="00D74945"/>
    <w:rsid w:val="00D804FC"/>
    <w:rsid w:val="00D812DA"/>
    <w:rsid w:val="00D845E5"/>
    <w:rsid w:val="00DD060C"/>
    <w:rsid w:val="00E72948"/>
    <w:rsid w:val="00E74DB4"/>
    <w:rsid w:val="00E85801"/>
    <w:rsid w:val="00E85E2E"/>
    <w:rsid w:val="00EB2152"/>
    <w:rsid w:val="00EB6C5A"/>
    <w:rsid w:val="00EC237A"/>
    <w:rsid w:val="00EF5631"/>
    <w:rsid w:val="00F13CBE"/>
    <w:rsid w:val="00F2199C"/>
    <w:rsid w:val="00F32C2B"/>
    <w:rsid w:val="00F66402"/>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1A1"/>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971A1"/>
    <w:rPr>
      <w:color w:val="0000FF" w:themeColor="hyperlink"/>
      <w:u w:val="single"/>
    </w:rPr>
  </w:style>
  <w:style w:type="paragraph" w:styleId="Header">
    <w:name w:val="header"/>
    <w:basedOn w:val="Normal"/>
    <w:link w:val="HeaderChar"/>
    <w:rsid w:val="00C14BD4"/>
    <w:pPr>
      <w:tabs>
        <w:tab w:val="center" w:pos="4513"/>
        <w:tab w:val="right" w:pos="9026"/>
      </w:tabs>
    </w:pPr>
  </w:style>
  <w:style w:type="character" w:customStyle="1" w:styleId="HeaderChar">
    <w:name w:val="Header Char"/>
    <w:basedOn w:val="DefaultParagraphFont"/>
    <w:link w:val="Header"/>
    <w:rsid w:val="00C14BD4"/>
    <w:rPr>
      <w:rFonts w:ascii="Arial" w:hAnsi="Arial"/>
      <w:szCs w:val="22"/>
      <w:lang w:eastAsia="zh-CN"/>
    </w:rPr>
  </w:style>
  <w:style w:type="paragraph" w:styleId="Footer">
    <w:name w:val="footer"/>
    <w:basedOn w:val="Normal"/>
    <w:link w:val="FooterChar"/>
    <w:rsid w:val="00C14BD4"/>
    <w:pPr>
      <w:tabs>
        <w:tab w:val="center" w:pos="4513"/>
        <w:tab w:val="right" w:pos="9026"/>
      </w:tabs>
    </w:pPr>
  </w:style>
  <w:style w:type="character" w:customStyle="1" w:styleId="FooterChar">
    <w:name w:val="Footer Char"/>
    <w:basedOn w:val="DefaultParagraphFont"/>
    <w:link w:val="Footer"/>
    <w:rsid w:val="00C14BD4"/>
    <w:rPr>
      <w:rFonts w:ascii="Arial" w:hAnsi="Arial"/>
      <w:szCs w:val="22"/>
      <w:lang w:eastAsia="zh-CN"/>
    </w:rPr>
  </w:style>
  <w:style w:type="paragraph" w:styleId="BalloonText">
    <w:name w:val="Balloon Text"/>
    <w:basedOn w:val="Normal"/>
    <w:link w:val="BalloonTextChar"/>
    <w:rsid w:val="00990647"/>
    <w:rPr>
      <w:rFonts w:ascii="Tahoma" w:hAnsi="Tahoma" w:cs="Tahoma"/>
      <w:sz w:val="16"/>
      <w:szCs w:val="16"/>
    </w:rPr>
  </w:style>
  <w:style w:type="character" w:customStyle="1" w:styleId="BalloonTextChar">
    <w:name w:val="Balloon Text Char"/>
    <w:basedOn w:val="DefaultParagraphFont"/>
    <w:link w:val="BalloonText"/>
    <w:rsid w:val="00990647"/>
    <w:rPr>
      <w:rFonts w:ascii="Tahoma" w:hAnsi="Tahoma" w:cs="Tahoma"/>
      <w:sz w:val="16"/>
      <w:szCs w:val="16"/>
      <w:lang w:eastAsia="zh-CN"/>
    </w:rPr>
  </w:style>
  <w:style w:type="table" w:styleId="TableGrid">
    <w:name w:val="Table Grid"/>
    <w:basedOn w:val="TableNormal"/>
    <w:uiPriority w:val="59"/>
    <w:rsid w:val="007A42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hyperlink" Target="http://www.elexica.com/~/media/Files/Microsites/MiFID/MiFID2%20legislative/DR%20April%202016%20%20Chp2%20S3%20Art%203343%20%20Conflicts%20of%20Interest.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ransparency/regdoc/rep/3/2016/EN/3-2016-2398-EN-F1-1.PDF" TargetMode="External"/><Relationship Id="rId4" Type="http://schemas.openxmlformats.org/officeDocument/2006/relationships/settings" Target="settings.xml"/><Relationship Id="rId9" Type="http://schemas.openxmlformats.org/officeDocument/2006/relationships/hyperlink" Target="http://eur-lex.europa.eu/LexUriServ/LexUriServ.do?uri=OJ:L:2006:241:0026:0058:E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6FAB-32E3-4522-8472-DB0387AB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2019-10-13T19:49:00Z</dcterms:created>
  <dcterms:modified xsi:type="dcterms:W3CDTF">2019-10-13T19:49:00Z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y fmtid="{D5CDD505-2E9C-101B-9397-08002B2CF9AE}" pid="3" name="MAIL_MSG_ID1">
    <vt:lpwstr>gFAAbtDMpgn6UhofsDoVBWGBB8pINfDs61w102hDvwB6Tn32PKef1qiVVoamR5dmH9/FGyPgCCbY76Ul
J+tGeY73HihSq0llOU2ahsOY/t7E4NgGCy1zJEQ3ChQSTY3GU4NyzNF0tU40uytd9n69m1yHuMMW
z3znUXMEPiL3WDX72qo9cBIX8Ix3Rx/BYU7JRkh2uQOTLy1L5Ex7efPWOeBaHup4njRfT2a7WuIf
two5rbzTHMI2T/+90</vt:lpwstr>
  </property>
  <property fmtid="{D5CDD505-2E9C-101B-9397-08002B2CF9AE}" pid="4" name="MAIL_MSG_ID2">
    <vt:lpwstr>bkrQJ+LKdtcihWJf0bkCEDfhr++5KSAQpMaLnenqOFt6oULsj0cNL0G8cVu
cZhdVJMQ5zRM/LBO0zZt0XXGRj8+IZSKUrZBzA==</vt:lpwstr>
  </property>
  <property fmtid="{D5CDD505-2E9C-101B-9397-08002B2CF9AE}" pid="5" name="RESPONSE_SENDER_NAME">
    <vt:lpwstr>sAAAXRTqSjcrLAqHDPj5qp2DVKvVVpTUJkbo71C5XELfDoo=</vt:lpwstr>
  </property>
  <property fmtid="{D5CDD505-2E9C-101B-9397-08002B2CF9AE}" pid="6" name="EMAIL_OWNER_ADDRESS">
    <vt:lpwstr>ABAAJXrvhtoYpC60Wj34tky9s3zRaEovW0eJ8gXiU/KKmh2wp6IBw+Oac9gH8egcXTLV</vt:lpwstr>
  </property>
  <property fmtid="{D5CDD505-2E9C-101B-9397-08002B2CF9AE}" pid="7" name="WS_TRACKING_ID">
    <vt:lpwstr>9f8c03ca-6b0e-4adf-810c-f8c8155681c8</vt:lpwstr>
  </property>
</Properties>
</file>