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alias w:val="BHDC Region"/>
        <w:tag w:val="F78A5B1F14E040A1A4E4444308C00DA2"/>
        <w:id w:val="751399942"/>
        <w:placeholder>
          <w:docPart w:val="2BAF6BA1FDD547EB842A02C2457EC853"/>
        </w:placeholder>
      </w:sdtPr>
      <w:sdtEndPr/>
      <w:sdtContent>
        <w:tbl>
          <w:tblPr>
            <w:tblW w:w="0" w:type="auto"/>
            <w:tblLook w:val="01E0" w:firstRow="1" w:lastRow="1" w:firstColumn="1" w:lastColumn="1" w:noHBand="0" w:noVBand="0"/>
          </w:tblPr>
          <w:tblGrid>
            <w:gridCol w:w="7230"/>
            <w:gridCol w:w="2284"/>
          </w:tblGrid>
          <w:tr w:rsidR="00C12FC0" w14:paraId="7A88E983" w14:textId="77777777" w:rsidTr="003270FE">
            <w:tc>
              <w:tcPr>
                <w:tcW w:w="7230" w:type="dxa"/>
                <w:tcMar>
                  <w:top w:w="0" w:type="dxa"/>
                  <w:left w:w="0" w:type="dxa"/>
                  <w:bottom w:w="0" w:type="dxa"/>
                  <w:right w:w="0" w:type="dxa"/>
                </w:tcMar>
              </w:tcPr>
              <w:p w14:paraId="04CE69CF" w14:textId="77777777" w:rsidR="00C12FC0" w:rsidRDefault="00C12FC0" w:rsidP="003270FE">
                <w:pPr>
                  <w:pStyle w:val="ssUserEntry"/>
                  <w:jc w:val="both"/>
                </w:pPr>
              </w:p>
            </w:tc>
            <w:tc>
              <w:tcPr>
                <w:tcW w:w="2284" w:type="dxa"/>
              </w:tcPr>
              <w:p w14:paraId="7DBDEF0E" w14:textId="515DD5FC" w:rsidR="00C12FC0" w:rsidRDefault="00A63DE6" w:rsidP="003270FE">
                <w:pPr>
                  <w:pStyle w:val="ssUserEntry"/>
                  <w:ind w:left="-108"/>
                  <w:jc w:val="both"/>
                </w:pPr>
                <w:sdt>
                  <w:sdtPr>
                    <w:alias w:val="Outline Content"/>
                    <w:tag w:val="6D74FFFCFC5B40E6B387653F9AC3AA38"/>
                    <w:id w:val="-1394262366"/>
                    <w:placeholder>
                      <w:docPart w:val="474E070A79544165BB47665FF7944315"/>
                    </w:placeholder>
                    <w:date w:fullDate="2026-07-22T00:00:00Z">
                      <w:dateFormat w:val="d MMMM yyyy"/>
                      <w:lid w:val="en-GB"/>
                      <w:storeMappedDataAs w:val="dateTime"/>
                      <w:calendar w:val="gregorian"/>
                    </w:date>
                  </w:sdtPr>
                  <w:sdtEndPr/>
                  <w:sdtContent>
                    <w:r w:rsidR="00236CCD">
                      <w:t>22 July 2026</w:t>
                    </w:r>
                  </w:sdtContent>
                </w:sdt>
              </w:p>
            </w:tc>
          </w:tr>
          <w:tr w:rsidR="00C12FC0" w14:paraId="5F11C6B3" w14:textId="77777777" w:rsidTr="003270FE">
            <w:trPr>
              <w:trHeight w:val="381"/>
            </w:trPr>
            <w:tc>
              <w:tcPr>
                <w:tcW w:w="7230" w:type="dxa"/>
                <w:tcMar>
                  <w:top w:w="0" w:type="dxa"/>
                  <w:left w:w="0" w:type="dxa"/>
                  <w:bottom w:w="0" w:type="dxa"/>
                  <w:right w:w="0" w:type="dxa"/>
                </w:tcMar>
              </w:tcPr>
              <w:p w14:paraId="7EA8E59E" w14:textId="77777777" w:rsidR="00D44448" w:rsidRDefault="00D44448" w:rsidP="003270FE">
                <w:pPr>
                  <w:pStyle w:val="ssUserEntry"/>
                  <w:jc w:val="both"/>
                </w:pPr>
              </w:p>
              <w:p w14:paraId="7173497D" w14:textId="6E77A2AE" w:rsidR="00C12FC0" w:rsidRDefault="006913CE" w:rsidP="003270FE">
                <w:pPr>
                  <w:pStyle w:val="ssUserEntry"/>
                  <w:jc w:val="both"/>
                </w:pPr>
                <w:r>
                  <w:t xml:space="preserve">For the attention of: </w:t>
                </w:r>
                <w:r w:rsidRPr="006913CE">
                  <w:rPr>
                    <w:b/>
                    <w:bCs/>
                  </w:rPr>
                  <w:t>Transfer Pricing, Tax Treaties and International Agreements Division, at the OECD Centre for Tax Policy and Administration.</w:t>
                </w:r>
              </w:p>
              <w:p w14:paraId="6ED726D6" w14:textId="77777777" w:rsidR="00C12FC0" w:rsidRDefault="00C12FC0" w:rsidP="003270FE">
                <w:pPr>
                  <w:pStyle w:val="ssUserEntry"/>
                  <w:jc w:val="both"/>
                </w:pPr>
              </w:p>
            </w:tc>
            <w:tc>
              <w:tcPr>
                <w:tcW w:w="2284" w:type="dxa"/>
              </w:tcPr>
              <w:p w14:paraId="4EF9C545" w14:textId="77777777" w:rsidR="00C12FC0" w:rsidRDefault="00C12FC0" w:rsidP="003270FE">
                <w:pPr>
                  <w:pStyle w:val="ssUserEntry"/>
                  <w:ind w:left="-108"/>
                  <w:jc w:val="both"/>
                </w:pPr>
              </w:p>
            </w:tc>
          </w:tr>
          <w:tr w:rsidR="00C12FC0" w14:paraId="164F521C" w14:textId="77777777" w:rsidTr="003270FE">
            <w:trPr>
              <w:trHeight w:val="312"/>
            </w:trPr>
            <w:tc>
              <w:tcPr>
                <w:tcW w:w="7230" w:type="dxa"/>
                <w:tcMar>
                  <w:top w:w="0" w:type="dxa"/>
                  <w:left w:w="0" w:type="dxa"/>
                  <w:bottom w:w="0" w:type="dxa"/>
                  <w:right w:w="0" w:type="dxa"/>
                </w:tcMar>
              </w:tcPr>
              <w:p w14:paraId="4800AAAD" w14:textId="77777777" w:rsidR="00C12FC0" w:rsidRPr="00187366" w:rsidRDefault="00C12FC0" w:rsidP="003270FE">
                <w:pPr>
                  <w:pStyle w:val="ssUserEntry"/>
                  <w:jc w:val="both"/>
                  <w:rPr>
                    <w:rFonts w:eastAsiaTheme="minorHAnsi" w:cstheme="minorBidi"/>
                    <w:lang w:eastAsia="en-US"/>
                  </w:rPr>
                </w:pPr>
              </w:p>
            </w:tc>
            <w:tc>
              <w:tcPr>
                <w:tcW w:w="2284" w:type="dxa"/>
              </w:tcPr>
              <w:p w14:paraId="5CA08D08" w14:textId="77777777" w:rsidR="00C12FC0" w:rsidRDefault="00A63DE6" w:rsidP="003270FE">
                <w:pPr>
                  <w:pStyle w:val="ssUserEntry"/>
                  <w:ind w:left="-108"/>
                  <w:jc w:val="both"/>
                </w:pPr>
              </w:p>
            </w:tc>
          </w:tr>
        </w:tbl>
      </w:sdtContent>
    </w:sdt>
    <w:p w14:paraId="7C0DCCB7" w14:textId="77777777" w:rsidR="00C12FC0" w:rsidRDefault="00C12FC0" w:rsidP="003270FE">
      <w:pPr>
        <w:pStyle w:val="SSSpacingSmall"/>
        <w:jc w:val="both"/>
      </w:pPr>
    </w:p>
    <w:tbl>
      <w:tblPr>
        <w:tblW w:w="9514" w:type="dxa"/>
        <w:tblLook w:val="01E0" w:firstRow="1" w:lastRow="1" w:firstColumn="1" w:lastColumn="1" w:noHBand="0" w:noVBand="0"/>
      </w:tblPr>
      <w:tblGrid>
        <w:gridCol w:w="1191"/>
        <w:gridCol w:w="8323"/>
      </w:tblGrid>
      <w:tr w:rsidR="00C12FC0" w14:paraId="012CA843" w14:textId="77777777" w:rsidTr="00466834">
        <w:tc>
          <w:tcPr>
            <w:tcW w:w="1191" w:type="dxa"/>
            <w:tcMar>
              <w:top w:w="0" w:type="dxa"/>
              <w:left w:w="0" w:type="dxa"/>
              <w:bottom w:w="0" w:type="dxa"/>
              <w:right w:w="0" w:type="dxa"/>
            </w:tcMar>
          </w:tcPr>
          <w:p w14:paraId="387392CD" w14:textId="536F24AC" w:rsidR="00C12FC0" w:rsidRDefault="00C12FC0" w:rsidP="003270FE">
            <w:pPr>
              <w:pStyle w:val="ssContactDetails"/>
              <w:jc w:val="both"/>
            </w:pPr>
          </w:p>
        </w:tc>
        <w:tc>
          <w:tcPr>
            <w:tcW w:w="8323" w:type="dxa"/>
          </w:tcPr>
          <w:p w14:paraId="44D381F0" w14:textId="69DEB6DE" w:rsidR="00C12FC0" w:rsidRDefault="00C12FC0" w:rsidP="003270FE">
            <w:pPr>
              <w:pStyle w:val="ssContactDetails"/>
              <w:jc w:val="both"/>
            </w:pPr>
          </w:p>
        </w:tc>
      </w:tr>
      <w:tr w:rsidR="00C12FC0" w14:paraId="09D305A1" w14:textId="77777777" w:rsidTr="00466834">
        <w:sdt>
          <w:sdtPr>
            <w:alias w:val="Outline Content"/>
            <w:tag w:val="D8F422B1A154480C854758CCAF99038B"/>
            <w:id w:val="346449808"/>
            <w:placeholder>
              <w:docPart w:val="53213233B41B4CFE93B9FC9059ADE9C6"/>
            </w:placeholder>
            <w:showingPlcHdr/>
          </w:sdtPr>
          <w:sdtEndPr/>
          <w:sdtContent>
            <w:tc>
              <w:tcPr>
                <w:tcW w:w="1191" w:type="dxa"/>
                <w:tcMar>
                  <w:top w:w="0" w:type="dxa"/>
                  <w:left w:w="0" w:type="dxa"/>
                  <w:bottom w:w="0" w:type="dxa"/>
                  <w:right w:w="0" w:type="dxa"/>
                </w:tcMar>
              </w:tcPr>
              <w:p w14:paraId="293FBE2D" w14:textId="77777777" w:rsidR="00C12FC0" w:rsidRDefault="00C12FC0" w:rsidP="003270FE">
                <w:pPr>
                  <w:pStyle w:val="ssContactDetails"/>
                  <w:jc w:val="both"/>
                </w:pPr>
              </w:p>
            </w:tc>
          </w:sdtContent>
        </w:sdt>
        <w:sdt>
          <w:sdtPr>
            <w:alias w:val="Outline Content"/>
            <w:tag w:val="DDBF41A5488547E6AB7BB5A6F04027E1"/>
            <w:id w:val="1161588618"/>
            <w:placeholder>
              <w:docPart w:val="939262D89EA94AED8E5FD2C60AB46CB5"/>
            </w:placeholder>
            <w:showingPlcHdr/>
          </w:sdtPr>
          <w:sdtEndPr/>
          <w:sdtContent>
            <w:tc>
              <w:tcPr>
                <w:tcW w:w="8323" w:type="dxa"/>
              </w:tcPr>
              <w:p w14:paraId="0D6F81CB" w14:textId="77777777" w:rsidR="00C12FC0" w:rsidRDefault="00C12FC0" w:rsidP="003270FE">
                <w:pPr>
                  <w:pStyle w:val="ssContactDetails"/>
                  <w:jc w:val="both"/>
                </w:pPr>
              </w:p>
            </w:tc>
          </w:sdtContent>
        </w:sdt>
      </w:tr>
      <w:tr w:rsidR="00C12FC0" w14:paraId="2BBE93E8" w14:textId="77777777" w:rsidTr="000C6773">
        <w:tc>
          <w:tcPr>
            <w:tcW w:w="9514" w:type="dxa"/>
            <w:gridSpan w:val="2"/>
            <w:tcMar>
              <w:top w:w="0" w:type="dxa"/>
              <w:left w:w="0" w:type="dxa"/>
              <w:bottom w:w="0" w:type="dxa"/>
              <w:right w:w="0" w:type="dxa"/>
            </w:tcMar>
          </w:tcPr>
          <w:p w14:paraId="7F8BA825" w14:textId="77777777" w:rsidR="00C12FC0" w:rsidRDefault="00C12FC0" w:rsidP="003270FE">
            <w:pPr>
              <w:pStyle w:val="ssUserEntry"/>
              <w:jc w:val="both"/>
            </w:pPr>
          </w:p>
        </w:tc>
      </w:tr>
      <w:tr w:rsidR="00C12FC0" w14:paraId="15864801" w14:textId="77777777" w:rsidTr="0014520A">
        <w:trPr>
          <w:trHeight w:hRule="exact" w:val="680"/>
        </w:trPr>
        <w:tc>
          <w:tcPr>
            <w:tcW w:w="9514" w:type="dxa"/>
            <w:gridSpan w:val="2"/>
            <w:tcMar>
              <w:top w:w="0" w:type="dxa"/>
              <w:left w:w="0" w:type="dxa"/>
              <w:bottom w:w="0" w:type="dxa"/>
              <w:right w:w="0" w:type="dxa"/>
            </w:tcMar>
          </w:tcPr>
          <w:p w14:paraId="493D0246" w14:textId="77777777" w:rsidR="00C12FC0" w:rsidRDefault="00A63DE6" w:rsidP="003270FE">
            <w:pPr>
              <w:pStyle w:val="ssLegends"/>
              <w:jc w:val="both"/>
            </w:pPr>
            <w:sdt>
              <w:sdtPr>
                <w:alias w:val="Outline Content"/>
                <w:tag w:val="AE4A12E1D9284FB0AB37FEF16D8E2D9A"/>
                <w:id w:val="1587111440"/>
                <w:placeholder>
                  <w:docPart w:val="D0F2A010B37942858244CADE76EAF1AC"/>
                </w:placeholder>
                <w:showingPlcHdr/>
              </w:sdtPr>
              <w:sdtEndPr/>
              <w:sdtContent/>
            </w:sdt>
            <w:r w:rsidR="00C12FC0">
              <w:t xml:space="preserve"> </w:t>
            </w:r>
          </w:p>
          <w:sdt>
            <w:sdtPr>
              <w:alias w:val="Outline Content"/>
              <w:tag w:val="DF8105805656490895F467B8D0B5D64D"/>
              <w:id w:val="-1062009269"/>
              <w:placeholder>
                <w:docPart w:val="3B7B6D24A4EA4DBDAC5BAE3049A32E5F"/>
              </w:placeholder>
              <w:showingPlcHdr/>
            </w:sdtPr>
            <w:sdtEndPr/>
            <w:sdtContent>
              <w:p w14:paraId="448D0CD9" w14:textId="6C7A76BB" w:rsidR="00C12FC0" w:rsidRDefault="00A63DE6" w:rsidP="003270FE">
                <w:pPr>
                  <w:pStyle w:val="ssLegends"/>
                  <w:jc w:val="both"/>
                </w:pPr>
              </w:p>
            </w:sdtContent>
          </w:sdt>
          <w:p w14:paraId="7232BD5E" w14:textId="77777777" w:rsidR="00C12FC0" w:rsidRDefault="00C12FC0" w:rsidP="003270FE">
            <w:pPr>
              <w:pStyle w:val="ssLegends"/>
              <w:jc w:val="both"/>
            </w:pPr>
          </w:p>
          <w:p w14:paraId="1F97A581" w14:textId="77777777" w:rsidR="00C12FC0" w:rsidRDefault="00C12FC0" w:rsidP="003270FE">
            <w:pPr>
              <w:pStyle w:val="ssLegends"/>
              <w:jc w:val="both"/>
            </w:pPr>
          </w:p>
          <w:p w14:paraId="17B4FE23" w14:textId="77777777" w:rsidR="00C12FC0" w:rsidRDefault="00C12FC0" w:rsidP="003270FE">
            <w:pPr>
              <w:pStyle w:val="ssLegends"/>
              <w:jc w:val="both"/>
            </w:pPr>
          </w:p>
        </w:tc>
      </w:tr>
      <w:tr w:rsidR="006913CE" w:rsidRPr="006913CE" w14:paraId="5978501F" w14:textId="77777777" w:rsidTr="0014520A">
        <w:trPr>
          <w:trHeight w:hRule="exact" w:val="680"/>
        </w:trPr>
        <w:tc>
          <w:tcPr>
            <w:tcW w:w="9514" w:type="dxa"/>
            <w:gridSpan w:val="2"/>
            <w:tcMar>
              <w:top w:w="0" w:type="dxa"/>
              <w:left w:w="0" w:type="dxa"/>
              <w:bottom w:w="0" w:type="dxa"/>
              <w:right w:w="0" w:type="dxa"/>
            </w:tcMar>
          </w:tcPr>
          <w:p w14:paraId="7FF447ED" w14:textId="5951C3F4" w:rsidR="006913CE" w:rsidRPr="006913CE" w:rsidRDefault="006913CE" w:rsidP="003270FE">
            <w:pPr>
              <w:pStyle w:val="ssLegends"/>
              <w:jc w:val="both"/>
            </w:pPr>
            <w:r w:rsidRPr="006913CE">
              <w:t>By e-mail:</w:t>
            </w:r>
            <w:r>
              <w:t xml:space="preserve">  taxpublicconsultation@oecd.org </w:t>
            </w:r>
            <w:r w:rsidRPr="006913CE">
              <w:t xml:space="preserve"> </w:t>
            </w:r>
          </w:p>
        </w:tc>
      </w:tr>
    </w:tbl>
    <w:p w14:paraId="5B85062F" w14:textId="685A3538" w:rsidR="00C12FC0" w:rsidRPr="006913CE" w:rsidRDefault="006913CE" w:rsidP="003270FE">
      <w:pPr>
        <w:pStyle w:val="SSSpacingSmall"/>
        <w:jc w:val="both"/>
      </w:pPr>
      <w:r w:rsidRPr="006913CE">
        <w:t xml:space="preserve"> </w:t>
      </w:r>
      <w:hyperlink r:id="rId7" w:history="1">
        <w:r w:rsidRPr="006913CE">
          <w:rPr>
            <w:rStyle w:val="Hyperlink"/>
            <w:color w:val="auto"/>
          </w:rPr>
          <w:t>taxpublicconsultation@oecd.org</w:t>
        </w:r>
      </w:hyperlink>
      <w:r w:rsidRPr="006913CE">
        <w:t>tax</w:t>
      </w:r>
    </w:p>
    <w:sdt>
      <w:sdtPr>
        <w:alias w:val="BHDC Region"/>
        <w:tag w:val="C97224D7FAF44439A6CE78D91BA2EC2A"/>
        <w:id w:val="1978731222"/>
        <w:placeholder>
          <w:docPart w:val="FFD57C2D08BE4E2BB3A1E060E63666FB"/>
        </w:placeholder>
      </w:sdtPr>
      <w:sdtEndPr>
        <w:rPr>
          <w:rFonts w:eastAsiaTheme="minorHAnsi" w:cstheme="minorBidi"/>
          <w:b/>
          <w:bCs/>
          <w:lang w:eastAsia="en-US"/>
        </w:rPr>
      </w:sdtEndPr>
      <w:sdtContent>
        <w:tbl>
          <w:tblPr>
            <w:tblW w:w="0" w:type="auto"/>
            <w:tblCellMar>
              <w:left w:w="0" w:type="dxa"/>
              <w:right w:w="0" w:type="dxa"/>
            </w:tblCellMar>
            <w:tblLook w:val="04A0" w:firstRow="1" w:lastRow="0" w:firstColumn="1" w:lastColumn="0" w:noHBand="0" w:noVBand="1"/>
          </w:tblPr>
          <w:tblGrid>
            <w:gridCol w:w="9524"/>
          </w:tblGrid>
          <w:tr w:rsidR="00C12FC0" w:rsidRPr="006913CE" w14:paraId="71FBB757" w14:textId="77777777" w:rsidTr="008C122D">
            <w:tc>
              <w:tcPr>
                <w:tcW w:w="9524" w:type="dxa"/>
              </w:tcPr>
              <w:p w14:paraId="194B1F47" w14:textId="77777777" w:rsidR="00C12FC0" w:rsidRPr="006913CE" w:rsidRDefault="00A63DE6" w:rsidP="003270FE">
                <w:pPr>
                  <w:pStyle w:val="ssSpacingLine"/>
                  <w:tabs>
                    <w:tab w:val="left" w:pos="3013"/>
                  </w:tabs>
                  <w:jc w:val="both"/>
                  <w:rPr>
                    <w:b/>
                    <w:bCs/>
                  </w:rPr>
                </w:pPr>
                <w:sdt>
                  <w:sdtPr>
                    <w:alias w:val="Outline Content"/>
                    <w:tag w:val="FD85636958774D5E986FEE2CDC871905"/>
                    <w:id w:val="-564878665"/>
                    <w:placeholder>
                      <w:docPart w:val="BD70C4645900440DA19668F1EF35B627"/>
                    </w:placeholder>
                    <w:showingPlcHdr/>
                  </w:sdtPr>
                  <w:sdtEndPr/>
                  <w:sdtContent/>
                </w:sdt>
                <w:sdt>
                  <w:sdtPr>
                    <w:alias w:val="Outline Content"/>
                    <w:tag w:val="7D1016DAEEA34AF18CE1632792CD52A8"/>
                    <w:id w:val="65463710"/>
                    <w:placeholder>
                      <w:docPart w:val="67CABDB509EA466F80819550FBE0AB27"/>
                    </w:placeholder>
                    <w:showingPlcHdr/>
                  </w:sdtPr>
                  <w:sdtEndPr/>
                  <w:sdtContent/>
                </w:sdt>
              </w:p>
            </w:tc>
          </w:tr>
          <w:tr w:rsidR="00C12FC0" w:rsidRPr="006913CE" w14:paraId="2A791BC7" w14:textId="77777777" w:rsidTr="008C122D">
            <w:tc>
              <w:tcPr>
                <w:tcW w:w="9524" w:type="dxa"/>
              </w:tcPr>
              <w:p w14:paraId="06174E9C" w14:textId="77777777" w:rsidR="006913CE" w:rsidRPr="006913CE" w:rsidRDefault="006913CE" w:rsidP="003270FE">
                <w:pPr>
                  <w:numPr>
                    <w:ilvl w:val="0"/>
                    <w:numId w:val="43"/>
                  </w:numPr>
                  <w:jc w:val="both"/>
                  <w:rPr>
                    <w:b/>
                    <w:bCs/>
                  </w:rPr>
                </w:pPr>
                <w:r w:rsidRPr="006913CE">
                  <w:rPr>
                    <w:b/>
                    <w:bCs/>
                  </w:rPr>
                  <w:t>Public consultation on taxation: Revisions to Chapter VII of the OECD Transfer Pricing Guidelines</w:t>
                </w:r>
              </w:p>
              <w:p w14:paraId="60B5688F" w14:textId="77777777" w:rsidR="00C12FC0" w:rsidRPr="006913CE" w:rsidRDefault="00A63DE6" w:rsidP="003270FE">
                <w:pPr>
                  <w:pStyle w:val="ssSpacingLine"/>
                  <w:tabs>
                    <w:tab w:val="left" w:pos="3013"/>
                  </w:tabs>
                  <w:jc w:val="both"/>
                  <w:rPr>
                    <w:rFonts w:eastAsiaTheme="minorHAnsi" w:cstheme="minorBidi"/>
                    <w:b/>
                    <w:bCs/>
                    <w:lang w:eastAsia="en-US"/>
                  </w:rPr>
                </w:pPr>
              </w:p>
            </w:tc>
          </w:tr>
        </w:tbl>
      </w:sdtContent>
    </w:sdt>
    <w:p w14:paraId="1DA68B1B" w14:textId="17E70056" w:rsidR="006913CE" w:rsidRDefault="006913CE" w:rsidP="003270FE">
      <w:pPr>
        <w:pStyle w:val="ssPara1"/>
        <w:numPr>
          <w:ilvl w:val="0"/>
          <w:numId w:val="0"/>
        </w:numPr>
        <w:jc w:val="both"/>
        <w:rPr>
          <w:lang w:eastAsia="en-GB"/>
        </w:rPr>
      </w:pPr>
      <w:r w:rsidRPr="006913CE">
        <w:rPr>
          <w:lang w:eastAsia="en-GB"/>
        </w:rPr>
        <w:t>Simmons &amp; Simmons LLP welcomes the opportunity to provide comments on the OECD's consultation issued on</w:t>
      </w:r>
      <w:r w:rsidRPr="006913CE">
        <w:t xml:space="preserve"> 1 June</w:t>
      </w:r>
      <w:r w:rsidR="00D44448">
        <w:t xml:space="preserve"> 2026</w:t>
      </w:r>
      <w:r w:rsidRPr="006913CE">
        <w:t xml:space="preserve"> </w:t>
      </w:r>
      <w:r w:rsidRPr="006913CE">
        <w:rPr>
          <w:lang w:eastAsia="en-GB"/>
        </w:rPr>
        <w:t xml:space="preserve">regarding the proposed revisions to Chapter VII of the OECD Transfer Pricing Guidelines for Multinational Enterprises and Tax Administrations, January 2022 (“OECD Guidelines”) concerning </w:t>
      </w:r>
      <w:r w:rsidR="00D44448">
        <w:rPr>
          <w:lang w:eastAsia="en-GB"/>
        </w:rPr>
        <w:t>intragroup services</w:t>
      </w:r>
      <w:r w:rsidR="00D44448" w:rsidRPr="006913CE">
        <w:rPr>
          <w:lang w:eastAsia="en-GB"/>
        </w:rPr>
        <w:t xml:space="preserve"> </w:t>
      </w:r>
      <w:r w:rsidRPr="006913CE">
        <w:rPr>
          <w:lang w:eastAsia="en-GB"/>
        </w:rPr>
        <w:t>(the "Consultation").</w:t>
      </w:r>
    </w:p>
    <w:p w14:paraId="7612305D" w14:textId="4E75F0DF" w:rsidR="006913CE" w:rsidRDefault="006913CE" w:rsidP="003270FE">
      <w:pPr>
        <w:pStyle w:val="ssPara1"/>
        <w:numPr>
          <w:ilvl w:val="0"/>
          <w:numId w:val="0"/>
        </w:numPr>
        <w:jc w:val="both"/>
        <w:rPr>
          <w:lang w:eastAsia="en-GB"/>
        </w:rPr>
      </w:pPr>
      <w:r w:rsidRPr="00532301">
        <w:t xml:space="preserve">Simmons &amp; Simmons LLP is a leading </w:t>
      </w:r>
      <w:r w:rsidRPr="00B80762">
        <w:t>international</w:t>
      </w:r>
      <w:r w:rsidRPr="00532301">
        <w:t xml:space="preserve"> law firm</w:t>
      </w:r>
      <w:r>
        <w:t xml:space="preserve"> which advises an international client base of all sizes which includes</w:t>
      </w:r>
      <w:r w:rsidRPr="00532301">
        <w:t xml:space="preserve"> </w:t>
      </w:r>
      <w:r>
        <w:t xml:space="preserve">major financial institutions, multinational corporate groups, investment funds and asset managers. We advise our client base extensively in relation to a broad range of transfer pricing matters on a global basis including the UK. </w:t>
      </w:r>
    </w:p>
    <w:p w14:paraId="32D66648" w14:textId="77777777" w:rsidR="006913CE" w:rsidRPr="00532301" w:rsidRDefault="006913CE" w:rsidP="003270FE">
      <w:pPr>
        <w:pStyle w:val="ssNoHeading2"/>
        <w:numPr>
          <w:ilvl w:val="0"/>
          <w:numId w:val="0"/>
        </w:numPr>
        <w:ind w:left="709" w:hanging="709"/>
        <w:jc w:val="both"/>
      </w:pPr>
      <w:r>
        <w:t>As highlighted in these responses, our key comments are as follows:</w:t>
      </w:r>
    </w:p>
    <w:p w14:paraId="4D79D916" w14:textId="201A616E" w:rsidR="00F12017" w:rsidRPr="003270FE" w:rsidRDefault="006913CE" w:rsidP="00CB4828">
      <w:pPr>
        <w:pStyle w:val="ssNoHeading3"/>
        <w:numPr>
          <w:ilvl w:val="3"/>
          <w:numId w:val="77"/>
        </w:numPr>
        <w:jc w:val="both"/>
      </w:pPr>
      <w:r w:rsidRPr="00B453AA">
        <w:t xml:space="preserve">We welcome the OECD's continued efforts to ensure that the </w:t>
      </w:r>
      <w:r>
        <w:t>OECD</w:t>
      </w:r>
      <w:r w:rsidRPr="00B453AA">
        <w:t xml:space="preserve"> Guidelines remain relevant </w:t>
      </w:r>
      <w:proofErr w:type="gramStart"/>
      <w:r w:rsidRPr="00B453AA">
        <w:t>in light of</w:t>
      </w:r>
      <w:proofErr w:type="gramEnd"/>
      <w:r w:rsidRPr="00B453AA">
        <w:t xml:space="preserve"> evolving business models, digitalisation and the growing importance of data, technology and other intangible assets</w:t>
      </w:r>
      <w:r>
        <w:t xml:space="preserve"> in the context of the provision of intragroup services</w:t>
      </w:r>
      <w:r w:rsidRPr="00B453AA">
        <w:t>.</w:t>
      </w:r>
      <w:r>
        <w:t xml:space="preserve"> Given it has been nearly three decades since Chapter VII was last revisited and there has been significant tax authority audit activity concerning intragroup services which has led to new business models and pricing approaches, it is important that the OECD Guidelines reflects the current practices of all affected parties. </w:t>
      </w:r>
      <w:r w:rsidR="00F12017" w:rsidRPr="003270FE">
        <w:t>We particularly support the proposed updates to the benefit test, including the recognition that benefits may arise over an extended period and that unsuccessful outcomes should not automatically lead to a conclusion that no service was provided. However, further guidance would be helpful on the documentation required to demonstrate the benefit test, particularly to ensure a proportionate approach that balances audit requirements with practical record-retention challenges faced by taxpayers.</w:t>
      </w:r>
    </w:p>
    <w:p w14:paraId="432B345D" w14:textId="2856A13F" w:rsidR="00F12017" w:rsidRPr="003270FE" w:rsidRDefault="00F12017" w:rsidP="00CB4828">
      <w:pPr>
        <w:pStyle w:val="ssNoHeading3"/>
        <w:numPr>
          <w:ilvl w:val="3"/>
          <w:numId w:val="77"/>
        </w:numPr>
        <w:jc w:val="both"/>
      </w:pPr>
      <w:r w:rsidRPr="003270FE">
        <w:lastRenderedPageBreak/>
        <w:t>We support the OECD’s continued emphasis on aligning allocation keys with expected benefit or service usage. However, determining and documenting appropriate allocation keys remains one of the most challenging aspects of intragroup services in practice.</w:t>
      </w:r>
      <w:r>
        <w:t xml:space="preserve"> </w:t>
      </w:r>
      <w:r w:rsidRPr="003270FE">
        <w:t xml:space="preserve">Given the diversity of industries and operating models, we favour a principles-based approach supported by additional practical examples rather than prescriptive rules. Further examples relevant to sectors such as financial services, </w:t>
      </w:r>
      <w:r w:rsidR="00D44448">
        <w:t xml:space="preserve">including for </w:t>
      </w:r>
      <w:r w:rsidRPr="003270FE">
        <w:t>banking and asset management</w:t>
      </w:r>
      <w:r w:rsidR="00D44448">
        <w:t xml:space="preserve"> businesses,</w:t>
      </w:r>
      <w:r w:rsidRPr="003270FE">
        <w:t xml:space="preserve"> would be particularly valuable, as traditional allocation keys such as headcount or turnover do not always provide the most reliable measure of benefit. </w:t>
      </w:r>
    </w:p>
    <w:p w14:paraId="661355E6" w14:textId="69C6B0CE" w:rsidR="007C4657" w:rsidRDefault="007C4657" w:rsidP="00CB4828">
      <w:pPr>
        <w:pStyle w:val="ssNoHeading3"/>
        <w:numPr>
          <w:ilvl w:val="3"/>
          <w:numId w:val="77"/>
        </w:numPr>
        <w:jc w:val="both"/>
      </w:pPr>
      <w:r>
        <w:t xml:space="preserve">The reference to selection of other transfer pricing methods such as the profit split method in the context of intragroup services is helpful as it reflects the </w:t>
      </w:r>
      <w:proofErr w:type="gramStart"/>
      <w:r>
        <w:t>often complex</w:t>
      </w:r>
      <w:proofErr w:type="gramEnd"/>
      <w:r>
        <w:t xml:space="preserve"> fact patterns in multinational groups where one party provides services, another </w:t>
      </w:r>
      <w:proofErr w:type="gramStart"/>
      <w:r>
        <w:t>assets</w:t>
      </w:r>
      <w:proofErr w:type="gramEnd"/>
      <w:r>
        <w:t xml:space="preserve"> and a third manag</w:t>
      </w:r>
      <w:r w:rsidR="00D44448">
        <w:t>es</w:t>
      </w:r>
      <w:r>
        <w:t xml:space="preserve"> economically significant risks. However, further examples on the circumstances where such</w:t>
      </w:r>
      <w:r w:rsidR="00D44448">
        <w:t xml:space="preserve"> alternative</w:t>
      </w:r>
      <w:r>
        <w:t xml:space="preserve"> method may be appropriate and the practical implications of the implementation of th</w:t>
      </w:r>
      <w:r w:rsidR="00D44448">
        <w:t>at</w:t>
      </w:r>
      <w:r>
        <w:t xml:space="preserve"> method (e.g. data availability, complexity and loss splits) would be helpful to address </w:t>
      </w:r>
      <w:r w:rsidR="00D44448">
        <w:t xml:space="preserve">certain key </w:t>
      </w:r>
      <w:r>
        <w:t>issues commonly debated with tax authorities during tax audits.</w:t>
      </w:r>
    </w:p>
    <w:p w14:paraId="77C490C8" w14:textId="64899475" w:rsidR="00F12017" w:rsidRPr="003270FE" w:rsidRDefault="00F12017" w:rsidP="00CB4828">
      <w:pPr>
        <w:pStyle w:val="ssNoHeading3"/>
        <w:numPr>
          <w:ilvl w:val="3"/>
          <w:numId w:val="77"/>
        </w:numPr>
        <w:jc w:val="both"/>
      </w:pPr>
      <w:r w:rsidRPr="003270FE">
        <w:t>We believe further guidance would be valuable in relation to modern business transformation projects, particularly AI-driven initiatives</w:t>
      </w:r>
      <w:r w:rsidR="007C4657">
        <w:t xml:space="preserve"> and the use of AI in delivering intragroup services</w:t>
      </w:r>
      <w:r w:rsidRPr="003270FE">
        <w:t>. Additional examples would help distinguish between activities undertaken by a parent company in its capacity as shareholder and those that provide chargeable benefits to group entities</w:t>
      </w:r>
      <w:r w:rsidR="007C4657">
        <w:t>, for example</w:t>
      </w:r>
      <w:r w:rsidRPr="003270FE">
        <w:t>.</w:t>
      </w:r>
    </w:p>
    <w:p w14:paraId="4AF3378D" w14:textId="77777777" w:rsidR="00F12017" w:rsidRPr="003270FE" w:rsidRDefault="00F12017" w:rsidP="00CB4828">
      <w:pPr>
        <w:pStyle w:val="ssNoHeading3"/>
        <w:numPr>
          <w:ilvl w:val="3"/>
          <w:numId w:val="77"/>
        </w:numPr>
        <w:jc w:val="both"/>
      </w:pPr>
      <w:r w:rsidRPr="003270FE">
        <w:t>We also consider additional guidance on stock-based and share-based compensation to be a priority. These arrangements create practical challenges relating to timing, accounting treatment, valuation and cost allocation. In our experience, there is no universally correct approach, and the treatment of share-based compensation requires a careful analysis of the relevant facts and circumstances. Further guidance on the interaction between employee share plans and intragroup service charging mechanisms would improve certainty for both taxpayers and tax authorities while supporting more consistent transfer pricing outcomes.</w:t>
      </w:r>
    </w:p>
    <w:p w14:paraId="4C327E77" w14:textId="60643745" w:rsidR="006913CE" w:rsidRPr="00532301" w:rsidRDefault="006913CE" w:rsidP="003270FE">
      <w:pPr>
        <w:pStyle w:val="ssNoHeading1"/>
        <w:numPr>
          <w:ilvl w:val="0"/>
          <w:numId w:val="0"/>
        </w:numPr>
        <w:jc w:val="both"/>
      </w:pPr>
      <w:r w:rsidRPr="00532301">
        <w:t>This response is divided into two sections. The first section provides our general observations on the proposed revisions to Chapter V</w:t>
      </w:r>
      <w:r w:rsidR="00D44448">
        <w:t>I</w:t>
      </w:r>
      <w:r w:rsidRPr="00532301">
        <w:t>I, including areas where we believe additional clarification would be beneficial. The second section contains our responses to the specific questions raised in the Consultation.</w:t>
      </w:r>
      <w:r>
        <w:t xml:space="preserve"> Our responses below reflect our own comments on the proposed amendments being considered under the Consultation, as well as those expressed by our clients during discussions.</w:t>
      </w:r>
    </w:p>
    <w:p w14:paraId="482A7272" w14:textId="77777777" w:rsidR="006913CE" w:rsidRPr="00532301" w:rsidRDefault="006913CE" w:rsidP="003270FE">
      <w:pPr>
        <w:pStyle w:val="ssNoHeading1"/>
        <w:numPr>
          <w:ilvl w:val="0"/>
          <w:numId w:val="0"/>
        </w:numPr>
        <w:jc w:val="both"/>
      </w:pPr>
      <w:r w:rsidRPr="00532301">
        <w:t xml:space="preserve">We would be pleased to participate in any further formal or informal discussions regarding the subject matter of the Consultation and would welcome the opportunity to contribute to future stakeholder engagement on the </w:t>
      </w:r>
      <w:r>
        <w:t>revisions to Chapter VII.</w:t>
      </w:r>
    </w:p>
    <w:p w14:paraId="1F7569BD" w14:textId="77777777" w:rsidR="006913CE" w:rsidRPr="00E842C9" w:rsidRDefault="006913CE" w:rsidP="003270FE">
      <w:pPr>
        <w:pStyle w:val="Heading1"/>
        <w:jc w:val="both"/>
      </w:pPr>
      <w:r w:rsidRPr="00E842C9">
        <w:t xml:space="preserve">General </w:t>
      </w:r>
      <w:r>
        <w:t>observations on the Consultation</w:t>
      </w:r>
    </w:p>
    <w:p w14:paraId="766647D5" w14:textId="10FC53AF" w:rsidR="006913CE" w:rsidRPr="00532301" w:rsidRDefault="006913CE" w:rsidP="003270FE">
      <w:pPr>
        <w:pStyle w:val="ssNoHeading2"/>
        <w:jc w:val="both"/>
      </w:pPr>
      <w:r w:rsidRPr="00532301">
        <w:t xml:space="preserve">In our view, the proposed changes reflect the evolution of </w:t>
      </w:r>
      <w:r>
        <w:t xml:space="preserve">commercial, business and operational practices relevant to intragroup services </w:t>
      </w:r>
      <w:r w:rsidRPr="00532301">
        <w:t xml:space="preserve">since the existing guidance was introduced. The increasing importance of digitalisation, data-driven business models, </w:t>
      </w:r>
      <w:r>
        <w:t xml:space="preserve">use of </w:t>
      </w:r>
      <w:r w:rsidRPr="00532301">
        <w:t xml:space="preserve">artificial intelligence, platform-based businesses and highly integrated global operating structures has created new challenges in the identification, valuation and pricing of </w:t>
      </w:r>
      <w:r>
        <w:t>intragroup services.</w:t>
      </w:r>
      <w:r w:rsidRPr="00532301">
        <w:t xml:space="preserve"> Against this backdrop, the OECD's efforts to modernise and clarify the guidance are both timely and appropriate.</w:t>
      </w:r>
      <w:r w:rsidR="00236CCD">
        <w:t xml:space="preserve"> However, we believe it is important to balance this with the need for multinational groups to be able to identify and manage the pricing of intragroup services in a practical manner. For example, adopting a granular approach to </w:t>
      </w:r>
      <w:r w:rsidR="00236CCD">
        <w:lastRenderedPageBreak/>
        <w:t xml:space="preserve">analysing the transactions and their pricing will require more resource and time from taxpayers when many tax and finance teams are already operating at capacity. </w:t>
      </w:r>
    </w:p>
    <w:p w14:paraId="4CDE9DDB" w14:textId="77777777" w:rsidR="006913CE" w:rsidRPr="00532301" w:rsidRDefault="006913CE" w:rsidP="003270FE">
      <w:pPr>
        <w:pStyle w:val="ssNoHeading2"/>
        <w:jc w:val="both"/>
      </w:pPr>
      <w:r w:rsidRPr="00532301">
        <w:t xml:space="preserve">We particularly welcome the inclusion of </w:t>
      </w:r>
      <w:r>
        <w:t xml:space="preserve">22 </w:t>
      </w:r>
      <w:r w:rsidRPr="00532301">
        <w:t>practical examples and clarifications that reflect contemporary business practices. As multinational enterprises continue</w:t>
      </w:r>
      <w:r>
        <w:t xml:space="preserve"> to develop functional profiles to </w:t>
      </w:r>
      <w:r w:rsidRPr="00532301">
        <w:t xml:space="preserve">leverage technology </w:t>
      </w:r>
      <w:r>
        <w:t xml:space="preserve">and human resource capability </w:t>
      </w:r>
      <w:r w:rsidRPr="00532301">
        <w:t>across multiple jurisdictions, further guidance can help promote</w:t>
      </w:r>
      <w:r>
        <w:t xml:space="preserve"> a baseline for</w:t>
      </w:r>
      <w:r w:rsidRPr="00532301">
        <w:t xml:space="preserve"> the consistent application of the arm's length principle across jurisdictions.</w:t>
      </w:r>
    </w:p>
    <w:p w14:paraId="135AAE8E" w14:textId="05B2F63A" w:rsidR="006913CE" w:rsidRPr="009F301A" w:rsidRDefault="006913CE" w:rsidP="003270FE">
      <w:pPr>
        <w:pStyle w:val="ssNoHeading2"/>
        <w:jc w:val="both"/>
      </w:pPr>
      <w:r w:rsidRPr="00532301">
        <w:t>At the same time, we believe it is important that Chapter VI</w:t>
      </w:r>
      <w:r>
        <w:t>I</w:t>
      </w:r>
      <w:r w:rsidRPr="00532301">
        <w:t xml:space="preserve"> retains a principles-based approach. </w:t>
      </w:r>
      <w:r>
        <w:t xml:space="preserve">We appreciate the challenge in providing prescriptive guidance for every scenario particularly as </w:t>
      </w:r>
      <w:r w:rsidR="00D44448">
        <w:t xml:space="preserve">provision </w:t>
      </w:r>
      <w:r>
        <w:t xml:space="preserve">of services, assets and </w:t>
      </w:r>
      <w:r w:rsidR="00D44448">
        <w:t xml:space="preserve">the management of </w:t>
      </w:r>
      <w:r>
        <w:t xml:space="preserve">economically significant risks is more integrated than ever before.  </w:t>
      </w:r>
      <w:r w:rsidRPr="00532301">
        <w:t>Accordingly, while practical examples are helpful</w:t>
      </w:r>
      <w:r w:rsidR="00D44448">
        <w:t xml:space="preserve"> by way of illustration of key principles</w:t>
      </w:r>
      <w:r w:rsidRPr="00532301">
        <w:t xml:space="preserve">, </w:t>
      </w:r>
      <w:r>
        <w:t xml:space="preserve">we believe </w:t>
      </w:r>
      <w:r w:rsidRPr="00532301">
        <w:t>the guidance should remain sufficiently flexible to accommodate future developments.</w:t>
      </w:r>
      <w:r>
        <w:t xml:space="preserve"> </w:t>
      </w:r>
      <w:r w:rsidRPr="009F301A">
        <w:t>In th</w:t>
      </w:r>
      <w:r>
        <w:t>e following</w:t>
      </w:r>
      <w:r w:rsidRPr="009F301A">
        <w:t xml:space="preserve"> section</w:t>
      </w:r>
      <w:r>
        <w:t>s</w:t>
      </w:r>
      <w:r w:rsidRPr="009F301A">
        <w:t xml:space="preserve">, we provide our observations on the </w:t>
      </w:r>
      <w:r>
        <w:t>specific</w:t>
      </w:r>
      <w:r w:rsidRPr="009F301A">
        <w:t xml:space="preserve"> topics covered by the Consultation.</w:t>
      </w:r>
    </w:p>
    <w:p w14:paraId="18E748D1" w14:textId="77777777" w:rsidR="006913CE" w:rsidRPr="00E842C9" w:rsidRDefault="006913CE" w:rsidP="003270FE">
      <w:pPr>
        <w:pStyle w:val="Heading1"/>
        <w:jc w:val="both"/>
      </w:pPr>
      <w:r w:rsidRPr="00E842C9">
        <w:t xml:space="preserve">Benefit test </w:t>
      </w:r>
    </w:p>
    <w:p w14:paraId="7BE13B7C" w14:textId="3D9CD3EE" w:rsidR="006913CE" w:rsidRPr="00E842C9" w:rsidRDefault="006913CE" w:rsidP="003270FE">
      <w:pPr>
        <w:pStyle w:val="ssNoHeading2"/>
        <w:jc w:val="both"/>
      </w:pPr>
      <w:r w:rsidRPr="00E842C9">
        <w:t xml:space="preserve">We welcome the additional guidance provided on the application of the benefit test and believe that this is one of the most valuable aspects of the proposed revisions. </w:t>
      </w:r>
      <w:proofErr w:type="gramStart"/>
      <w:r w:rsidRPr="00E842C9">
        <w:t>In particular, we</w:t>
      </w:r>
      <w:proofErr w:type="gramEnd"/>
      <w:r w:rsidRPr="00E842C9">
        <w:t xml:space="preserve"> strongly support the clarification that a benefit refers to any economic or commercial value derived from an activity performed by another group entity and that such benefit may be realised either during or after the period in which the activity is performed. Modern business models increasingly involve investments in technology, data analytics, marketing, digital transformation and other strategic initiatives that may generate benefits over an extended </w:t>
      </w:r>
      <w:proofErr w:type="gramStart"/>
      <w:r w:rsidRPr="00E842C9">
        <w:t>period of time</w:t>
      </w:r>
      <w:proofErr w:type="gramEnd"/>
      <w:r w:rsidRPr="00E842C9">
        <w:t xml:space="preserve">. Accordingly, we welcome the recognition that the timing of the benefit should not be determinative when assessing whether an intragroup service has been rendered. </w:t>
      </w:r>
    </w:p>
    <w:p w14:paraId="0AB401C8" w14:textId="447B2887" w:rsidR="006913CE" w:rsidRPr="00E842C9" w:rsidRDefault="006913CE" w:rsidP="003270FE">
      <w:pPr>
        <w:pStyle w:val="ssNoHeading2"/>
        <w:jc w:val="both"/>
      </w:pPr>
      <w:r w:rsidRPr="00E842C9">
        <w:t>We also strongly support the clarification that the expected benefit must be assessed based on the facts and circumstances existing at the time the activity is undertaken and that the failure of an activity to deliver the anticipated outcome should not</w:t>
      </w:r>
      <w:proofErr w:type="gramStart"/>
      <w:r w:rsidRPr="00E842C9">
        <w:t>, in itself, lead</w:t>
      </w:r>
      <w:proofErr w:type="gramEnd"/>
      <w:r w:rsidRPr="00E842C9">
        <w:t xml:space="preserve"> to the conclusion that no intragroup service has been provided. This reflects commercial reality. Independent enterprises frequently incur costs in pursuit of anticipated commercial benefits that ultimately do not materialise, and the absence of a successful outcome does not negate the fact that services were </w:t>
      </w:r>
      <w:proofErr w:type="gramStart"/>
      <w:r w:rsidRPr="00E842C9">
        <w:t>performed</w:t>
      </w:r>
      <w:proofErr w:type="gramEnd"/>
      <w:r>
        <w:t xml:space="preserve"> and the costs incurred in doing so</w:t>
      </w:r>
      <w:r w:rsidRPr="00E842C9">
        <w:t>.</w:t>
      </w:r>
      <w:r w:rsidR="005D0C1F">
        <w:t xml:space="preserve"> Given that a tax authority will often approach these issues with the benefit of hindsight, it is helpful to move more towards a question of what benefit was reasonably expected when the service in question was undertaken.</w:t>
      </w:r>
    </w:p>
    <w:p w14:paraId="36B50157" w14:textId="4388AEF1" w:rsidR="006913CE" w:rsidRPr="0051708D" w:rsidRDefault="006913CE" w:rsidP="006F48CD">
      <w:pPr>
        <w:pStyle w:val="ssNoHeading2"/>
        <w:jc w:val="both"/>
        <w:rPr>
          <w:rFonts w:cs="Times New Roman"/>
          <w:lang w:eastAsia="en-GB"/>
        </w:rPr>
      </w:pPr>
      <w:r>
        <w:t>Th</w:t>
      </w:r>
      <w:r w:rsidRPr="00E842C9">
        <w:t>e clarification that the benefit test should be applied individually at the level of each recipient entity</w:t>
      </w:r>
      <w:r>
        <w:t xml:space="preserve"> makes practical sense</w:t>
      </w:r>
      <w:r w:rsidR="00D44448">
        <w:t>,</w:t>
      </w:r>
      <w:r>
        <w:t xml:space="preserve"> particularly from a recipient jurisdiction tax authority perspective</w:t>
      </w:r>
      <w:r w:rsidRPr="00E842C9">
        <w:t>. The example involving centralised market research and data analytics activities provides a particularly useful illustration of how the benefit test should operate in modern business environments</w:t>
      </w:r>
      <w:r>
        <w:t xml:space="preserve"> </w:t>
      </w:r>
      <w:r w:rsidRPr="0051708D">
        <w:rPr>
          <w:rFonts w:cs="Times New Roman"/>
          <w:lang w:eastAsia="en-GB"/>
        </w:rPr>
        <w:t>It provides guidance on how to delineate between entities that receive a benefit from centralised data analytics and market research services and those that do not. For example, it may help determine whether distribution entities benefit from centralised data analytics services, whereas manufacturing entities do not. Applying the same reasoning to other categories of centralised services can also help distinguish between entities that receive a benefit and those that do not, thereby supporting a more accurate allocation of service costs across the group.</w:t>
      </w:r>
    </w:p>
    <w:p w14:paraId="59013C79" w14:textId="61455837" w:rsidR="006913CE" w:rsidRPr="00E842C9" w:rsidRDefault="006913CE" w:rsidP="003270FE">
      <w:pPr>
        <w:pStyle w:val="ssNoHeading2"/>
        <w:jc w:val="both"/>
      </w:pPr>
      <w:r w:rsidRPr="00E842C9">
        <w:t xml:space="preserve">As multinational groups increasingly leverage data-driven insights across multiple jurisdictions, it is important to recognise that not all entities within a group will necessarily </w:t>
      </w:r>
      <w:r w:rsidRPr="00E842C9">
        <w:lastRenderedPageBreak/>
        <w:t>derive a direct benefit from a particular activity</w:t>
      </w:r>
      <w:r>
        <w:t xml:space="preserve"> and the timing of </w:t>
      </w:r>
      <w:r w:rsidR="00C96071">
        <w:t xml:space="preserve">realisation of </w:t>
      </w:r>
      <w:r>
        <w:t>that benefit</w:t>
      </w:r>
      <w:r w:rsidR="00C96071">
        <w:t xml:space="preserve"> for each relevant entity</w:t>
      </w:r>
      <w:r>
        <w:t xml:space="preserve"> may also differ</w:t>
      </w:r>
      <w:r w:rsidRPr="00E842C9">
        <w:t xml:space="preserve">. </w:t>
      </w:r>
    </w:p>
    <w:p w14:paraId="1F79CDF1" w14:textId="0C42B153" w:rsidR="006913CE" w:rsidRDefault="006913CE" w:rsidP="003270FE">
      <w:pPr>
        <w:pStyle w:val="ssNoHeading2"/>
        <w:jc w:val="both"/>
      </w:pPr>
      <w:r>
        <w:t xml:space="preserve">The Consultation </w:t>
      </w:r>
      <w:r w:rsidRPr="00E842C9">
        <w:t>clarifies th</w:t>
      </w:r>
      <w:r>
        <w:t>e</w:t>
      </w:r>
      <w:r w:rsidRPr="00E842C9">
        <w:t xml:space="preserve"> additional documentation </w:t>
      </w:r>
      <w:r>
        <w:t xml:space="preserve">which </w:t>
      </w:r>
      <w:r w:rsidRPr="00E842C9">
        <w:t xml:space="preserve">may be required </w:t>
      </w:r>
      <w:r>
        <w:t xml:space="preserve">by multinational groups </w:t>
      </w:r>
      <w:r w:rsidRPr="00E842C9">
        <w:t>to demonstrate that the benefit test has been satisfied</w:t>
      </w:r>
      <w:r>
        <w:t xml:space="preserve"> for a particular service</w:t>
      </w:r>
      <w:r w:rsidRPr="00E842C9">
        <w:t xml:space="preserve">. </w:t>
      </w:r>
      <w:r>
        <w:t xml:space="preserve">This aligns with our experience in tax audits and the type of evidence requested from taxpayers. </w:t>
      </w:r>
      <w:r w:rsidRPr="00E842C9">
        <w:t xml:space="preserve">However, </w:t>
      </w:r>
      <w:r>
        <w:t xml:space="preserve">we would appreciate if further guidance could reflect the principle of proportionality </w:t>
      </w:r>
      <w:r w:rsidR="00646C49">
        <w:t>when addressing</w:t>
      </w:r>
      <w:r w:rsidR="00C96071" w:rsidRPr="00B453AA">
        <w:t xml:space="preserve"> </w:t>
      </w:r>
      <w:r w:rsidRPr="00B453AA">
        <w:t xml:space="preserve">the types and volume of documentation that </w:t>
      </w:r>
      <w:r>
        <w:t xml:space="preserve">multinational groups </w:t>
      </w:r>
      <w:r w:rsidR="00C96071">
        <w:t xml:space="preserve">should </w:t>
      </w:r>
      <w:r>
        <w:t xml:space="preserve">retain and </w:t>
      </w:r>
      <w:r w:rsidR="00C96071">
        <w:t xml:space="preserve">which </w:t>
      </w:r>
      <w:r>
        <w:t>t</w:t>
      </w:r>
      <w:r w:rsidRPr="00B453AA">
        <w:t xml:space="preserve">ax authorities may request during a transfer pricing audit. In practice, </w:t>
      </w:r>
      <w:r>
        <w:t>d</w:t>
      </w:r>
      <w:r w:rsidRPr="00094ADE">
        <w:t>ocument retention policies vary significantly between organisations and jurisdictions</w:t>
      </w:r>
      <w:r w:rsidRPr="00996D6D">
        <w:t xml:space="preserve"> </w:t>
      </w:r>
      <w:r>
        <w:t xml:space="preserve">which impact </w:t>
      </w:r>
      <w:r w:rsidR="00C96071">
        <w:t xml:space="preserve">the availability of </w:t>
      </w:r>
      <w:r w:rsidRPr="00B453AA">
        <w:t>emails, internal approvals, meeting minutes or similar records that may potentially be used to evidence that the benefit test has been met.</w:t>
      </w:r>
      <w:r>
        <w:t xml:space="preserve"> In </w:t>
      </w:r>
      <w:proofErr w:type="gramStart"/>
      <w:r>
        <w:t>addition</w:t>
      </w:r>
      <w:proofErr w:type="gramEnd"/>
      <w:r>
        <w:t xml:space="preserve"> change</w:t>
      </w:r>
      <w:r w:rsidR="00C96071">
        <w:t>s</w:t>
      </w:r>
      <w:r>
        <w:t xml:space="preserve"> in personnel within the business, finance and tax teams also impact</w:t>
      </w:r>
      <w:r w:rsidR="00C96071">
        <w:t xml:space="preserve"> the</w:t>
      </w:r>
      <w:r>
        <w:t xml:space="preserve"> audit trail and </w:t>
      </w:r>
      <w:r w:rsidR="00C96071">
        <w:t xml:space="preserve">a group’s ability to </w:t>
      </w:r>
      <w:r>
        <w:t>captur</w:t>
      </w:r>
      <w:r w:rsidR="00C96071">
        <w:t>e</w:t>
      </w:r>
      <w:r>
        <w:t xml:space="preserve"> the rationale for certain decision</w:t>
      </w:r>
      <w:r w:rsidR="00C96071">
        <w:t>s</w:t>
      </w:r>
      <w:r>
        <w:t xml:space="preserve"> </w:t>
      </w:r>
      <w:r w:rsidR="00646C49">
        <w:t xml:space="preserve">having been taken </w:t>
      </w:r>
      <w:r>
        <w:t>at a particular point in time.</w:t>
      </w:r>
      <w:r w:rsidRPr="00B453AA">
        <w:t xml:space="preserve"> </w:t>
      </w:r>
      <w:r>
        <w:t xml:space="preserve">Therefore, it would be helpful to provide further clarification </w:t>
      </w:r>
      <w:r w:rsidRPr="00B453AA">
        <w:t xml:space="preserve">regarding the types of documentation that would be expected to support the benefit test, </w:t>
      </w:r>
      <w:r w:rsidR="00236CCD">
        <w:t xml:space="preserve">depending on the nature of the service. </w:t>
      </w:r>
    </w:p>
    <w:p w14:paraId="1EDE642E" w14:textId="7B07F515" w:rsidR="006913CE" w:rsidRPr="00B453AA" w:rsidRDefault="006913CE" w:rsidP="003270FE">
      <w:pPr>
        <w:pStyle w:val="ssNoHeading2"/>
        <w:jc w:val="both"/>
      </w:pPr>
      <w:r>
        <w:t>For example, in the case of the provision of centralised IT and finance support where the recipient entities also have relevant expertise but perform different functions, email correspondence may be more helpful to demonstrate the distinction and benefit of the service provided centrally. On the other hand, in the case of a franchise agreement for the use of brand and intangibles, meeting minutes and presentations may be more relevant to demonstrate how the brand was used and the benefit derived by the recipient.</w:t>
      </w:r>
      <w:r w:rsidRPr="00B453AA">
        <w:t xml:space="preserve"> Such guidance</w:t>
      </w:r>
      <w:r w:rsidR="00646C49">
        <w:t>,</w:t>
      </w:r>
      <w:r w:rsidRPr="00B453AA">
        <w:t xml:space="preserve"> </w:t>
      </w:r>
      <w:r>
        <w:t>through building out the 22 examples included to reference the types of documentary evidence which may be relevant in each scenario (not just a select few e.g. example 21)</w:t>
      </w:r>
      <w:r w:rsidR="00646C49">
        <w:t>,</w:t>
      </w:r>
      <w:r>
        <w:t xml:space="preserve"> </w:t>
      </w:r>
      <w:r w:rsidRPr="00B453AA">
        <w:t>would help creat</w:t>
      </w:r>
      <w:r>
        <w:t>e</w:t>
      </w:r>
      <w:r w:rsidRPr="00B453AA">
        <w:t xml:space="preserve"> a balance between the legitimate information needs of tax authorities and the compliance burden imposed on taxpayers, while also promoting greater consistency across jurisdictions. </w:t>
      </w:r>
    </w:p>
    <w:p w14:paraId="54B5F314" w14:textId="77777777" w:rsidR="006913CE" w:rsidRPr="00E842C9" w:rsidRDefault="006913CE" w:rsidP="003270FE">
      <w:pPr>
        <w:pStyle w:val="Heading1"/>
        <w:jc w:val="both"/>
      </w:pPr>
      <w:r w:rsidRPr="00E842C9">
        <w:t>Allocation Keys</w:t>
      </w:r>
    </w:p>
    <w:p w14:paraId="633B3336" w14:textId="1A5D43D8" w:rsidR="006913CE" w:rsidRPr="00E842C9" w:rsidRDefault="006913CE" w:rsidP="003270FE">
      <w:pPr>
        <w:pStyle w:val="ssNoHeading2"/>
        <w:jc w:val="both"/>
      </w:pPr>
      <w:r>
        <w:t>T</w:t>
      </w:r>
      <w:r w:rsidRPr="00E842C9">
        <w:t>he OECD's continued emphasis on ensuring that allocation keys reflect the expected benefit received or the usage of services by the relevant group entities</w:t>
      </w:r>
      <w:r>
        <w:t xml:space="preserve"> is an important message</w:t>
      </w:r>
      <w:r w:rsidRPr="00E842C9">
        <w:t xml:space="preserve">. However, in practice, identifying, supporting and documenting an appropriate allocation key remains one of the most significant challenges </w:t>
      </w:r>
      <w:r w:rsidR="00646C49" w:rsidRPr="00E842C9">
        <w:t>faced by multinational groups</w:t>
      </w:r>
      <w:r w:rsidR="00646C49">
        <w:t xml:space="preserve"> </w:t>
      </w:r>
      <w:r>
        <w:t>when implementing intragroup services</w:t>
      </w:r>
      <w:r w:rsidRPr="00E842C9">
        <w:t>.</w:t>
      </w:r>
    </w:p>
    <w:p w14:paraId="71287C80" w14:textId="77777777" w:rsidR="006913CE" w:rsidRPr="00E842C9" w:rsidRDefault="006913CE" w:rsidP="003270FE">
      <w:pPr>
        <w:pStyle w:val="ssNoHeading2"/>
        <w:jc w:val="both"/>
      </w:pPr>
      <w:r w:rsidRPr="00E842C9">
        <w:t>The selection of allocation keys is highly dependent on the specific facts and circumstances of each business, including the nature of the services provided, the industry in which the group operates and the way value is created within the organisation. As a result, we believe that further guidance in this area would be beneficial, particularly through additional practical examples illustrating how allocation keys may be applied across different industries and service arrangements.</w:t>
      </w:r>
    </w:p>
    <w:p w14:paraId="393D2B31" w14:textId="77777777" w:rsidR="006913CE" w:rsidRPr="00E842C9" w:rsidRDefault="006913CE" w:rsidP="003270FE">
      <w:pPr>
        <w:pStyle w:val="ssNoHeading2"/>
        <w:jc w:val="both"/>
      </w:pPr>
      <w:r w:rsidRPr="00E842C9">
        <w:t>For example, in the asset management sector, management fee revenue, performance fee revenue or assets under management ("AUM") may provide an appropriate proxy for the benefit derived from certain centrally provided services. In the banking sector, capital deployed, risk-weighted assets or the overall asset base may better reflect the scale of activities supported by central functions. In other industries, financial metrics such as revenue, EBIT or EBITDA may provide a reasonable indication of the expected benefit derived from the relevant services.</w:t>
      </w:r>
    </w:p>
    <w:p w14:paraId="7AAED7D4" w14:textId="380003FB" w:rsidR="006913CE" w:rsidRPr="00E842C9" w:rsidRDefault="006913CE" w:rsidP="003270FE">
      <w:pPr>
        <w:pStyle w:val="ssNoHeading2"/>
        <w:jc w:val="both"/>
      </w:pPr>
      <w:r>
        <w:t xml:space="preserve">We appreciate there is a delicate balance </w:t>
      </w:r>
      <w:r w:rsidRPr="00E842C9">
        <w:t>between providing helpful guidance and preserving flexibility.</w:t>
      </w:r>
      <w:r>
        <w:t xml:space="preserve"> Allocation keys are </w:t>
      </w:r>
      <w:r w:rsidRPr="00E842C9">
        <w:t>often a source of discussion during tax audits, with tax authorities favouring different allocation methodologies</w:t>
      </w:r>
      <w:r>
        <w:t xml:space="preserve"> which can sometimes drive </w:t>
      </w:r>
      <w:r>
        <w:lastRenderedPageBreak/>
        <w:t>vastly different results for multinational groups. G</w:t>
      </w:r>
      <w:r w:rsidRPr="00E842C9">
        <w:t>iven the diversity of modern business models and industries</w:t>
      </w:r>
      <w:r>
        <w:t>, i</w:t>
      </w:r>
      <w:r w:rsidRPr="00E842C9">
        <w:t xml:space="preserve">n our view, a principles-based approach should be retained, supported by a wider range of practical examples drawn from different sectors. </w:t>
      </w:r>
      <w:proofErr w:type="gramStart"/>
      <w:r w:rsidRPr="00E842C9">
        <w:t>In particular, we</w:t>
      </w:r>
      <w:proofErr w:type="gramEnd"/>
      <w:r w:rsidRPr="00E842C9">
        <w:t xml:space="preserve"> would encourage the OECD to provide additional examples relevant to financial services</w:t>
      </w:r>
      <w:r w:rsidR="00646C49">
        <w:t xml:space="preserve"> (covering both </w:t>
      </w:r>
      <w:r w:rsidRPr="00E842C9">
        <w:t>asset management</w:t>
      </w:r>
      <w:r w:rsidR="00646C49">
        <w:t xml:space="preserve"> and </w:t>
      </w:r>
      <w:r w:rsidRPr="00E842C9">
        <w:t>banking</w:t>
      </w:r>
      <w:r w:rsidR="00646C49">
        <w:t>)</w:t>
      </w:r>
      <w:r w:rsidRPr="00E842C9">
        <w:t xml:space="preserve"> and other highly regulated sectors, where traditional allocation keys such as headcount or turnover may not always provide the most reliable measure of expected benefit. Such guidance </w:t>
      </w:r>
      <w:r>
        <w:t>should focus on establishing principles and providing illustrative examples rather than prescribing allocation keys, thereby assisting</w:t>
      </w:r>
      <w:r w:rsidRPr="00E842C9">
        <w:t xml:space="preserve"> both taxpayers and tax administrations in applying the arm's length principle consistently while recognising the commercial realities of different industries.</w:t>
      </w:r>
    </w:p>
    <w:p w14:paraId="209AE8D6" w14:textId="77777777" w:rsidR="006913CE" w:rsidRPr="00E842C9" w:rsidRDefault="006913CE" w:rsidP="003270FE">
      <w:pPr>
        <w:pStyle w:val="Heading1"/>
        <w:jc w:val="both"/>
      </w:pPr>
      <w:r w:rsidRPr="00E842C9">
        <w:t xml:space="preserve">Profit Split Method proposed for </w:t>
      </w:r>
      <w:r>
        <w:t xml:space="preserve">intragroup </w:t>
      </w:r>
      <w:r w:rsidRPr="00E842C9">
        <w:t xml:space="preserve">services </w:t>
      </w:r>
    </w:p>
    <w:p w14:paraId="71E3274A" w14:textId="73A5833B" w:rsidR="006913CE" w:rsidRPr="00E842C9" w:rsidRDefault="006913CE" w:rsidP="003270FE">
      <w:pPr>
        <w:pStyle w:val="ssNoHeading2"/>
        <w:jc w:val="both"/>
      </w:pPr>
      <w:r w:rsidRPr="00E842C9">
        <w:t xml:space="preserve">We </w:t>
      </w:r>
      <w:r>
        <w:t>understand the rationale for including a separate section on the</w:t>
      </w:r>
      <w:r w:rsidRPr="00E842C9">
        <w:t xml:space="preserve"> selection of the most appropriate transfer pricing method for complex service transactions</w:t>
      </w:r>
      <w:r>
        <w:t xml:space="preserve"> which references methods other than the transactional net margin method or cost plus.</w:t>
      </w:r>
      <w:r w:rsidRPr="00E842C9">
        <w:t xml:space="preserve"> </w:t>
      </w:r>
      <w:r>
        <w:t>A</w:t>
      </w:r>
      <w:r w:rsidRPr="00E842C9">
        <w:t xml:space="preserve"> one-sided transfer pricing method may not always be appropriate</w:t>
      </w:r>
      <w:r>
        <w:t xml:space="preserve"> in the case of integrated business models</w:t>
      </w:r>
      <w:r w:rsidRPr="00E842C9">
        <w:t xml:space="preserve">. </w:t>
      </w:r>
      <w:proofErr w:type="gramStart"/>
      <w:r w:rsidRPr="00E842C9">
        <w:t>In particular, for</w:t>
      </w:r>
      <w:proofErr w:type="gramEnd"/>
      <w:r w:rsidRPr="00E842C9">
        <w:t xml:space="preserve"> data-driven services, such as data analytics and marketing solutions that are developed using significant amounts of data and specialised know-how, a profit split method may, in some circumstances, provide a more reliable outcome, as multiple parties may contribute valuable and unique functions to the creation of value.</w:t>
      </w:r>
    </w:p>
    <w:p w14:paraId="32674203" w14:textId="77777777" w:rsidR="006913CE" w:rsidRPr="00E842C9" w:rsidRDefault="006913CE" w:rsidP="003270FE">
      <w:pPr>
        <w:pStyle w:val="ssNoHeading2"/>
        <w:jc w:val="both"/>
      </w:pPr>
      <w:r w:rsidRPr="00E842C9">
        <w:t>However, based on our experience, profit split methods are often difficult to implement in practice. Many taxpayers do not possess the systems, data or resources necessary to apply a profit split methodology consistently and reliably. In addition, certain emerging data-driven services require significant investment and development efforts before they become profitable. As a result, entities contributing meaningful functions and resources to the development of such services may incur losses during the early years of the arrangement. By contrast, under a cost-plus model, the service provider would generally be expected to earn a routine return regardless of the overall profitability of the activity.</w:t>
      </w:r>
    </w:p>
    <w:p w14:paraId="3E5C37F2" w14:textId="77777777" w:rsidR="006913CE" w:rsidRDefault="006913CE" w:rsidP="003270FE">
      <w:pPr>
        <w:pStyle w:val="ssNoHeading2"/>
        <w:jc w:val="both"/>
      </w:pPr>
      <w:r>
        <w:t xml:space="preserve">In our experience, </w:t>
      </w:r>
      <w:r w:rsidRPr="00E842C9">
        <w:t xml:space="preserve">many tax authorities remain reluctant to accept outcomes under a profit split method where the local entity is in a loss-making position, even where such an outcome is supported by the functional analysis. In practice, </w:t>
      </w:r>
      <w:r>
        <w:t xml:space="preserve">we have seen occasions where </w:t>
      </w:r>
      <w:r w:rsidRPr="00E842C9">
        <w:t xml:space="preserve">tax authorities </w:t>
      </w:r>
      <w:r>
        <w:t>have sought to</w:t>
      </w:r>
      <w:r w:rsidRPr="00E842C9">
        <w:t xml:space="preserve"> replace the profit split method with a one-sided approach, such as the cost-plus method, to ensure that the local entity earns a positive</w:t>
      </w:r>
      <w:r>
        <w:t>, stable</w:t>
      </w:r>
      <w:r w:rsidRPr="00E842C9">
        <w:t xml:space="preserve"> return </w:t>
      </w:r>
      <w:r>
        <w:t xml:space="preserve">contributing to tax revenues. </w:t>
      </w:r>
      <w:r w:rsidRPr="00E842C9">
        <w:t xml:space="preserve">This can create uncertainty </w:t>
      </w:r>
      <w:r>
        <w:t>for multinational groups</w:t>
      </w:r>
      <w:r w:rsidRPr="00E842C9">
        <w:t xml:space="preserve"> and may increase the risk of </w:t>
      </w:r>
      <w:r>
        <w:t xml:space="preserve">tax </w:t>
      </w:r>
      <w:r w:rsidRPr="00E842C9">
        <w:t>disputes and double taxation, particularly in cases where the facts support a genuine sharing of both profits and losses among the participating entities.</w:t>
      </w:r>
    </w:p>
    <w:p w14:paraId="72DB03FF" w14:textId="77777777" w:rsidR="006913CE" w:rsidRPr="00E842C9" w:rsidRDefault="006913CE" w:rsidP="003270FE">
      <w:pPr>
        <w:pStyle w:val="ssNoHeading2"/>
        <w:jc w:val="both"/>
      </w:pPr>
      <w:r>
        <w:t xml:space="preserve">The complexity of the profit split method is not addressed in the examples in the Consultation. For instance, Example 16 concludes by stating that the cost plus or transactional net margin method may not be the most appropriate method based on the facts but stops short of selecting a transfer pricing method. In addition, there are no examples which deal with a ‘loss split’ in the context of intragroup services. </w:t>
      </w:r>
    </w:p>
    <w:p w14:paraId="5735399B" w14:textId="77777777" w:rsidR="006913CE" w:rsidRPr="00E842C9" w:rsidRDefault="006913CE" w:rsidP="003270FE">
      <w:pPr>
        <w:pStyle w:val="Heading1"/>
        <w:jc w:val="both"/>
      </w:pPr>
      <w:r w:rsidRPr="00E842C9">
        <w:t>Section 2 – Specific questions raised by OECD</w:t>
      </w:r>
    </w:p>
    <w:p w14:paraId="214E9714" w14:textId="431248C4" w:rsidR="006913CE" w:rsidRPr="00A80A17" w:rsidRDefault="006913CE" w:rsidP="00A80A17">
      <w:pPr>
        <w:pStyle w:val="ssNoHeading2"/>
        <w:rPr>
          <w:i/>
          <w:iCs/>
        </w:rPr>
      </w:pPr>
      <w:r w:rsidRPr="00A80A17">
        <w:rPr>
          <w:i/>
          <w:iCs/>
        </w:rPr>
        <w:t>Commentators’ views are invited on</w:t>
      </w:r>
      <w:r w:rsidR="00A80A17" w:rsidRPr="00A80A17">
        <w:rPr>
          <w:i/>
          <w:iCs/>
        </w:rPr>
        <w:t xml:space="preserve"> t</w:t>
      </w:r>
      <w:r w:rsidRPr="00A80A17">
        <w:rPr>
          <w:i/>
          <w:iCs/>
        </w:rPr>
        <w:t xml:space="preserve">he understanding and practical application of existing guidance in paragraph 7.10 of the OECD 2022 Transfer Pricing Guidelines. </w:t>
      </w:r>
    </w:p>
    <w:p w14:paraId="5F068BF1" w14:textId="03E20C1C" w:rsidR="006913CE" w:rsidRPr="003270FE" w:rsidRDefault="006913CE" w:rsidP="00A80A17">
      <w:pPr>
        <w:pStyle w:val="ssNoHeading3"/>
        <w:numPr>
          <w:ilvl w:val="0"/>
          <w:numId w:val="0"/>
        </w:numPr>
        <w:ind w:left="709"/>
        <w:jc w:val="both"/>
        <w:rPr>
          <w:i/>
          <w:iCs/>
        </w:rPr>
      </w:pPr>
      <w:r w:rsidRPr="003270FE">
        <w:rPr>
          <w:i/>
          <w:iCs/>
        </w:rPr>
        <w:t>Whether, based on your experience, there are other activities that would commonly meet the definition in paragraph 7.9 of the OECD 2022 Transfer Pricing Guidelines that are not reflected in paragraph 7.10 of the OECD 2022 Transfer Pricing Guidelines. (Shareholder activities)</w:t>
      </w:r>
    </w:p>
    <w:p w14:paraId="48F46126" w14:textId="2FA8607A" w:rsidR="006744B0" w:rsidRDefault="006913CE" w:rsidP="00CB4828">
      <w:pPr>
        <w:pStyle w:val="ssNoHeading3"/>
        <w:numPr>
          <w:ilvl w:val="0"/>
          <w:numId w:val="79"/>
        </w:numPr>
        <w:ind w:left="1418" w:hanging="709"/>
        <w:jc w:val="both"/>
      </w:pPr>
      <w:r w:rsidRPr="00E842C9">
        <w:lastRenderedPageBreak/>
        <w:t xml:space="preserve">In our experience, paragraph 7.10 has traditionally been the primary reference point when considering shareholder activities. However, it does not capture all activities that may qualify as shareholder activities in practice. For example, a parent company may undertake a significant technology transformation project to review and modernise the operations of the </w:t>
      </w:r>
      <w:proofErr w:type="gramStart"/>
      <w:r w:rsidRPr="00E842C9">
        <w:t>group as a whole, including</w:t>
      </w:r>
      <w:proofErr w:type="gramEnd"/>
      <w:r w:rsidRPr="00E842C9">
        <w:t xml:space="preserve"> the adoption of AI-based tools. Such projects may involve substantial costs relating to technology assessments, implementation support, training programmes and system upgrades across group entities. Where these activities are undertaken primarily to enable the shareholder to modernise the group's overall structure, enhance the value of its investment, or maintain the competitiveness of the MNE </w:t>
      </w:r>
      <w:proofErr w:type="gramStart"/>
      <w:r w:rsidRPr="00E842C9">
        <w:t>group as a whole, rather</w:t>
      </w:r>
      <w:proofErr w:type="gramEnd"/>
      <w:r w:rsidRPr="00E842C9">
        <w:t xml:space="preserve"> than to meet the specific operational needs of individual subsidiaries, they could potentially be</w:t>
      </w:r>
      <w:r w:rsidR="006744B0">
        <w:t xml:space="preserve"> argued to be</w:t>
      </w:r>
      <w:r w:rsidRPr="00E842C9">
        <w:t xml:space="preserve"> regarded as shareholder activities.</w:t>
      </w:r>
      <w:r>
        <w:t xml:space="preserve"> </w:t>
      </w:r>
    </w:p>
    <w:p w14:paraId="193386CD" w14:textId="6989ED7A" w:rsidR="006913CE" w:rsidRPr="00E842C9" w:rsidRDefault="006913CE" w:rsidP="00A80A17">
      <w:pPr>
        <w:pStyle w:val="ssNoHeading3"/>
        <w:numPr>
          <w:ilvl w:val="0"/>
          <w:numId w:val="0"/>
        </w:numPr>
        <w:ind w:left="1418"/>
        <w:jc w:val="both"/>
      </w:pPr>
      <w:r w:rsidRPr="00C84B26">
        <w:rPr>
          <w:rFonts w:cs="Times New Roman"/>
          <w:lang w:eastAsia="en-GB"/>
        </w:rPr>
        <w:t>Although the consultation document provides examples of MNEs modernising their business models through the introduction of e-commerce channels and other digital transformation initiatives, it would be beneficial to include a practical example involving an AI transformation project</w:t>
      </w:r>
      <w:r w:rsidR="006744B0">
        <w:rPr>
          <w:rFonts w:cs="Times New Roman"/>
          <w:lang w:eastAsia="en-GB"/>
        </w:rPr>
        <w:t xml:space="preserve"> which is very relevant to many businesses at present</w:t>
      </w:r>
      <w:r w:rsidRPr="00C84B26">
        <w:rPr>
          <w:rFonts w:cs="Times New Roman"/>
          <w:lang w:eastAsia="en-GB"/>
        </w:rPr>
        <w:t xml:space="preserve">. </w:t>
      </w:r>
      <w:proofErr w:type="gramStart"/>
      <w:r w:rsidRPr="00C84B26">
        <w:rPr>
          <w:rFonts w:cs="Times New Roman"/>
          <w:lang w:eastAsia="en-GB"/>
        </w:rPr>
        <w:t>In particular, additional</w:t>
      </w:r>
      <w:proofErr w:type="gramEnd"/>
      <w:r w:rsidRPr="00C84B26">
        <w:rPr>
          <w:rFonts w:cs="Times New Roman"/>
          <w:lang w:eastAsia="en-GB"/>
        </w:rPr>
        <w:t xml:space="preserve"> guidance on the allocation of the associated costs, risks and expected benefits between group entities </w:t>
      </w:r>
      <w:r w:rsidR="006744B0">
        <w:rPr>
          <w:rFonts w:cs="Times New Roman"/>
          <w:lang w:eastAsia="en-GB"/>
        </w:rPr>
        <w:t xml:space="preserve">in the context of AI-based tools </w:t>
      </w:r>
      <w:r w:rsidRPr="00C84B26">
        <w:rPr>
          <w:rFonts w:cs="Times New Roman"/>
          <w:lang w:eastAsia="en-GB"/>
        </w:rPr>
        <w:t>would be valuable, as this remains an emerging area and is not yet a well-established or commonly understood scenario in practice.</w:t>
      </w:r>
    </w:p>
    <w:p w14:paraId="68C72FAD" w14:textId="6B685442" w:rsidR="006913CE" w:rsidRPr="00044479" w:rsidRDefault="006913CE" w:rsidP="00CB4828">
      <w:pPr>
        <w:pStyle w:val="ssNoHeading3"/>
        <w:numPr>
          <w:ilvl w:val="0"/>
          <w:numId w:val="79"/>
        </w:numPr>
        <w:ind w:left="1418" w:hanging="709"/>
        <w:jc w:val="both"/>
      </w:pPr>
      <w:r w:rsidRPr="00044479">
        <w:t>In our view, the ownership-driven nature of these initiatives may, depending on the facts and circumstances, be comparable to other shareholder activities because they are undertaken in the shareholder's capacity as owner of the group and are aimed at preserving or enhancing the value of the shareholder's investment. However, care should be taken to distinguish between activities that primarily benefit the shareholder and those that provide a direct economic or commercial benefit to group entities, as the latter may constitute chargeable intragroup services under the OECD Guidelines.</w:t>
      </w:r>
      <w:r w:rsidR="007B78B4">
        <w:t xml:space="preserve"> We expect businesses may favour a narrower approach to defining shareholder activities in this example as the benefits of AI transformation projects are likely be wide reaching for group entities. </w:t>
      </w:r>
    </w:p>
    <w:p w14:paraId="028D5A84" w14:textId="09C4101D" w:rsidR="00044479" w:rsidRPr="00A80A17" w:rsidRDefault="006913CE" w:rsidP="00A80A17">
      <w:pPr>
        <w:pStyle w:val="ssNoHeading2"/>
        <w:jc w:val="both"/>
        <w:rPr>
          <w:bCs w:val="0"/>
          <w:i/>
          <w:iCs/>
        </w:rPr>
      </w:pPr>
      <w:r w:rsidRPr="00044479">
        <w:rPr>
          <w:i/>
          <w:iCs/>
        </w:rPr>
        <w:t xml:space="preserve">Questions to public commentators </w:t>
      </w:r>
      <w:r w:rsidR="006744B0" w:rsidRPr="00044479">
        <w:rPr>
          <w:i/>
          <w:iCs/>
        </w:rPr>
        <w:t>on:</w:t>
      </w:r>
      <w:r w:rsidR="00044479" w:rsidRPr="00044479">
        <w:rPr>
          <w:bCs w:val="0"/>
          <w:i/>
          <w:iCs/>
        </w:rPr>
        <w:t xml:space="preserve"> </w:t>
      </w:r>
      <w:r w:rsidRPr="00044479">
        <w:rPr>
          <w:bCs w:val="0"/>
          <w:i/>
          <w:iCs/>
        </w:rPr>
        <w:t>Paragraph 7.59 of the OECD 2022 Transfer Pricing Guidelines provides examples of allocation keys in the context of low value-adding services:</w:t>
      </w:r>
      <w:r w:rsidR="00044479" w:rsidRPr="00044479">
        <w:rPr>
          <w:bCs w:val="0"/>
          <w:i/>
          <w:iCs/>
        </w:rPr>
        <w:t xml:space="preserve"> </w:t>
      </w:r>
      <w:r w:rsidRPr="00A80A17">
        <w:rPr>
          <w:bCs w:val="0"/>
          <w:i/>
          <w:iCs/>
        </w:rPr>
        <w:t xml:space="preserve">By way of examples, the allocation key for services related to people might employ each company’s share of total group headcount, IT services might employ the share of total users, fleet management services might employ the share of total vehicles, accounting support services might employ the share of total relevant transactions or the share of total assets. In many cases, the share of total turnover may be a relevant key. </w:t>
      </w:r>
    </w:p>
    <w:p w14:paraId="4D1D89AA" w14:textId="1C755A3F" w:rsidR="00044479" w:rsidRPr="00044479" w:rsidRDefault="006913CE" w:rsidP="00044479">
      <w:pPr>
        <w:pStyle w:val="ssNoHeading2"/>
        <w:jc w:val="both"/>
        <w:rPr>
          <w:bCs w:val="0"/>
          <w:i/>
          <w:iCs/>
        </w:rPr>
      </w:pPr>
      <w:r w:rsidRPr="00044479">
        <w:rPr>
          <w:bCs w:val="0"/>
          <w:i/>
          <w:iCs/>
        </w:rPr>
        <w:t>Comments are invited on: 1. Would it be useful to provide further guidance on the application of allocation keys for certain intragroup services? 2. What are the allocation keys appropriately applied in practice to specific intragroup services?</w:t>
      </w:r>
      <w:r w:rsidR="00044479" w:rsidRPr="00044479">
        <w:rPr>
          <w:bCs w:val="0"/>
          <w:i/>
        </w:rPr>
        <w:t xml:space="preserve"> </w:t>
      </w:r>
    </w:p>
    <w:p w14:paraId="2E94E42C" w14:textId="03D63E38" w:rsidR="006744B0" w:rsidRPr="00A80A17" w:rsidRDefault="006913CE" w:rsidP="00CB4828">
      <w:pPr>
        <w:pStyle w:val="ssNoHeading2"/>
        <w:numPr>
          <w:ilvl w:val="0"/>
          <w:numId w:val="78"/>
        </w:numPr>
        <w:ind w:hanging="720"/>
        <w:jc w:val="both"/>
        <w:rPr>
          <w:bCs w:val="0"/>
        </w:rPr>
      </w:pPr>
      <w:r w:rsidRPr="00044479">
        <w:t xml:space="preserve">From our experience, a less prescriptive approach and guidance on allocation keys would be more favourable for taxpayers. It is almost impossible to provide examples covering every type of transaction, and as business models continue to evolve, the range of services provided by taxpayers and the indicators of value are increasingly diverse. Accordingly, while practical examples are welcome and can provide useful guidance if they can cover different industries and types of services, a principles-based approach is generally preferable, as it allows taxpayers to apply allocation keys that best reflect the facts and circumstances of their specific arrangements </w:t>
      </w:r>
    </w:p>
    <w:p w14:paraId="5DC591D1" w14:textId="5D13D683" w:rsidR="00044479" w:rsidRPr="00A80A17" w:rsidRDefault="006913CE" w:rsidP="006005F7">
      <w:pPr>
        <w:pStyle w:val="ssNoHeading2"/>
        <w:jc w:val="both"/>
        <w:rPr>
          <w:i/>
          <w:iCs/>
        </w:rPr>
      </w:pPr>
      <w:r w:rsidRPr="00A80A17">
        <w:rPr>
          <w:i/>
          <w:iCs/>
        </w:rPr>
        <w:t>Questions for commentators</w:t>
      </w:r>
      <w:r w:rsidR="006744B0" w:rsidRPr="00A80A17">
        <w:rPr>
          <w:i/>
          <w:iCs/>
        </w:rPr>
        <w:t>:</w:t>
      </w:r>
      <w:r w:rsidRPr="00A80A17">
        <w:rPr>
          <w:i/>
          <w:iCs/>
        </w:rPr>
        <w:t xml:space="preserve"> Commentators are invited to provide their views on the relevant considerations regarding the treatment of stock or share based compensations in </w:t>
      </w:r>
      <w:r w:rsidRPr="00A80A17">
        <w:rPr>
          <w:i/>
          <w:iCs/>
        </w:rPr>
        <w:lastRenderedPageBreak/>
        <w:t xml:space="preserve">the context of intragroup services. Specifically, we seek commentators’ views on: Do you encounter challenges associated with the appropriate treatment of stock or share based compensation in relation to intragroup services? If so, please describe these challenges and whether they include timing, accounting treatment and valuation of stock or share based compensation? </w:t>
      </w:r>
    </w:p>
    <w:p w14:paraId="3DCF98EE" w14:textId="2DFCFEBE" w:rsidR="006913CE" w:rsidRPr="00A80A17" w:rsidRDefault="006913CE" w:rsidP="00CB4828">
      <w:pPr>
        <w:pStyle w:val="ssNoHeading2"/>
        <w:numPr>
          <w:ilvl w:val="0"/>
          <w:numId w:val="80"/>
        </w:numPr>
        <w:ind w:hanging="720"/>
        <w:jc w:val="both"/>
      </w:pPr>
      <w:r w:rsidRPr="00E842C9">
        <w:t xml:space="preserve">In our experience, stock- or share-based compensation gives rise to </w:t>
      </w:r>
      <w:proofErr w:type="gramStart"/>
      <w:r w:rsidRPr="00E842C9">
        <w:t>a number of</w:t>
      </w:r>
      <w:proofErr w:type="gramEnd"/>
      <w:r w:rsidRPr="00E842C9">
        <w:t xml:space="preserve"> practical transfer pricing challenges, particularly in relation to cost-based service charges.</w:t>
      </w:r>
      <w:r>
        <w:t xml:space="preserve">  </w:t>
      </w:r>
      <w:r w:rsidRPr="00E842C9">
        <w:t>The most common challenges relate to the</w:t>
      </w:r>
      <w:r>
        <w:t xml:space="preserve"> following:</w:t>
      </w:r>
    </w:p>
    <w:p w14:paraId="602ABFD2" w14:textId="4CDAC893" w:rsidR="006913CE" w:rsidRDefault="006913CE" w:rsidP="003270FE">
      <w:pPr>
        <w:pStyle w:val="ssNoHeading4"/>
        <w:jc w:val="both"/>
      </w:pPr>
      <w:r>
        <w:t>T</w:t>
      </w:r>
      <w:r w:rsidRPr="00E842C9">
        <w:t>iming of recognition</w:t>
      </w:r>
      <w:r>
        <w:t xml:space="preserve"> - </w:t>
      </w:r>
      <w:r w:rsidRPr="00E842C9">
        <w:t>Different jurisdictions may recognise stock-based compensation at different points in time, such as grant date, vesting date or exercise date, which can create mismatches between the service provider and service recipient.</w:t>
      </w:r>
    </w:p>
    <w:p w14:paraId="630DC190" w14:textId="77777777" w:rsidR="006913CE" w:rsidRDefault="006913CE" w:rsidP="003270FE">
      <w:pPr>
        <w:pStyle w:val="ssNoHeading4"/>
        <w:jc w:val="both"/>
      </w:pPr>
      <w:r>
        <w:t>A</w:t>
      </w:r>
      <w:r w:rsidRPr="00E842C9">
        <w:t xml:space="preserve">ccounting treatment </w:t>
      </w:r>
      <w:r>
        <w:t>- A</w:t>
      </w:r>
      <w:r w:rsidRPr="00E842C9">
        <w:t>ccounting standards may require expenses to be recognised over the vesting period, while the economic benefit of the underlying services may be realised over a different period.</w:t>
      </w:r>
    </w:p>
    <w:p w14:paraId="36BD03FE" w14:textId="77777777" w:rsidR="00044479" w:rsidRDefault="006913CE" w:rsidP="00044479">
      <w:pPr>
        <w:pStyle w:val="ssNoHeading4"/>
        <w:jc w:val="both"/>
      </w:pPr>
      <w:r w:rsidRPr="00465D8B">
        <w:t xml:space="preserve">Valuation of the awards - </w:t>
      </w:r>
      <w:r>
        <w:t>W</w:t>
      </w:r>
      <w:r w:rsidRPr="00465D8B">
        <w:t>here the ultimate value of the award is uncertain at the time services are performed. In some cases, the accounting expense recorded by the service provider may differ significantly from the value ultimately realised by employees, leading to questions as to the appropriate amount to include within the transfer pricing cost base.</w:t>
      </w:r>
      <w:r w:rsidR="00044479">
        <w:t xml:space="preserve"> </w:t>
      </w:r>
    </w:p>
    <w:p w14:paraId="0498CAA3" w14:textId="5A818AF7" w:rsidR="006913CE" w:rsidRPr="00E842C9" w:rsidRDefault="006913CE" w:rsidP="00044479">
      <w:pPr>
        <w:pStyle w:val="ssNoHeading4"/>
        <w:jc w:val="both"/>
      </w:pPr>
      <w:r w:rsidRPr="00E842C9">
        <w:t>Additional challenges arise in situations where the share-based compensation relates to employees providing services to multiple group entities, requiring an allocation of the cost between recipient</w:t>
      </w:r>
      <w:r>
        <w:t xml:space="preserve"> entities</w:t>
      </w:r>
      <w:r w:rsidRPr="00E842C9">
        <w:t xml:space="preserve">. </w:t>
      </w:r>
    </w:p>
    <w:p w14:paraId="74A28EE7" w14:textId="433E9A18" w:rsidR="006913CE" w:rsidRPr="006F48CD" w:rsidRDefault="006913CE" w:rsidP="00857D00">
      <w:pPr>
        <w:pStyle w:val="ssNoHeading2"/>
        <w:jc w:val="both"/>
        <w:rPr>
          <w:i/>
          <w:iCs/>
        </w:rPr>
      </w:pPr>
      <w:r w:rsidRPr="006F48CD">
        <w:rPr>
          <w:i/>
          <w:iCs/>
        </w:rPr>
        <w:t xml:space="preserve">How do you address stock-based compensation as part of your transfer pricing analysis? </w:t>
      </w:r>
    </w:p>
    <w:p w14:paraId="372A0D8D" w14:textId="75899AB4" w:rsidR="0083389E" w:rsidRDefault="0083389E" w:rsidP="00A80A17">
      <w:pPr>
        <w:pStyle w:val="ssNoHeading2"/>
        <w:numPr>
          <w:ilvl w:val="0"/>
          <w:numId w:val="0"/>
        </w:numPr>
        <w:ind w:left="709"/>
        <w:jc w:val="both"/>
      </w:pPr>
      <w:r>
        <w:t xml:space="preserve">In our experience, the treatment of stock-based or share-based compensation in a transfer pricing analysis requires careful consideration of the specific facts and circumstances and should not be addressed through a mechanical inclusion or exclusion from the cost base. The starting point should be to accurately delineate the controlled transaction, including identifying which entity grants the awards, which entity employs the relevant individuals, whether any recharge is made, and whether the arrangement relates to the provision of a share plan facility, administration services, or broader intra-group services. The analysis should also consider whether the relevant costs represent a genuine economic cost of the service provider and whether independent parties would take those costs into account when pricing comparable services. </w:t>
      </w:r>
    </w:p>
    <w:p w14:paraId="36BE40D9" w14:textId="5BE12828" w:rsidR="008413D2" w:rsidRDefault="00F703E3" w:rsidP="00857D00">
      <w:pPr>
        <w:pStyle w:val="ssNoHeading2"/>
        <w:jc w:val="both"/>
      </w:pPr>
      <w:r>
        <w:rPr>
          <w:lang w:eastAsia="zh-CN"/>
        </w:rPr>
        <w:t xml:space="preserve">In the UK, </w:t>
      </w:r>
      <w:r w:rsidR="0083389E" w:rsidRPr="00EF6E94">
        <w:rPr>
          <w:lang w:eastAsia="zh-CN"/>
        </w:rPr>
        <w:t xml:space="preserve">HMRC guidance in INTM440210 to INTM440240 </w:t>
      </w:r>
      <w:r w:rsidR="0083389E">
        <w:t xml:space="preserve">recognises that employee share plans may themselves constitute a separate intra-group facility for transfer pricing purposes and distinguishes between the share award element and the administration services element. </w:t>
      </w:r>
    </w:p>
    <w:p w14:paraId="63569FAE" w14:textId="4C86FD90" w:rsidR="0083389E" w:rsidRDefault="0083389E" w:rsidP="00857D00">
      <w:pPr>
        <w:pStyle w:val="ssNoHeading2"/>
        <w:jc w:val="both"/>
      </w:pPr>
      <w:r>
        <w:t xml:space="preserve">HMRC also notes that where a cost-plus methodology is applied, it is important that the full costs of employing staff are appropriately reflected in the cost base. The guidance specifically illustrates that share option costs may be included within the cost base of a service provider and indicates that fair value determined under the relevant accounting standards will generally provide the appropriate starting point in determining those costs. </w:t>
      </w:r>
    </w:p>
    <w:p w14:paraId="0D38BEAA" w14:textId="7EBBD1F9" w:rsidR="0083389E" w:rsidRDefault="0083389E" w:rsidP="00857D00">
      <w:pPr>
        <w:pStyle w:val="ssNoHeading2"/>
        <w:jc w:val="both"/>
      </w:pPr>
      <w:r>
        <w:t xml:space="preserve">However, recent developments </w:t>
      </w:r>
      <w:r w:rsidR="008413D2">
        <w:t xml:space="preserve">in other jurisdictions </w:t>
      </w:r>
      <w:r>
        <w:t xml:space="preserve">demonstrate that the treatment of share-based compensation remains an area of uncertainty. In a recent Irish Tax Appeals Commission decision, the taxpayer successfully argued that a notional accounting expense </w:t>
      </w:r>
      <w:r>
        <w:lastRenderedPageBreak/>
        <w:t>relating to share-based awards granted by the parent company should not form part of the subsidiary's transfer pricing cost base because the subsidiary did not bear an economic cost, there was no recharge from the parent company, and the subsidiary had limited involvement in the operation of the share plan. The case highlights that questions of economic ownership, cost bearing, recharge mechanisms and the commercial substance of the arrangement can be critical when determining whether share-based compensation should be reflected in the transfer pricing cost base. While HMRC's published guidance appears more supportive of including such costs in a cost-plus analysis, the Irish decision illustrates that the treatment of notional share-based compensation expenses remains a developing area and one where additional guidance from the OECD would be particularly valuable.</w:t>
      </w:r>
    </w:p>
    <w:p w14:paraId="28E5C33E" w14:textId="5D193F32" w:rsidR="006913CE" w:rsidRPr="006F48CD" w:rsidRDefault="006913CE" w:rsidP="00857D00">
      <w:pPr>
        <w:pStyle w:val="ssNoHeading2"/>
        <w:jc w:val="both"/>
        <w:rPr>
          <w:i/>
          <w:iCs/>
        </w:rPr>
      </w:pPr>
      <w:r w:rsidRPr="006F48CD">
        <w:rPr>
          <w:i/>
          <w:iCs/>
        </w:rPr>
        <w:t>Do you think additional guidance in relation to stock or share-based compensation would be beneficial for intragroup services?</w:t>
      </w:r>
    </w:p>
    <w:p w14:paraId="753B1EDD" w14:textId="58276A5C" w:rsidR="0083389E" w:rsidRPr="00E11C21" w:rsidRDefault="006913CE" w:rsidP="00A80A17">
      <w:pPr>
        <w:pStyle w:val="ssNoHeading2"/>
        <w:numPr>
          <w:ilvl w:val="0"/>
          <w:numId w:val="0"/>
        </w:numPr>
        <w:ind w:left="709"/>
        <w:jc w:val="both"/>
        <w:rPr>
          <w:lang w:eastAsia="zh-CN"/>
        </w:rPr>
      </w:pPr>
      <w:r w:rsidRPr="00EF6E94">
        <w:rPr>
          <w:lang w:eastAsia="zh-CN"/>
        </w:rPr>
        <w:t>Yes. Additional guidance would be beneficial, particularly in the context of intragroup services priced using cost-based methods. While HMRC provides specific guidance on the intragroup provision of employee share plans, and separate guidance on the pricing of intragroup services, the interaction between these two areas is not always straightforward in practice.</w:t>
      </w:r>
    </w:p>
    <w:p w14:paraId="70ADCC13" w14:textId="77777777" w:rsidR="006913CE" w:rsidRPr="00E842C9" w:rsidRDefault="006913CE" w:rsidP="003270FE">
      <w:pPr>
        <w:pStyle w:val="ssNoHeading3"/>
        <w:numPr>
          <w:ilvl w:val="0"/>
          <w:numId w:val="0"/>
        </w:numPr>
        <w:ind w:left="1418" w:hanging="709"/>
        <w:jc w:val="both"/>
      </w:pPr>
    </w:p>
    <w:p w14:paraId="595FB266" w14:textId="77777777" w:rsidR="006913CE" w:rsidRPr="006913CE" w:rsidRDefault="006913CE" w:rsidP="003270FE">
      <w:pPr>
        <w:pStyle w:val="ssPara"/>
        <w:jc w:val="both"/>
        <w:rPr>
          <w:b/>
          <w:bCs/>
        </w:rPr>
      </w:pPr>
      <w:r w:rsidRPr="006913CE">
        <w:rPr>
          <w:b/>
          <w:bCs/>
        </w:rPr>
        <w:t>Contact</w:t>
      </w:r>
    </w:p>
    <w:p w14:paraId="474BD5CF" w14:textId="77777777" w:rsidR="006913CE" w:rsidRPr="006913CE" w:rsidRDefault="006913CE" w:rsidP="003270FE">
      <w:pPr>
        <w:pStyle w:val="ssPara"/>
        <w:jc w:val="both"/>
      </w:pPr>
      <w:r w:rsidRPr="006913CE">
        <w:t>For any queries on our comments in this consultation, please contact:</w:t>
      </w:r>
    </w:p>
    <w:p w14:paraId="6160627A" w14:textId="493FDC17" w:rsidR="006913CE" w:rsidRPr="006913CE" w:rsidRDefault="006913CE" w:rsidP="003270FE">
      <w:pPr>
        <w:pStyle w:val="ssPara"/>
        <w:jc w:val="both"/>
      </w:pPr>
      <w:r w:rsidRPr="00E11C21">
        <w:rPr>
          <w:b/>
          <w:bCs/>
        </w:rPr>
        <w:t>Kapisha Vyas</w:t>
      </w:r>
      <w:r w:rsidRPr="006913CE">
        <w:t xml:space="preserve"> – </w:t>
      </w:r>
      <w:r w:rsidR="005852DB">
        <w:t>Head of Transfer Pricing</w:t>
      </w:r>
    </w:p>
    <w:p w14:paraId="49AEBF28" w14:textId="77777777" w:rsidR="006913CE" w:rsidRPr="006913CE" w:rsidRDefault="006913CE" w:rsidP="003270FE">
      <w:pPr>
        <w:pStyle w:val="ssPara"/>
        <w:jc w:val="both"/>
      </w:pPr>
      <w:r w:rsidRPr="006913CE">
        <w:t>DD +44 20 7825 4121</w:t>
      </w:r>
    </w:p>
    <w:p w14:paraId="4FE83D65" w14:textId="77777777" w:rsidR="006913CE" w:rsidRDefault="006913CE" w:rsidP="003270FE">
      <w:pPr>
        <w:pStyle w:val="ssPara"/>
        <w:jc w:val="both"/>
        <w:rPr>
          <w:lang w:val="it-IT"/>
        </w:rPr>
      </w:pPr>
      <w:r w:rsidRPr="003270FE">
        <w:rPr>
          <w:lang w:val="it-IT"/>
        </w:rPr>
        <w:t xml:space="preserve">E </w:t>
      </w:r>
      <w:hyperlink r:id="rId8" w:history="1">
        <w:r w:rsidRPr="003270FE">
          <w:rPr>
            <w:rStyle w:val="Hyperlink"/>
            <w:lang w:val="it-IT"/>
          </w:rPr>
          <w:t>kapisha.vyas@simmons-simmons.com</w:t>
        </w:r>
      </w:hyperlink>
      <w:r w:rsidRPr="003270FE">
        <w:rPr>
          <w:lang w:val="it-IT"/>
        </w:rPr>
        <w:t xml:space="preserve"> </w:t>
      </w:r>
    </w:p>
    <w:p w14:paraId="18C490F0" w14:textId="77777777" w:rsidR="00E11C21" w:rsidRPr="00E11C21" w:rsidRDefault="00E11C21" w:rsidP="003270FE">
      <w:pPr>
        <w:pStyle w:val="ssPara"/>
        <w:jc w:val="both"/>
        <w:rPr>
          <w:lang w:val="it-IT"/>
        </w:rPr>
      </w:pPr>
    </w:p>
    <w:p w14:paraId="67E6C64B" w14:textId="3E3F2D95" w:rsidR="006913CE" w:rsidRDefault="006913CE" w:rsidP="003270FE">
      <w:pPr>
        <w:pStyle w:val="ssPara"/>
        <w:jc w:val="both"/>
        <w:rPr>
          <w:lang w:val="it-IT"/>
        </w:rPr>
      </w:pPr>
      <w:r w:rsidRPr="00E11C21">
        <w:rPr>
          <w:b/>
          <w:bCs/>
          <w:lang w:val="it-IT"/>
        </w:rPr>
        <w:t>Reka Mezo</w:t>
      </w:r>
      <w:r>
        <w:rPr>
          <w:lang w:val="it-IT"/>
        </w:rPr>
        <w:t xml:space="preserve"> – </w:t>
      </w:r>
      <w:proofErr w:type="spellStart"/>
      <w:r>
        <w:rPr>
          <w:lang w:val="it-IT"/>
        </w:rPr>
        <w:t>Supervising</w:t>
      </w:r>
      <w:proofErr w:type="spellEnd"/>
      <w:r>
        <w:rPr>
          <w:lang w:val="it-IT"/>
        </w:rPr>
        <w:t xml:space="preserve"> Associate </w:t>
      </w:r>
    </w:p>
    <w:p w14:paraId="30EDE57A" w14:textId="4CCA2E0D" w:rsidR="006913CE" w:rsidRPr="003270FE" w:rsidRDefault="006913CE" w:rsidP="003270FE">
      <w:pPr>
        <w:pStyle w:val="ssPara"/>
        <w:jc w:val="both"/>
        <w:rPr>
          <w:lang w:val="it-IT"/>
        </w:rPr>
      </w:pPr>
      <w:r>
        <w:rPr>
          <w:lang w:val="it-IT"/>
        </w:rPr>
        <w:t xml:space="preserve">DD </w:t>
      </w:r>
      <w:r w:rsidRPr="006913CE">
        <w:t>+44 2078 25 3088</w:t>
      </w:r>
    </w:p>
    <w:p w14:paraId="48A58494" w14:textId="57375856" w:rsidR="006913CE" w:rsidRPr="003270FE" w:rsidRDefault="006913CE" w:rsidP="003270FE">
      <w:pPr>
        <w:pStyle w:val="ssPara"/>
        <w:jc w:val="both"/>
        <w:rPr>
          <w:lang w:val="it-IT"/>
        </w:rPr>
      </w:pPr>
      <w:r w:rsidRPr="003270FE">
        <w:rPr>
          <w:lang w:val="it-IT"/>
        </w:rPr>
        <w:t xml:space="preserve">E </w:t>
      </w:r>
      <w:hyperlink r:id="rId9" w:history="1">
        <w:r w:rsidR="00A80A17" w:rsidRPr="006C2C73">
          <w:rPr>
            <w:rStyle w:val="Hyperlink"/>
            <w:lang w:val="it-IT"/>
          </w:rPr>
          <w:t>reka.mezo@simmons-simmons.com</w:t>
        </w:r>
      </w:hyperlink>
      <w:r w:rsidR="00A80A17">
        <w:rPr>
          <w:lang w:val="it-IT"/>
        </w:rPr>
        <w:t xml:space="preserve"> </w:t>
      </w:r>
    </w:p>
    <w:p w14:paraId="7E9E028D" w14:textId="77777777" w:rsidR="00B36F28" w:rsidRPr="00A80A17" w:rsidRDefault="005B202D" w:rsidP="003270FE">
      <w:pPr>
        <w:jc w:val="both"/>
        <w:rPr>
          <w:lang w:val="it-IT" w:eastAsia="ja-JP"/>
        </w:rPr>
      </w:pPr>
      <w:r w:rsidRPr="00A80A17">
        <w:rPr>
          <w:lang w:val="it-IT" w:eastAsia="ja-JP"/>
        </w:rPr>
        <w:tab/>
      </w:r>
    </w:p>
    <w:p w14:paraId="0ED4EA57" w14:textId="77777777" w:rsidR="005B202D" w:rsidRPr="00A80A17" w:rsidRDefault="005B202D" w:rsidP="003270FE">
      <w:pPr>
        <w:jc w:val="both"/>
        <w:rPr>
          <w:lang w:val="it-IT" w:eastAsia="ja-JP"/>
        </w:rPr>
      </w:pPr>
    </w:p>
    <w:sectPr w:rsidR="005B202D" w:rsidRPr="00A80A17" w:rsidSect="00A80A17">
      <w:headerReference w:type="even" r:id="rId10"/>
      <w:headerReference w:type="default" r:id="rId11"/>
      <w:footerReference w:type="even" r:id="rId12"/>
      <w:footerReference w:type="default" r:id="rId13"/>
      <w:headerReference w:type="first" r:id="rId14"/>
      <w:footerReference w:type="first" r:id="rId15"/>
      <w:pgSz w:w="11906" w:h="16838" w:code="9"/>
      <w:pgMar w:top="369" w:right="1191" w:bottom="567" w:left="1191" w:header="306" w:footer="283"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04DDCD" w14:textId="77777777" w:rsidR="00A63DE6" w:rsidRDefault="00A63DE6" w:rsidP="002145F3">
      <w:r>
        <w:separator/>
      </w:r>
    </w:p>
  </w:endnote>
  <w:endnote w:type="continuationSeparator" w:id="0">
    <w:p w14:paraId="45D2F1E9" w14:textId="77777777" w:rsidR="00A63DE6" w:rsidRDefault="00A63DE6" w:rsidP="002145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ngLiU">
    <w:altName w:val="細明體"/>
    <w:panose1 w:val="02020309000000000000"/>
    <w:charset w:val="88"/>
    <w:family w:val="modern"/>
    <w:pitch w:val="fixed"/>
    <w:sig w:usb0="A00002FF" w:usb1="28CFFCFA" w:usb2="00000016" w:usb3="00000000" w:csb0="00100001" w:csb1="00000000"/>
  </w:font>
  <w:font w:name="SimSun">
    <w:altName w:val="宋体"/>
    <w:panose1 w:val="02010600030101010101"/>
    <w:charset w:val="86"/>
    <w:family w:val="auto"/>
    <w:pitch w:val="variable"/>
    <w:sig w:usb0="00000203" w:usb1="288F0000" w:usb2="00000016" w:usb3="00000000" w:csb0="00040001" w:csb1="00000000"/>
  </w:font>
  <w:font w:name="DFKai-SB">
    <w:panose1 w:val="03000509000000000000"/>
    <w:charset w:val="88"/>
    <w:family w:val="script"/>
    <w:pitch w:val="fixed"/>
    <w:sig w:usb0="00000003" w:usb1="080E0000" w:usb2="00000016" w:usb3="00000000" w:csb0="00100001" w:csb1="00000000"/>
  </w:font>
  <w:font w:name="Real Text Light">
    <w:altName w:val="Calibri"/>
    <w:panose1 w:val="020B0504020101010102"/>
    <w:charset w:val="00"/>
    <w:family w:val="swiss"/>
    <w:notTrueType/>
    <w:pitch w:val="variable"/>
    <w:sig w:usb0="A00000FF" w:usb1="4000E47B" w:usb2="00000000" w:usb3="00000000" w:csb0="00000093" w:csb1="00000000"/>
  </w:font>
  <w:font w:name="Cairo">
    <w:panose1 w:val="00000500000000000000"/>
    <w:charset w:val="00"/>
    <w:family w:val="auto"/>
    <w:pitch w:val="variable"/>
    <w:sig w:usb0="00002007" w:usb1="00000001" w:usb2="00000008" w:usb3="00000000" w:csb0="000000D3" w:csb1="00000000"/>
  </w:font>
  <w:font w:name="Noto Sans CJK SC Light">
    <w:panose1 w:val="020B0300000000000000"/>
    <w:charset w:val="80"/>
    <w:family w:val="swiss"/>
    <w:notTrueType/>
    <w:pitch w:val="variable"/>
    <w:sig w:usb0="30000207" w:usb1="2BDF3C10" w:usb2="00000016" w:usb3="00000000" w:csb0="002E0107" w:csb1="00000000"/>
  </w:font>
  <w:font w:name="Arial Bold">
    <w:altName w:val="Arial"/>
    <w:panose1 w:val="020B0704020202020204"/>
    <w:charset w:val="00"/>
    <w:family w:val="roman"/>
    <w:notTrueType/>
    <w:pitch w:val="default"/>
  </w:font>
  <w:font w:name="PMingLiU">
    <w:altName w:val="新細明體"/>
    <w:panose1 w:val="02020300000000000000"/>
    <w:charset w:val="88"/>
    <w:family w:val="roman"/>
    <w:pitch w:val="variable"/>
    <w:sig w:usb0="00000003" w:usb1="080E0000"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AC9C0E" w14:textId="77777777" w:rsidR="00B90097" w:rsidRDefault="00B9009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785DF5" w14:textId="77777777" w:rsidR="00B13232" w:rsidRDefault="00B13232">
    <w:pPr>
      <w:pStyle w:val="Footer"/>
    </w:pPr>
  </w:p>
  <w:sdt>
    <w:sdtPr>
      <w:rPr>
        <w:rFonts w:eastAsia="SimSun" w:cstheme="minorBidi"/>
        <w:sz w:val="12"/>
        <w:lang w:eastAsia="zh-CN"/>
      </w:rPr>
      <w:alias w:val="Outline Region"/>
      <w:tag w:val="6BC28062A7664953B5ABCF8CBFF7DBDC"/>
      <w:id w:val="-596643861"/>
    </w:sdtPr>
    <w:sdtEndPr/>
    <w:sdtContent>
      <w:tbl>
        <w:tblPr>
          <w:tblStyle w:val="ssTable"/>
          <w:tblW w:w="10013" w:type="dxa"/>
          <w:tblLook w:val="04A0" w:firstRow="1" w:lastRow="0" w:firstColumn="1" w:lastColumn="0" w:noHBand="0" w:noVBand="1"/>
        </w:tblPr>
        <w:tblGrid>
          <w:gridCol w:w="3337"/>
          <w:gridCol w:w="3338"/>
          <w:gridCol w:w="3338"/>
        </w:tblGrid>
        <w:tr w:rsidR="00C12FC0" w14:paraId="184FE2D9" w14:textId="77777777" w:rsidTr="000A3088">
          <w:tc>
            <w:tcPr>
              <w:tcW w:w="3337" w:type="dxa"/>
            </w:tcPr>
            <w:p w14:paraId="16B94A56" w14:textId="22C73BD1" w:rsidR="00C12FC0" w:rsidRDefault="00A63DE6" w:rsidP="00DC0EEB">
              <w:pPr>
                <w:pStyle w:val="ssSpacingLine"/>
                <w:tabs>
                  <w:tab w:val="left" w:pos="2310"/>
                </w:tabs>
              </w:pPr>
              <w:sdt>
                <w:sdtPr>
                  <w:rPr>
                    <w:sz w:val="14"/>
                    <w:szCs w:val="21"/>
                  </w:rPr>
                  <w:alias w:val="Outline Content"/>
                  <w:tag w:val="A13A7CBA103A48EC882B7C8453613C00"/>
                  <w:id w:val="2133897409"/>
                  <w:placeholder>
                    <w:docPart w:val="53B30506092D4A30A97945C0EBF09F63"/>
                  </w:placeholder>
                </w:sdtPr>
                <w:sdtEndPr/>
                <w:sdtContent>
                  <w:r w:rsidR="007C4657">
                    <w:rPr>
                      <w:sz w:val="14"/>
                      <w:szCs w:val="21"/>
                    </w:rPr>
                    <w:t>L_LIVE_EMEA1:500193353v1</w:t>
                  </w:r>
                </w:sdtContent>
              </w:sdt>
            </w:p>
          </w:tc>
          <w:tc>
            <w:tcPr>
              <w:tcW w:w="3338" w:type="dxa"/>
            </w:tcPr>
            <w:p w14:paraId="5D657FE9" w14:textId="77777777" w:rsidR="00C12FC0" w:rsidRDefault="00C12FC0" w:rsidP="00DC0EEB">
              <w:pPr>
                <w:pStyle w:val="ssSpacingLine"/>
                <w:tabs>
                  <w:tab w:val="left" w:pos="2310"/>
                </w:tabs>
                <w:jc w:val="cente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tc>
          <w:tc>
            <w:tcPr>
              <w:tcW w:w="3338" w:type="dxa"/>
            </w:tcPr>
            <w:p w14:paraId="19E8F01A" w14:textId="77777777" w:rsidR="00C12FC0" w:rsidRDefault="00C12FC0" w:rsidP="00DC0EEB">
              <w:pPr>
                <w:pStyle w:val="Footer"/>
                <w:tabs>
                  <w:tab w:val="right" w:pos="9543"/>
                </w:tabs>
                <w:jc w:val="right"/>
              </w:pPr>
            </w:p>
          </w:tc>
        </w:tr>
      </w:tbl>
      <w:p w14:paraId="4BBE6AA9" w14:textId="77777777" w:rsidR="00B13232" w:rsidRDefault="00A63DE6">
        <w:pPr>
          <w:pStyle w:val="Footer"/>
        </w:pP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9B10FB" w14:textId="77777777" w:rsidR="00B13232" w:rsidRDefault="00B13232" w:rsidP="0087194A">
    <w:pPr>
      <w:pStyle w:val="Footer"/>
      <w:rPr>
        <w:sz w:val="16"/>
        <w:szCs w:val="22"/>
      </w:rPr>
    </w:pPr>
  </w:p>
  <w:sdt>
    <w:sdtPr>
      <w:rPr>
        <w:rFonts w:ascii="Arial" w:eastAsia="SimSun" w:hAnsi="Arial" w:cstheme="minorBidi"/>
        <w:sz w:val="12"/>
        <w:szCs w:val="12"/>
        <w:lang w:eastAsia="zh-CN"/>
      </w:rPr>
      <w:alias w:val="Outline Region"/>
      <w:tag w:val="96D24C8035B440C99924A85B1576C0C8"/>
      <w:id w:val="-642582800"/>
      <w:placeholder>
        <w:docPart w:val="76C565C9D2E34BED89450B3AFB47D090"/>
      </w:placeholder>
    </w:sdtPr>
    <w:sdtEndPr>
      <w:rPr>
        <w:sz w:val="2"/>
        <w:szCs w:val="2"/>
      </w:rPr>
    </w:sdtEndPr>
    <w:sdtContent>
      <w:tbl>
        <w:tblPr>
          <w:tblStyle w:val="TableGrid"/>
          <w:tblW w:w="10006" w:type="dxa"/>
          <w:tblLayout w:type="fixed"/>
          <w:tblCellMar>
            <w:top w:w="57" w:type="dxa"/>
            <w:left w:w="0" w:type="dxa"/>
            <w:right w:w="0" w:type="dxa"/>
          </w:tblCellMar>
          <w:tblLook w:val="04A0" w:firstRow="1" w:lastRow="0" w:firstColumn="1" w:lastColumn="0" w:noHBand="0" w:noVBand="1"/>
        </w:tblPr>
        <w:tblGrid>
          <w:gridCol w:w="7648"/>
          <w:gridCol w:w="2358"/>
        </w:tblGrid>
        <w:tr w:rsidR="00C12FC0" w:rsidRPr="00177D2F" w14:paraId="71191C64" w14:textId="77777777" w:rsidTr="00B125E5">
          <w:trPr>
            <w:trHeight w:val="1134"/>
          </w:trPr>
          <w:tc>
            <w:tcPr>
              <w:tcW w:w="7648" w:type="dxa"/>
              <w:tcMar>
                <w:bottom w:w="0" w:type="dxa"/>
              </w:tcMar>
              <w:vAlign w:val="bottom"/>
            </w:tcPr>
            <w:p w14:paraId="10E7289B" w14:textId="77777777" w:rsidR="00C12FC0" w:rsidRPr="00D129EF" w:rsidRDefault="00C12FC0" w:rsidP="00DC0EEB">
              <w:pPr>
                <w:pStyle w:val="SSFooterHeading"/>
                <w:rPr>
                  <w:noProof/>
                </w:rPr>
              </w:pPr>
              <w:r>
                <w:rPr>
                  <w:noProof/>
                </w:rPr>
                <w:t>For details of our international offices please visit www.simmons-simmons.com</w:t>
              </w:r>
            </w:p>
            <w:p w14:paraId="0F0D775C" w14:textId="77777777" w:rsidR="00C12FC0" w:rsidRPr="00D349EF" w:rsidRDefault="00C12FC0" w:rsidP="00C12FC0">
              <w:pPr>
                <w:pStyle w:val="SSFooter"/>
                <w:rPr>
                  <w:noProof/>
                </w:rPr>
              </w:pPr>
              <w:r>
                <w:rPr>
                  <w:noProof/>
                </w:rPr>
                <w:t>Simmons &amp; Simmons LLP is a limited liability partnership registered in England &amp; Wales with number OC352713 and with its registered office and principal place of business at Citypoint, 1 Ropemaker Street, London EC2Y 9SS. It is authorised and regulated by the Solicitors Regulation Authority and its SRA ID number is 533587. The word "partner" refers to a member of Simmons &amp; Simmons LLP or one of its affiliates, or an employee or consultant with equivalent standing. A list of members and other partners together with their professional qualifications is available for inspection at the above address.</w:t>
              </w:r>
            </w:p>
          </w:tc>
          <w:tc>
            <w:tcPr>
              <w:tcW w:w="2358" w:type="dxa"/>
              <w:tcMar>
                <w:top w:w="0" w:type="dxa"/>
                <w:left w:w="113" w:type="dxa"/>
                <w:bottom w:w="0" w:type="dxa"/>
              </w:tcMar>
              <w:vAlign w:val="bottom"/>
            </w:tcPr>
            <w:p w14:paraId="12A8CEFB" w14:textId="77777777" w:rsidR="00C12FC0" w:rsidRPr="00177D2F" w:rsidRDefault="00C12FC0" w:rsidP="00DC0EEB">
              <w:pPr>
                <w:pStyle w:val="SSFooter"/>
                <w:jc w:val="right"/>
                <w:rPr>
                  <w:noProof/>
                </w:rPr>
              </w:pPr>
              <w:r>
                <w:rPr>
                  <w:noProof/>
                </w:rPr>
                <mc:AlternateContent>
                  <mc:Choice Requires="wps">
                    <w:drawing>
                      <wp:anchor distT="0" distB="0" distL="114300" distR="114300" simplePos="0" relativeHeight="251661312" behindDoc="1" locked="0" layoutInCell="1" allowOverlap="1" wp14:anchorId="661C96C6" wp14:editId="445EC616">
                        <wp:simplePos x="0" y="0"/>
                        <wp:positionH relativeFrom="page">
                          <wp:posOffset>0</wp:posOffset>
                        </wp:positionH>
                        <wp:positionV relativeFrom="page">
                          <wp:posOffset>-34925</wp:posOffset>
                        </wp:positionV>
                        <wp:extent cx="1489075" cy="753745"/>
                        <wp:effectExtent l="0" t="0" r="0" b="0"/>
                        <wp:wrapNone/>
                        <wp:docPr id="14" name="Text Box 5"/>
                        <wp:cNvGraphicFramePr/>
                        <a:graphic xmlns:a="http://schemas.openxmlformats.org/drawingml/2006/main">
                          <a:graphicData uri="http://schemas.microsoft.com/office/word/2010/wordprocessingShape">
                            <wps:wsp>
                              <wps:cNvSpPr txBox="1"/>
                              <wps:spPr>
                                <a:xfrm>
                                  <a:off x="0" y="0"/>
                                  <a:ext cx="1489075" cy="753745"/>
                                </a:xfrm>
                                <a:prstGeom prst="rect">
                                  <a:avLst/>
                                </a:prstGeom>
                                <a:noFill/>
                              </wps:spPr>
                              <wps:txbx>
                                <w:txbxContent>
                                  <w:sdt>
                                    <w:sdtPr>
                                      <w:rPr>
                                        <w:noProof/>
                                      </w:rPr>
                                      <w:alias w:val="Outline Content"/>
                                      <w:tag w:val="07A8EAF41CEB4604A3D5A32D81FEA98A"/>
                                      <w:id w:val="-2042815175"/>
                                      <w:showingPlcHdr/>
                                    </w:sdtPr>
                                    <w:sdtEndPr/>
                                    <w:sdtContent>
                                      <w:p w14:paraId="26744763" w14:textId="77777777" w:rsidR="00C12FC0" w:rsidRDefault="00A63DE6" w:rsidP="001124BF">
                                        <w:pPr>
                                          <w:pStyle w:val="SSOfficeDetails"/>
                                          <w:jc w:val="right"/>
                                          <w:rPr>
                                            <w:noProof/>
                                          </w:rPr>
                                        </w:pPr>
                                      </w:p>
                                    </w:sdtContent>
                                  </w:sdt>
                                </w:txbxContent>
                              </wps:txbx>
                              <wps:bodyPr rot="0" spcFirstLastPara="0" vertOverflow="overflow" horzOverflow="overflow" vert="horz" wrap="square" lIns="0" tIns="0" rIns="0" bIns="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61C96C6" id="_x0000_t202" coordsize="21600,21600" o:spt="202" path="m,l,21600r21600,l21600,xe">
                        <v:stroke joinstyle="miter"/>
                        <v:path gradientshapeok="t" o:connecttype="rect"/>
                      </v:shapetype>
                      <v:shape id="Text Box 5" o:spid="_x0000_s1026" type="#_x0000_t202" style="position:absolute;left:0;text-align:left;margin-left:0;margin-top:-2.75pt;width:117.25pt;height:59.35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" filled="f" stroked="f">
                        <v:textbox inset="0,0,0,0">
                          <w:txbxContent>
                            <w:sdt>
                              <w:sdtPr>
                                <w:rPr>
                                  <w:noProof/>
                                </w:rPr>
                                <w:alias w:val="Outline Content"/>
                                <w:tag w:val="07A8EAF41CEB4604A3D5A32D81FEA98A"/>
                                <w:id w:val="-2042815175"/>
                                <w:showingPlcHdr/>
                              </w:sdtPr>
                              <w:sdtEndPr/>
                              <w:sdtContent>
                                <w:p w14:paraId="26744763" w14:textId="77777777" w:rsidR="00C12FC0" w:rsidRDefault="00A63DE6" w:rsidP="001124BF">
                                  <w:pPr>
                                    <w:pStyle w:val="SSOfficeDetails"/>
                                    <w:jc w:val="right"/>
                                    <w:rPr>
                                      <w:noProof/>
                                    </w:rPr>
                                  </w:pPr>
                                </w:p>
                              </w:sdtContent>
                            </w:sdt>
                          </w:txbxContent>
                        </v:textbox>
                        <w10:wrap anchorx="page" anchory="page"/>
                      </v:shape>
                    </w:pict>
                  </mc:Fallback>
                </mc:AlternateContent>
              </w:r>
            </w:p>
          </w:tc>
        </w:tr>
        <w:tr w:rsidR="00C12FC0" w:rsidRPr="00177D2F" w14:paraId="3755F912" w14:textId="77777777" w:rsidTr="00EB41BE">
          <w:trPr>
            <w:trHeight w:hRule="exact" w:val="567"/>
          </w:trPr>
          <w:tc>
            <w:tcPr>
              <w:tcW w:w="7648" w:type="dxa"/>
              <w:tcMar>
                <w:top w:w="0" w:type="dxa"/>
              </w:tcMar>
              <w:vAlign w:val="center"/>
            </w:tcPr>
            <w:sdt>
              <w:sdtPr>
                <w:rPr>
                  <w:noProof/>
                  <w:sz w:val="14"/>
                </w:rPr>
                <w:alias w:val="Outline Content"/>
                <w:tag w:val="A13A7CBA103A48EC882B7C8453613C00"/>
                <w:id w:val="-1051609175"/>
                <w:placeholder>
                  <w:docPart w:val="F391F0BE33A24E65A3939056533EF6DB"/>
                </w:placeholder>
              </w:sdtPr>
              <w:sdtEndPr/>
              <w:sdtContent>
                <w:p w14:paraId="6B6324C8" w14:textId="65FBF927" w:rsidR="00C12FC0" w:rsidRDefault="007C4657" w:rsidP="001D37A2">
                  <w:pPr>
                    <w:pStyle w:val="SSFooter"/>
                    <w:spacing w:line="240" w:lineRule="auto"/>
                    <w:rPr>
                      <w:noProof/>
                    </w:rPr>
                  </w:pPr>
                  <w:r>
                    <w:rPr>
                      <w:noProof/>
                      <w:sz w:val="14"/>
                    </w:rPr>
                    <w:t>L_LIVE_EMEA1:500193353v1</w:t>
                  </w:r>
                </w:p>
              </w:sdtContent>
            </w:sdt>
          </w:tc>
          <w:tc>
            <w:tcPr>
              <w:tcW w:w="2358" w:type="dxa"/>
              <w:vAlign w:val="center"/>
            </w:tcPr>
            <w:p w14:paraId="5587019E" w14:textId="77777777" w:rsidR="00C12FC0" w:rsidRDefault="00C12FC0" w:rsidP="001D37A2">
              <w:pPr>
                <w:pStyle w:val="SSFooter"/>
                <w:spacing w:line="240" w:lineRule="auto"/>
                <w:rPr>
                  <w:noProof/>
                </w:rPr>
              </w:pPr>
            </w:p>
          </w:tc>
        </w:tr>
      </w:tbl>
      <w:p w14:paraId="7840E5E0" w14:textId="77777777" w:rsidR="00B13232" w:rsidRPr="00094AEE" w:rsidRDefault="00A63DE6" w:rsidP="000C0167">
        <w:pPr>
          <w:pStyle w:val="Footer"/>
          <w:rPr>
            <w:sz w:val="16"/>
            <w:szCs w:val="22"/>
          </w:rPr>
        </w:pP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EF4E13" w14:textId="77777777" w:rsidR="00A63DE6" w:rsidRDefault="00A63DE6" w:rsidP="002145F3">
      <w:r>
        <w:separator/>
      </w:r>
    </w:p>
  </w:footnote>
  <w:footnote w:type="continuationSeparator" w:id="0">
    <w:p w14:paraId="2E1F2E8F" w14:textId="77777777" w:rsidR="00A63DE6" w:rsidRDefault="00A63DE6" w:rsidP="002145F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589540" w14:textId="77777777" w:rsidR="00B90097" w:rsidRDefault="00B9009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eastAsiaTheme="minorHAnsi" w:hAnsi="Arial" w:cstheme="minorBidi"/>
        <w:sz w:val="22"/>
        <w:szCs w:val="22"/>
        <w:lang w:eastAsia="en-US"/>
      </w:rPr>
      <w:alias w:val="Outline Region"/>
      <w:tag w:val="8708C89C7FA142ED843C0B369FB458FE"/>
      <w:id w:val="1373733511"/>
      <w:placeholder>
        <w:docPart w:val="057BEAE19B774E46BBD668946765AF43"/>
      </w:placeholder>
    </w:sdtPr>
    <w:sdtEndPr/>
    <w:sdtContent>
      <w:p w14:paraId="0E6A5A6C" w14:textId="77777777" w:rsidR="00C12FC0" w:rsidRDefault="00C12FC0" w:rsidP="00DC0EEB">
        <w:pPr>
          <w:pStyle w:val="SSOfficeDetails"/>
          <w:jc w:val="right"/>
          <w:rPr>
            <w:rFonts w:cs="Times New Roman"/>
            <w:sz w:val="22"/>
            <w:szCs w:val="22"/>
            <w:lang w:eastAsia="en-GB"/>
          </w:rPr>
        </w:pPr>
      </w:p>
      <w:p w14:paraId="211B8CEB" w14:textId="77777777" w:rsidR="00C12FC0" w:rsidRDefault="00C12FC0" w:rsidP="00DC0EEB">
        <w:pPr>
          <w:pStyle w:val="SSOfficeDetails"/>
          <w:jc w:val="right"/>
          <w:rPr>
            <w:rFonts w:cs="Times New Roman"/>
            <w:sz w:val="22"/>
            <w:szCs w:val="22"/>
            <w:lang w:eastAsia="en-GB"/>
          </w:rPr>
        </w:pPr>
      </w:p>
      <w:p w14:paraId="38F9E93D" w14:textId="77777777" w:rsidR="00C12FC0" w:rsidRDefault="00C12FC0" w:rsidP="00DC0EEB">
        <w:pPr>
          <w:pStyle w:val="SSOfficeDetails"/>
          <w:jc w:val="right"/>
          <w:rPr>
            <w:rFonts w:cs="Times New Roman"/>
            <w:sz w:val="22"/>
            <w:szCs w:val="22"/>
            <w:lang w:eastAsia="en-GB"/>
          </w:rPr>
        </w:pPr>
      </w:p>
      <w:p w14:paraId="6675A924" w14:textId="77777777" w:rsidR="00B13232" w:rsidRPr="00094AEE" w:rsidRDefault="00A63DE6" w:rsidP="001E14DE">
        <w:pPr>
          <w:pStyle w:val="Header"/>
          <w:spacing w:after="180"/>
          <w:jc w:val="right"/>
        </w:pP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006" w:type="dxa"/>
      <w:tblLayout w:type="fixed"/>
      <w:tblCellMar>
        <w:left w:w="0" w:type="dxa"/>
        <w:right w:w="0" w:type="dxa"/>
      </w:tblCellMar>
      <w:tblLook w:val="04A0" w:firstRow="1" w:lastRow="0" w:firstColumn="1" w:lastColumn="0" w:noHBand="0" w:noVBand="1"/>
    </w:tblPr>
    <w:tblGrid>
      <w:gridCol w:w="3572"/>
      <w:gridCol w:w="397"/>
      <w:gridCol w:w="3679"/>
      <w:gridCol w:w="2358"/>
    </w:tblGrid>
    <w:bookmarkStart w:id="0" w:name="_Hlk57730055" w:displacedByCustomXml="next"/>
    <w:sdt>
      <w:sdtPr>
        <w:rPr>
          <w:rFonts w:asciiTheme="minorHAnsi" w:hAnsiTheme="minorHAnsi"/>
          <w:b w:val="0"/>
          <w:bCs w:val="0"/>
          <w:noProof/>
        </w:rPr>
        <w:alias w:val="BHDC Region"/>
        <w:tag w:val="22884F10644D4B28AA58FC7E4133E2BB"/>
        <w:id w:val="1920828558"/>
        <w:placeholder>
          <w:docPart w:val="97D2183554934210A59920DE0C5E8EB0"/>
        </w:placeholder>
      </w:sdtPr>
      <w:sdtEndPr/>
      <w:sdtContent>
        <w:tr w:rsidR="00C12FC0" w:rsidRPr="00820521" w14:paraId="472B21E1" w14:textId="77777777" w:rsidTr="00BB29E4">
          <w:trPr>
            <w:trHeight w:hRule="exact" w:val="1985"/>
          </w:trPr>
          <w:tc>
            <w:tcPr>
              <w:tcW w:w="3572" w:type="dxa"/>
              <w:tcMar>
                <w:top w:w="0" w:type="dxa"/>
              </w:tcMar>
            </w:tcPr>
            <w:p w14:paraId="445CEE5E" w14:textId="77777777" w:rsidR="00C12FC0" w:rsidRDefault="00C12FC0" w:rsidP="008D0615">
              <w:pPr>
                <w:pStyle w:val="SSOfficeEntity"/>
                <w:rPr>
                  <w:noProof/>
                </w:rPr>
              </w:pPr>
              <w:r>
                <w:rPr>
                  <w:noProof/>
                </w:rPr>
                <w:t>Simmons &amp; Simmons LLP</w:t>
              </w:r>
            </w:p>
            <w:p w14:paraId="3C31610B" w14:textId="77777777" w:rsidR="00C12FC0" w:rsidRDefault="00C12FC0" w:rsidP="00BD1E74">
              <w:pPr>
                <w:pStyle w:val="SSOfficeDetails"/>
                <w:rPr>
                  <w:noProof/>
                </w:rPr>
              </w:pPr>
              <w:r>
                <w:rPr>
                  <w:noProof/>
                </w:rPr>
                <w:t>Citypoint, 1 Ropemaker Street</w:t>
              </w:r>
            </w:p>
            <w:p w14:paraId="4D64B51E" w14:textId="77777777" w:rsidR="00C12FC0" w:rsidRDefault="00C12FC0" w:rsidP="00BD1E74">
              <w:pPr>
                <w:pStyle w:val="SSOfficeDetails"/>
                <w:rPr>
                  <w:noProof/>
                </w:rPr>
              </w:pPr>
              <w:r>
                <w:rPr>
                  <w:noProof/>
                </w:rPr>
                <w:t>London</w:t>
              </w:r>
            </w:p>
            <w:p w14:paraId="2B851CBC" w14:textId="77777777" w:rsidR="00C12FC0" w:rsidRDefault="00C12FC0" w:rsidP="00BD1E74">
              <w:pPr>
                <w:pStyle w:val="SSOfficeDetails"/>
                <w:rPr>
                  <w:noProof/>
                </w:rPr>
              </w:pPr>
              <w:r>
                <w:rPr>
                  <w:noProof/>
                </w:rPr>
                <w:t>EC2Y 9SS</w:t>
              </w:r>
            </w:p>
            <w:p w14:paraId="2CAC3429" w14:textId="77777777" w:rsidR="00C12FC0" w:rsidRPr="00FE3B17" w:rsidRDefault="00C12FC0" w:rsidP="00BD1E74">
              <w:pPr>
                <w:pStyle w:val="SSOfficeDetails"/>
                <w:rPr>
                  <w:noProof/>
                </w:rPr>
              </w:pPr>
              <w:r>
                <w:rPr>
                  <w:noProof/>
                </w:rPr>
                <w:t>United Kingdom</w:t>
              </w:r>
            </w:p>
          </w:tc>
          <w:tc>
            <w:tcPr>
              <w:tcW w:w="397" w:type="dxa"/>
              <w:tcMar>
                <w:top w:w="0" w:type="dxa"/>
              </w:tcMar>
            </w:tcPr>
            <w:p w14:paraId="6559D6E5" w14:textId="77777777" w:rsidR="00C12FC0" w:rsidRDefault="00C12FC0" w:rsidP="008D0615">
              <w:pPr>
                <w:pStyle w:val="SSOfficeDetails"/>
                <w:rPr>
                  <w:noProof/>
                </w:rPr>
              </w:pPr>
            </w:p>
          </w:tc>
          <w:tc>
            <w:tcPr>
              <w:tcW w:w="3679" w:type="dxa"/>
              <w:tcMar>
                <w:top w:w="0" w:type="dxa"/>
              </w:tcMar>
            </w:tcPr>
            <w:p w14:paraId="4295EC67" w14:textId="77777777" w:rsidR="00C12FC0" w:rsidRDefault="00C12FC0" w:rsidP="006955CF">
              <w:pPr>
                <w:pStyle w:val="ssContactDetails"/>
                <w:spacing w:line="220" w:lineRule="exact"/>
              </w:pPr>
              <w:r>
                <w:rPr>
                  <w:b/>
                  <w:bCs/>
                </w:rPr>
                <w:t>T:</w:t>
              </w:r>
              <w:r>
                <w:t xml:space="preserve"> +44 20 7628 2020</w:t>
              </w:r>
            </w:p>
            <w:p w14:paraId="0C9B03C3" w14:textId="77777777" w:rsidR="00C12FC0" w:rsidRPr="00297F7D" w:rsidRDefault="00C12FC0" w:rsidP="006955CF">
              <w:pPr>
                <w:pStyle w:val="SSOfficeDetails"/>
                <w:rPr>
                  <w:noProof/>
                </w:rPr>
              </w:pPr>
              <w:r>
                <w:rPr>
                  <w:b/>
                  <w:bCs/>
                </w:rPr>
                <w:t xml:space="preserve">F: </w:t>
              </w:r>
              <w:r>
                <w:t>+44 20 7628 2070</w:t>
              </w:r>
            </w:p>
          </w:tc>
          <w:tc>
            <w:tcPr>
              <w:tcW w:w="2358" w:type="dxa"/>
              <w:tcMar>
                <w:top w:w="0" w:type="dxa"/>
                <w:right w:w="113" w:type="dxa"/>
              </w:tcMar>
            </w:tcPr>
            <w:p w14:paraId="76A028C1" w14:textId="77777777" w:rsidR="00A80A17" w:rsidRDefault="00A80A17" w:rsidP="00A80A17">
              <w:pPr>
                <w:pStyle w:val="SSOfficeDetails"/>
                <w:rPr>
                  <w:noProof/>
                </w:rPr>
              </w:pPr>
            </w:p>
            <w:p w14:paraId="68A39BA0" w14:textId="77777777" w:rsidR="00A80A17" w:rsidRDefault="00A80A17" w:rsidP="00A80A17">
              <w:pPr>
                <w:pStyle w:val="SSOfficeDetails"/>
                <w:rPr>
                  <w:noProof/>
                </w:rPr>
              </w:pPr>
            </w:p>
            <w:p w14:paraId="31EC093C" w14:textId="67963CBD" w:rsidR="00C12FC0" w:rsidRPr="00820521" w:rsidRDefault="00A80A17" w:rsidP="00A80A17">
              <w:pPr>
                <w:pStyle w:val="SSOfficeDetails"/>
                <w:rPr>
                  <w:noProof/>
                </w:rPr>
              </w:pPr>
              <w:r w:rsidRPr="00A80A17">
                <w:rPr>
                  <w:noProof/>
                </w:rPr>
                <w:drawing>
                  <wp:inline distT="0" distB="0" distL="0" distR="0" wp14:anchorId="65655C2E" wp14:editId="7C8E3377">
                    <wp:extent cx="1144800" cy="330584"/>
                    <wp:effectExtent l="0" t="0" r="0" b="0"/>
                    <wp:docPr id="478441418" name="Picture 7">
                      <a:extLst xmlns:a="http://schemas.openxmlformats.org/drawingml/2006/main">
                        <a:ext uri="{FF2B5EF4-FFF2-40B4-BE49-F238E27FC236}">
                          <a16:creationId xmlns:a16="http://schemas.microsoft.com/office/drawing/2014/main" id="{F87FC8F8-0212-1D5A-DC79-AD9DA8DFFE4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7">
                              <a:extLst>
                                <a:ext uri="{FF2B5EF4-FFF2-40B4-BE49-F238E27FC236}">
                                  <a16:creationId xmlns:a16="http://schemas.microsoft.com/office/drawing/2014/main" id="{F87FC8F8-0212-1D5A-DC79-AD9DA8DFFE49}"/>
                                </a:ext>
                              </a:extLst>
                            </pic:cNvPr>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bwMode="auto">
                            <a:xfrm>
                              <a:off x="0" y="0"/>
                              <a:ext cx="1144800" cy="330584"/>
                            </a:xfrm>
                            <a:prstGeom prst="rect">
                              <a:avLst/>
                            </a:prstGeom>
                          </pic:spPr>
                        </pic:pic>
                      </a:graphicData>
                    </a:graphic>
                  </wp:inline>
                </w:drawing>
              </w:r>
            </w:p>
          </w:tc>
        </w:tr>
      </w:sdtContent>
    </w:sdt>
    <w:bookmarkEnd w:id="0"/>
  </w:tbl>
  <w:p w14:paraId="5CBFA1D5" w14:textId="77777777" w:rsidR="00B13232" w:rsidRPr="00C10250" w:rsidRDefault="00B13232" w:rsidP="00C10250">
    <w:pPr>
      <w:pStyle w:val="ssContactDetails"/>
      <w:spacing w:line="240" w:lineRule="auto"/>
      <w:rPr>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A4510"/>
    <w:multiLevelType w:val="multilevel"/>
    <w:tmpl w:val="4A22483A"/>
    <w:name w:val="Parties"/>
    <w:lvl w:ilvl="0">
      <w:start w:val="1"/>
      <w:numFmt w:val="decimal"/>
      <w:lvlText w:val="(%1)"/>
      <w:lvlJc w:val="left"/>
      <w:pPr>
        <w:tabs>
          <w:tab w:val="num" w:pos="709"/>
        </w:tabs>
        <w:ind w:left="709" w:hanging="709"/>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 w15:restartNumberingAfterBreak="0">
    <w:nsid w:val="02860341"/>
    <w:multiLevelType w:val="multilevel"/>
    <w:tmpl w:val="EC783F32"/>
    <w:lvl w:ilvl="0">
      <w:start w:val="1"/>
      <w:numFmt w:val="none"/>
      <w:pStyle w:val="ssRestartAnnex"/>
      <w:suff w:val="nothing"/>
      <w:lvlText w:val=""/>
      <w:lvlJc w:val="left"/>
      <w:pPr>
        <w:ind w:left="0" w:firstLine="0"/>
      </w:pPr>
      <w:rPr>
        <w:rFonts w:hint="default"/>
      </w:rPr>
    </w:lvl>
    <w:lvl w:ilvl="1">
      <w:start w:val="1"/>
      <w:numFmt w:val="decimal"/>
      <w:pStyle w:val="ssqAnnex"/>
      <w:suff w:val="space"/>
      <w:lvlText w:val="Annex %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15:restartNumberingAfterBreak="0">
    <w:nsid w:val="0537511E"/>
    <w:multiLevelType w:val="multilevel"/>
    <w:tmpl w:val="FAECE2D6"/>
    <w:lvl w:ilvl="0">
      <w:start w:val="1"/>
      <w:numFmt w:val="none"/>
      <w:pStyle w:val="AltDefinitions"/>
      <w:lvlText w:val=""/>
      <w:lvlJc w:val="left"/>
      <w:pPr>
        <w:tabs>
          <w:tab w:val="num" w:pos="1644"/>
        </w:tabs>
        <w:ind w:left="709" w:firstLine="0"/>
      </w:pPr>
      <w:rPr>
        <w:rFonts w:hint="default"/>
      </w:rPr>
    </w:lvl>
    <w:lvl w:ilvl="1">
      <w:start w:val="1"/>
      <w:numFmt w:val="bullet"/>
      <w:pStyle w:val="AltDefinitions1"/>
      <w:lvlText w:val=""/>
      <w:lvlJc w:val="left"/>
      <w:pPr>
        <w:tabs>
          <w:tab w:val="num" w:pos="1418"/>
        </w:tabs>
        <w:ind w:left="1418" w:hanging="709"/>
      </w:pPr>
      <w:rPr>
        <w:rFonts w:ascii="Symbol" w:hAnsi="Symbol" w:cs="Times New Roman" w:hint="default"/>
      </w:rPr>
    </w:lvl>
    <w:lvl w:ilvl="2">
      <w:start w:val="1"/>
      <w:numFmt w:val="bullet"/>
      <w:pStyle w:val="AltDefinitions2"/>
      <w:lvlText w:val="o"/>
      <w:lvlJc w:val="left"/>
      <w:pPr>
        <w:tabs>
          <w:tab w:val="num" w:pos="1985"/>
        </w:tabs>
        <w:ind w:left="1985" w:hanging="567"/>
      </w:pPr>
      <w:rPr>
        <w:rFonts w:ascii="Courier New" w:hAnsi="Courier New" w:cs="Times New Roman" w:hint="default"/>
      </w:rPr>
    </w:lvl>
    <w:lvl w:ilvl="3">
      <w:start w:val="1"/>
      <w:numFmt w:val="bullet"/>
      <w:pStyle w:val="AltDefinitions3"/>
      <w:lvlText w:val="-"/>
      <w:lvlJc w:val="left"/>
      <w:pPr>
        <w:tabs>
          <w:tab w:val="num" w:pos="2552"/>
        </w:tabs>
        <w:ind w:left="2552" w:hanging="567"/>
      </w:pPr>
      <w:rPr>
        <w:rFonts w:ascii="Calibri" w:hAnsi="Calibri" w:cs="Times New Roman" w:hint="default"/>
      </w:rPr>
    </w:lvl>
    <w:lvl w:ilvl="4">
      <w:start w:val="1"/>
      <w:numFmt w:val="bullet"/>
      <w:pStyle w:val="AltDefinitions4"/>
      <w:lvlText w:val="-"/>
      <w:lvlJc w:val="left"/>
      <w:pPr>
        <w:tabs>
          <w:tab w:val="num" w:pos="3119"/>
        </w:tabs>
        <w:ind w:left="3119" w:hanging="567"/>
      </w:pPr>
      <w:rPr>
        <w:rFonts w:ascii="Calibri" w:hAnsi="Calibri" w:cs="Times New Roman"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3" w15:restartNumberingAfterBreak="0">
    <w:nsid w:val="06645AB1"/>
    <w:multiLevelType w:val="multilevel"/>
    <w:tmpl w:val="A5F65242"/>
    <w:numStyleLink w:val="NumParties"/>
  </w:abstractNum>
  <w:abstractNum w:abstractNumId="4" w15:restartNumberingAfterBreak="0">
    <w:nsid w:val="08555256"/>
    <w:multiLevelType w:val="multilevel"/>
    <w:tmpl w:val="A3C2D848"/>
    <w:lvl w:ilvl="0">
      <w:start w:val="1"/>
      <w:numFmt w:val="decimal"/>
      <w:lvlRestart w:val="0"/>
      <w:pStyle w:val="ssq"/>
      <w:suff w:val="nothing"/>
      <w:lvlText w:val="مبرز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5" w15:restartNumberingAfterBreak="0">
    <w:nsid w:val="0BAE4F59"/>
    <w:multiLevelType w:val="multilevel"/>
    <w:tmpl w:val="576C219E"/>
    <w:lvl w:ilvl="0">
      <w:start w:val="1"/>
      <w:numFmt w:val="none"/>
      <w:pStyle w:val="ssRestartAppendix"/>
      <w:suff w:val="nothing"/>
      <w:lvlText w:val=""/>
      <w:lvlJc w:val="left"/>
      <w:pPr>
        <w:ind w:left="0" w:firstLine="0"/>
      </w:pPr>
      <w:rPr>
        <w:rFonts w:hint="default"/>
      </w:rPr>
    </w:lvl>
    <w:lvl w:ilvl="1">
      <w:start w:val="1"/>
      <w:numFmt w:val="decimal"/>
      <w:pStyle w:val="ssqAppendix"/>
      <w:suff w:val="space"/>
      <w:lvlText w:val="Appendix %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0C560284"/>
    <w:multiLevelType w:val="multilevel"/>
    <w:tmpl w:val="FD484C7C"/>
    <w:numStyleLink w:val="NumRecitals"/>
  </w:abstractNum>
  <w:abstractNum w:abstractNumId="7" w15:restartNumberingAfterBreak="0">
    <w:nsid w:val="0C69430A"/>
    <w:multiLevelType w:val="multilevel"/>
    <w:tmpl w:val="D7BE3B42"/>
    <w:lvl w:ilvl="0">
      <w:start w:val="1"/>
      <w:numFmt w:val="decimal"/>
      <w:lvlRestart w:val="0"/>
      <w:pStyle w:val="ssqListe"/>
      <w:suff w:val="nothing"/>
      <w:lvlText w:val="liste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8" w15:restartNumberingAfterBreak="0">
    <w:nsid w:val="0C984496"/>
    <w:multiLevelType w:val="multilevel"/>
    <w:tmpl w:val="5B9AAF86"/>
    <w:lvl w:ilvl="0">
      <w:start w:val="1"/>
      <w:numFmt w:val="decimal"/>
      <w:lvlRestart w:val="0"/>
      <w:pStyle w:val="ssqParte"/>
      <w:suff w:val="nothing"/>
      <w:lvlText w:val="parte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9" w15:restartNumberingAfterBreak="0">
    <w:nsid w:val="0D9B1364"/>
    <w:multiLevelType w:val="hybridMultilevel"/>
    <w:tmpl w:val="CDF0F706"/>
    <w:lvl w:ilvl="0" w:tplc="08090011">
      <w:start w:val="1"/>
      <w:numFmt w:val="decimal"/>
      <w:lvlText w:val="%1)"/>
      <w:lvlJc w:val="left"/>
      <w:pPr>
        <w:ind w:left="1429" w:hanging="360"/>
      </w:pPr>
    </w:lvl>
    <w:lvl w:ilvl="1" w:tplc="08090019" w:tentative="1">
      <w:start w:val="1"/>
      <w:numFmt w:val="lowerLetter"/>
      <w:lvlText w:val="%2."/>
      <w:lvlJc w:val="left"/>
      <w:pPr>
        <w:ind w:left="2149" w:hanging="360"/>
      </w:pPr>
    </w:lvl>
    <w:lvl w:ilvl="2" w:tplc="0809001B" w:tentative="1">
      <w:start w:val="1"/>
      <w:numFmt w:val="lowerRoman"/>
      <w:lvlText w:val="%3."/>
      <w:lvlJc w:val="right"/>
      <w:pPr>
        <w:ind w:left="2869" w:hanging="180"/>
      </w:pPr>
    </w:lvl>
    <w:lvl w:ilvl="3" w:tplc="0809000F" w:tentative="1">
      <w:start w:val="1"/>
      <w:numFmt w:val="decimal"/>
      <w:lvlText w:val="%4."/>
      <w:lvlJc w:val="left"/>
      <w:pPr>
        <w:ind w:left="3589" w:hanging="360"/>
      </w:pPr>
    </w:lvl>
    <w:lvl w:ilvl="4" w:tplc="08090019" w:tentative="1">
      <w:start w:val="1"/>
      <w:numFmt w:val="lowerLetter"/>
      <w:lvlText w:val="%5."/>
      <w:lvlJc w:val="left"/>
      <w:pPr>
        <w:ind w:left="4309" w:hanging="360"/>
      </w:pPr>
    </w:lvl>
    <w:lvl w:ilvl="5" w:tplc="0809001B" w:tentative="1">
      <w:start w:val="1"/>
      <w:numFmt w:val="lowerRoman"/>
      <w:lvlText w:val="%6."/>
      <w:lvlJc w:val="right"/>
      <w:pPr>
        <w:ind w:left="5029" w:hanging="180"/>
      </w:pPr>
    </w:lvl>
    <w:lvl w:ilvl="6" w:tplc="0809000F" w:tentative="1">
      <w:start w:val="1"/>
      <w:numFmt w:val="decimal"/>
      <w:lvlText w:val="%7."/>
      <w:lvlJc w:val="left"/>
      <w:pPr>
        <w:ind w:left="5749" w:hanging="360"/>
      </w:pPr>
    </w:lvl>
    <w:lvl w:ilvl="7" w:tplc="08090019" w:tentative="1">
      <w:start w:val="1"/>
      <w:numFmt w:val="lowerLetter"/>
      <w:lvlText w:val="%8."/>
      <w:lvlJc w:val="left"/>
      <w:pPr>
        <w:ind w:left="6469" w:hanging="360"/>
      </w:pPr>
    </w:lvl>
    <w:lvl w:ilvl="8" w:tplc="0809001B" w:tentative="1">
      <w:start w:val="1"/>
      <w:numFmt w:val="lowerRoman"/>
      <w:lvlText w:val="%9."/>
      <w:lvlJc w:val="right"/>
      <w:pPr>
        <w:ind w:left="7189" w:hanging="180"/>
      </w:pPr>
    </w:lvl>
  </w:abstractNum>
  <w:abstractNum w:abstractNumId="10" w15:restartNumberingAfterBreak="0">
    <w:nsid w:val="11E06F25"/>
    <w:multiLevelType w:val="multilevel"/>
    <w:tmpl w:val="AA0E8A14"/>
    <w:lvl w:ilvl="0">
      <w:start w:val="1"/>
      <w:numFmt w:val="decimal"/>
      <w:lvlRestart w:val="0"/>
      <w:pStyle w:val="ssqMarcar"/>
      <w:suff w:val="nothing"/>
      <w:lvlText w:val="marca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1" w15:restartNumberingAfterBreak="0">
    <w:nsid w:val="11E53EEE"/>
    <w:multiLevelType w:val="multilevel"/>
    <w:tmpl w:val="AFDC047E"/>
    <w:lvl w:ilvl="0">
      <w:start w:val="1"/>
      <w:numFmt w:val="decimal"/>
      <w:pStyle w:val="AltParties"/>
      <w:lvlText w:val="(%1)"/>
      <w:lvlJc w:val="left"/>
      <w:pPr>
        <w:tabs>
          <w:tab w:val="num" w:pos="709"/>
        </w:tabs>
        <w:ind w:left="709" w:hanging="709"/>
      </w:pPr>
      <w:rPr>
        <w:rFonts w:hint="default"/>
      </w:rPr>
    </w:lvl>
    <w:lvl w:ilvl="1">
      <w:start w:val="1"/>
      <w:numFmt w:val="none"/>
      <w:lvlText w:val=""/>
      <w:lvlJc w:val="left"/>
      <w:pPr>
        <w:ind w:left="0" w:firstLine="0"/>
      </w:pPr>
      <w:rPr>
        <w:rFonts w:hint="default"/>
      </w:rPr>
    </w:lvl>
    <w:lvl w:ilvl="2">
      <w:start w:val="1"/>
      <w:numFmt w:val="none"/>
      <w:lvlText w:val=""/>
      <w:lvlJc w:val="left"/>
      <w:pPr>
        <w:ind w:left="0" w:firstLine="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2" w15:restartNumberingAfterBreak="0">
    <w:nsid w:val="1475131F"/>
    <w:multiLevelType w:val="multilevel"/>
    <w:tmpl w:val="FD484C7C"/>
    <w:styleLink w:val="NumRecitals"/>
    <w:lvl w:ilvl="0">
      <w:start w:val="1"/>
      <w:numFmt w:val="upperLetter"/>
      <w:pStyle w:val="Recitals"/>
      <w:lvlText w:val="(%1)"/>
      <w:lvlJc w:val="left"/>
      <w:pPr>
        <w:tabs>
          <w:tab w:val="num" w:pos="709"/>
        </w:tabs>
        <w:ind w:left="709" w:hanging="709"/>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3" w15:restartNumberingAfterBreak="0">
    <w:nsid w:val="159B177C"/>
    <w:multiLevelType w:val="multilevel"/>
    <w:tmpl w:val="D0200CE0"/>
    <w:styleLink w:val="ExhibitNumbering"/>
    <w:lvl w:ilvl="0">
      <w:start w:val="1"/>
      <w:numFmt w:val="none"/>
      <w:suff w:val="nothing"/>
      <w:lvlText w:val=""/>
      <w:lvlJc w:val="left"/>
      <w:pPr>
        <w:ind w:left="0" w:firstLine="0"/>
      </w:pPr>
      <w:rPr>
        <w:rFonts w:hint="default"/>
      </w:rPr>
    </w:lvl>
    <w:lvl w:ilvl="1">
      <w:start w:val="1"/>
      <w:numFmt w:val="decimal"/>
      <w:suff w:val="space"/>
      <w:lvlText w:val="Exhibit %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166B337A"/>
    <w:multiLevelType w:val="multilevel"/>
    <w:tmpl w:val="DA7A0A06"/>
    <w:lvl w:ilvl="0">
      <w:start w:val="1"/>
      <w:numFmt w:val="decimal"/>
      <w:lvlRestart w:val="0"/>
      <w:pStyle w:val="ssqExposicin"/>
      <w:suff w:val="nothing"/>
      <w:lvlText w:val="exposición %1"/>
      <w:lvlJc w:val="left"/>
      <w:pPr>
        <w:ind w:left="0" w:firstLine="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5" w15:restartNumberingAfterBreak="0">
    <w:nsid w:val="16FB5A6C"/>
    <w:multiLevelType w:val="multilevel"/>
    <w:tmpl w:val="6C0C8ED8"/>
    <w:name w:val="Schedule"/>
    <w:lvl w:ilvl="0">
      <w:start w:val="1"/>
      <w:numFmt w:val="decimal"/>
      <w:lvlRestart w:val="0"/>
      <w:suff w:val="nothing"/>
      <w:lvlText w:val="Schedule %1"/>
      <w:lvlJc w:val="left"/>
      <w:pPr>
        <w:ind w:left="0" w:firstLine="0"/>
      </w:pPr>
      <w:rPr>
        <w:rFonts w:hint="default"/>
        <w:b/>
        <w:i w:val="0"/>
      </w:rPr>
    </w:lvl>
    <w:lvl w:ilvl="1">
      <w:start w:val="1"/>
      <w:numFmt w:val="decimal"/>
      <w:suff w:val="nothing"/>
      <w:lvlText w:val="Part %2"/>
      <w:lvlJc w:val="left"/>
      <w:pPr>
        <w:ind w:left="0" w:firstLine="0"/>
      </w:pPr>
      <w:rPr>
        <w:rFonts w:hint="default"/>
        <w:b/>
        <w:i w:val="0"/>
        <w:u w:val="none"/>
      </w:rPr>
    </w:lvl>
    <w:lvl w:ilvl="2">
      <w:start w:val="1"/>
      <w:numFmt w:val="decimal"/>
      <w:lvlText w:val="%3."/>
      <w:lvlJc w:val="left"/>
      <w:pPr>
        <w:tabs>
          <w:tab w:val="num" w:pos="709"/>
        </w:tabs>
        <w:ind w:left="709" w:hanging="709"/>
      </w:pPr>
      <w:rPr>
        <w:rFonts w:hint="default"/>
        <w:b w:val="0"/>
        <w:i w:val="0"/>
        <w:u w:val="none"/>
      </w:rPr>
    </w:lvl>
    <w:lvl w:ilvl="3">
      <w:start w:val="1"/>
      <w:numFmt w:val="decimal"/>
      <w:lvlText w:val="%3.%4"/>
      <w:lvlJc w:val="left"/>
      <w:pPr>
        <w:tabs>
          <w:tab w:val="num" w:pos="709"/>
        </w:tabs>
        <w:ind w:left="709" w:hanging="709"/>
      </w:pPr>
      <w:rPr>
        <w:rFonts w:hint="default"/>
        <w:b w:val="0"/>
        <w:i w:val="0"/>
      </w:rPr>
    </w:lvl>
    <w:lvl w:ilvl="4">
      <w:start w:val="1"/>
      <w:numFmt w:val="upperLetter"/>
      <w:lvlText w:val="(%5)"/>
      <w:lvlJc w:val="left"/>
      <w:pPr>
        <w:tabs>
          <w:tab w:val="num" w:pos="1417"/>
        </w:tabs>
        <w:ind w:left="1417" w:hanging="708"/>
      </w:pPr>
      <w:rPr>
        <w:rFonts w:hint="default"/>
        <w:b w:val="0"/>
        <w:i w:val="0"/>
      </w:rPr>
    </w:lvl>
    <w:lvl w:ilvl="5">
      <w:start w:val="1"/>
      <w:numFmt w:val="decimal"/>
      <w:lvlText w:val="(%6)"/>
      <w:lvlJc w:val="left"/>
      <w:pPr>
        <w:tabs>
          <w:tab w:val="num" w:pos="1984"/>
        </w:tabs>
        <w:ind w:left="1984" w:hanging="567"/>
      </w:pPr>
      <w:rPr>
        <w:rFonts w:hint="default"/>
        <w:b w:val="0"/>
        <w:i w:val="0"/>
      </w:rPr>
    </w:lvl>
    <w:lvl w:ilvl="6">
      <w:start w:val="1"/>
      <w:numFmt w:val="lowerLetter"/>
      <w:lvlText w:val="(%7)"/>
      <w:lvlJc w:val="left"/>
      <w:pPr>
        <w:tabs>
          <w:tab w:val="num" w:pos="2551"/>
        </w:tabs>
        <w:ind w:left="2551" w:hanging="567"/>
      </w:pPr>
      <w:rPr>
        <w:rFonts w:hint="default"/>
        <w:b w:val="0"/>
        <w:i w:val="0"/>
      </w:rPr>
    </w:lvl>
    <w:lvl w:ilvl="7">
      <w:start w:val="1"/>
      <w:numFmt w:val="lowerRoman"/>
      <w:lvlText w:val="(%8)"/>
      <w:lvlJc w:val="left"/>
      <w:pPr>
        <w:tabs>
          <w:tab w:val="num" w:pos="3118"/>
        </w:tabs>
        <w:ind w:left="3118" w:hanging="567"/>
      </w:pPr>
      <w:rPr>
        <w:rFonts w:hint="default"/>
        <w:b w:val="0"/>
        <w:i w:val="0"/>
      </w:rPr>
    </w:lvl>
    <w:lvl w:ilvl="8">
      <w:start w:val="1"/>
      <w:numFmt w:val="none"/>
      <w:suff w:val="nothing"/>
      <w:lvlText w:val=""/>
      <w:lvlJc w:val="left"/>
      <w:pPr>
        <w:ind w:left="0" w:firstLine="0"/>
      </w:pPr>
      <w:rPr>
        <w:rFonts w:hint="default"/>
      </w:rPr>
    </w:lvl>
  </w:abstractNum>
  <w:abstractNum w:abstractNumId="16" w15:restartNumberingAfterBreak="0">
    <w:nsid w:val="17140D04"/>
    <w:multiLevelType w:val="multilevel"/>
    <w:tmpl w:val="A156F024"/>
    <w:lvl w:ilvl="0">
      <w:start w:val="1"/>
      <w:numFmt w:val="decimal"/>
      <w:lvlRestart w:val="0"/>
      <w:pStyle w:val="ssqAnnexe"/>
      <w:suff w:val="nothing"/>
      <w:lvlText w:val="annexe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7" w15:restartNumberingAfterBreak="0">
    <w:nsid w:val="190C26FA"/>
    <w:multiLevelType w:val="multilevel"/>
    <w:tmpl w:val="8F46E5B0"/>
    <w:lvl w:ilvl="0">
      <w:start w:val="1"/>
      <w:numFmt w:val="none"/>
      <w:pStyle w:val="Definitions"/>
      <w:suff w:val="nothing"/>
      <w:lvlText w:val=""/>
      <w:lvlJc w:val="left"/>
      <w:pPr>
        <w:ind w:left="709" w:firstLine="0"/>
      </w:pPr>
      <w:rPr>
        <w:rFonts w:hint="default"/>
      </w:rPr>
    </w:lvl>
    <w:lvl w:ilvl="1">
      <w:start w:val="1"/>
      <w:numFmt w:val="bullet"/>
      <w:pStyle w:val="Definitions1"/>
      <w:lvlText w:val=""/>
      <w:lvlJc w:val="left"/>
      <w:pPr>
        <w:tabs>
          <w:tab w:val="num" w:pos="1418"/>
        </w:tabs>
        <w:ind w:left="1418" w:hanging="709"/>
      </w:pPr>
      <w:rPr>
        <w:rFonts w:ascii="Symbol" w:hAnsi="Symbol" w:cs="Times New Roman" w:hint="default"/>
      </w:rPr>
    </w:lvl>
    <w:lvl w:ilvl="2">
      <w:start w:val="1"/>
      <w:numFmt w:val="bullet"/>
      <w:pStyle w:val="Definitions2"/>
      <w:lvlText w:val="o"/>
      <w:lvlJc w:val="left"/>
      <w:pPr>
        <w:tabs>
          <w:tab w:val="num" w:pos="1985"/>
        </w:tabs>
        <w:ind w:left="1985" w:hanging="567"/>
      </w:pPr>
      <w:rPr>
        <w:rFonts w:ascii="Courier New" w:hAnsi="Courier New" w:cs="Courier New" w:hint="default"/>
      </w:rPr>
    </w:lvl>
    <w:lvl w:ilvl="3">
      <w:start w:val="1"/>
      <w:numFmt w:val="bullet"/>
      <w:pStyle w:val="Definitions3"/>
      <w:lvlText w:val="-"/>
      <w:lvlJc w:val="left"/>
      <w:pPr>
        <w:tabs>
          <w:tab w:val="num" w:pos="2552"/>
        </w:tabs>
        <w:ind w:left="2552" w:hanging="567"/>
      </w:pPr>
      <w:rPr>
        <w:rFonts w:ascii="Calibri" w:hAnsi="Calibri" w:cs="Calibri" w:hint="default"/>
      </w:rPr>
    </w:lvl>
    <w:lvl w:ilvl="4">
      <w:start w:val="1"/>
      <w:numFmt w:val="bullet"/>
      <w:pStyle w:val="Definitions4"/>
      <w:lvlText w:val="-"/>
      <w:lvlJc w:val="left"/>
      <w:pPr>
        <w:tabs>
          <w:tab w:val="num" w:pos="3686"/>
        </w:tabs>
        <w:ind w:left="3686" w:hanging="567"/>
      </w:pPr>
      <w:rPr>
        <w:rFonts w:ascii="Calibri" w:hAnsi="Calibri" w:cs="Times New Roman"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8" w15:restartNumberingAfterBreak="0">
    <w:nsid w:val="1C812D95"/>
    <w:multiLevelType w:val="multilevel"/>
    <w:tmpl w:val="00643748"/>
    <w:lvl w:ilvl="0">
      <w:start w:val="1"/>
      <w:numFmt w:val="decimal"/>
      <w:lvlRestart w:val="0"/>
      <w:pStyle w:val="ssqSchema"/>
      <w:suff w:val="nothing"/>
      <w:lvlText w:val="schema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9" w15:restartNumberingAfterBreak="0">
    <w:nsid w:val="1CD55F89"/>
    <w:multiLevelType w:val="multilevel"/>
    <w:tmpl w:val="2A14AB10"/>
    <w:lvl w:ilvl="0">
      <w:start w:val="1"/>
      <w:numFmt w:val="decimal"/>
      <w:lvlRestart w:val="0"/>
      <w:pStyle w:val="ssqTeil"/>
      <w:suff w:val="nothing"/>
      <w:lvlText w:val="teil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0" w15:restartNumberingAfterBreak="0">
    <w:nsid w:val="1D3813EB"/>
    <w:multiLevelType w:val="multilevel"/>
    <w:tmpl w:val="CB96E5B4"/>
    <w:lvl w:ilvl="0">
      <w:start w:val="1"/>
      <w:numFmt w:val="none"/>
      <w:pStyle w:val="AltSSRestartNumber"/>
      <w:suff w:val="nothing"/>
      <w:lvlText w:val="%1"/>
      <w:lvlJc w:val="left"/>
      <w:pPr>
        <w:ind w:left="0" w:firstLine="0"/>
      </w:pPr>
      <w:rPr>
        <w:rFonts w:hint="default"/>
      </w:rPr>
    </w:lvl>
    <w:lvl w:ilvl="1">
      <w:start w:val="1"/>
      <w:numFmt w:val="decimal"/>
      <w:pStyle w:val="AltHeading1"/>
      <w:lvlText w:val="%2."/>
      <w:lvlJc w:val="left"/>
      <w:pPr>
        <w:tabs>
          <w:tab w:val="num" w:pos="709"/>
        </w:tabs>
        <w:ind w:left="709" w:hanging="709"/>
      </w:pPr>
      <w:rPr>
        <w:rFonts w:hint="default"/>
        <w:b w:val="0"/>
        <w:i w:val="0"/>
        <w:u w:val="none"/>
      </w:rPr>
    </w:lvl>
    <w:lvl w:ilvl="2">
      <w:start w:val="1"/>
      <w:numFmt w:val="decimal"/>
      <w:pStyle w:val="AltHeading2"/>
      <w:lvlText w:val="%2.%3"/>
      <w:lvlJc w:val="left"/>
      <w:pPr>
        <w:tabs>
          <w:tab w:val="num" w:pos="709"/>
        </w:tabs>
        <w:ind w:left="709" w:hanging="709"/>
      </w:pPr>
      <w:rPr>
        <w:rFonts w:hint="default"/>
        <w:b w:val="0"/>
        <w:i w:val="0"/>
        <w:u w:val="none"/>
      </w:rPr>
    </w:lvl>
    <w:lvl w:ilvl="3">
      <w:start w:val="1"/>
      <w:numFmt w:val="bullet"/>
      <w:pStyle w:val="AltHeading3"/>
      <w:lvlText w:val=""/>
      <w:lvlJc w:val="left"/>
      <w:pPr>
        <w:tabs>
          <w:tab w:val="num" w:pos="1418"/>
        </w:tabs>
        <w:ind w:left="1418" w:hanging="709"/>
      </w:pPr>
      <w:rPr>
        <w:rFonts w:ascii="Symbol" w:hAnsi="Symbol" w:cs="Times New Roman" w:hint="default"/>
        <w:b w:val="0"/>
        <w:i w:val="0"/>
        <w:color w:val="000000"/>
      </w:rPr>
    </w:lvl>
    <w:lvl w:ilvl="4">
      <w:start w:val="1"/>
      <w:numFmt w:val="bullet"/>
      <w:pStyle w:val="AltHeading4"/>
      <w:lvlText w:val="o"/>
      <w:lvlJc w:val="left"/>
      <w:pPr>
        <w:tabs>
          <w:tab w:val="num" w:pos="1985"/>
        </w:tabs>
        <w:ind w:left="1985" w:hanging="567"/>
      </w:pPr>
      <w:rPr>
        <w:rFonts w:ascii="Courier New" w:hAnsi="Courier New" w:cs="Courier New" w:hint="default"/>
        <w:b w:val="0"/>
        <w:i w:val="0"/>
        <w:color w:val="000000"/>
      </w:rPr>
    </w:lvl>
    <w:lvl w:ilvl="5">
      <w:start w:val="1"/>
      <w:numFmt w:val="bullet"/>
      <w:pStyle w:val="AltHeading5"/>
      <w:lvlText w:val="-"/>
      <w:lvlJc w:val="left"/>
      <w:pPr>
        <w:tabs>
          <w:tab w:val="num" w:pos="2552"/>
        </w:tabs>
        <w:ind w:left="2552" w:hanging="567"/>
      </w:pPr>
      <w:rPr>
        <w:rFonts w:ascii="Calibri" w:hAnsi="Calibri" w:cs="Times New Roman" w:hint="default"/>
        <w:b w:val="0"/>
        <w:i w:val="0"/>
        <w:color w:val="000000"/>
      </w:rPr>
    </w:lvl>
    <w:lvl w:ilvl="6">
      <w:start w:val="1"/>
      <w:numFmt w:val="bullet"/>
      <w:pStyle w:val="AltHeading6"/>
      <w:lvlText w:val="-"/>
      <w:lvlJc w:val="left"/>
      <w:pPr>
        <w:tabs>
          <w:tab w:val="num" w:pos="3119"/>
        </w:tabs>
        <w:ind w:left="3119" w:hanging="567"/>
      </w:pPr>
      <w:rPr>
        <w:rFonts w:ascii="Calibri" w:hAnsi="Calibri" w:cs="Times New Roman" w:hint="default"/>
        <w:b w:val="0"/>
        <w:i w:val="0"/>
        <w:color w:val="000000"/>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1DF74D5C"/>
    <w:multiLevelType w:val="multilevel"/>
    <w:tmpl w:val="9B746086"/>
    <w:lvl w:ilvl="0">
      <w:start w:val="1"/>
      <w:numFmt w:val="decimal"/>
      <w:lvlRestart w:val="0"/>
      <w:pStyle w:val="ssq0"/>
      <w:suff w:val="nothing"/>
      <w:lvlText w:val="المرفق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2" w15:restartNumberingAfterBreak="0">
    <w:nsid w:val="21A61B4F"/>
    <w:multiLevelType w:val="multilevel"/>
    <w:tmpl w:val="A2B2F30C"/>
    <w:lvl w:ilvl="0">
      <w:start w:val="1"/>
      <w:numFmt w:val="decimal"/>
      <w:lvlRestart w:val="0"/>
      <w:pStyle w:val="ssqAnlage"/>
      <w:suff w:val="nothing"/>
      <w:lvlText w:val="anlage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3" w15:restartNumberingAfterBreak="0">
    <w:nsid w:val="222B7544"/>
    <w:multiLevelType w:val="multilevel"/>
    <w:tmpl w:val="3DAA0B70"/>
    <w:lvl w:ilvl="0">
      <w:start w:val="1"/>
      <w:numFmt w:val="decimal"/>
      <w:lvlRestart w:val="0"/>
      <w:pStyle w:val="ssqAllegato"/>
      <w:suff w:val="nothing"/>
      <w:lvlText w:val="allegato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4" w15:restartNumberingAfterBreak="0">
    <w:nsid w:val="2279363B"/>
    <w:multiLevelType w:val="multilevel"/>
    <w:tmpl w:val="03F087C6"/>
    <w:numStyleLink w:val="AltExhibit"/>
  </w:abstractNum>
  <w:abstractNum w:abstractNumId="25" w15:restartNumberingAfterBreak="0">
    <w:nsid w:val="240C1329"/>
    <w:multiLevelType w:val="multilevel"/>
    <w:tmpl w:val="15C8108A"/>
    <w:lvl w:ilvl="0">
      <w:start w:val="1"/>
      <w:numFmt w:val="decimal"/>
      <w:lvlRestart w:val="0"/>
      <w:pStyle w:val="ssqApndice"/>
      <w:suff w:val="nothing"/>
      <w:lvlText w:val="apéndice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6" w15:restartNumberingAfterBreak="0">
    <w:nsid w:val="24977E4E"/>
    <w:multiLevelType w:val="multilevel"/>
    <w:tmpl w:val="5CE40D6E"/>
    <w:styleLink w:val="NumDefinitions"/>
    <w:lvl w:ilvl="0">
      <w:start w:val="1"/>
      <w:numFmt w:val="none"/>
      <w:suff w:val="nothing"/>
      <w:lvlText w:val=""/>
      <w:lvlJc w:val="left"/>
      <w:pPr>
        <w:ind w:left="709" w:firstLine="0"/>
      </w:pPr>
      <w:rPr>
        <w:rFonts w:hint="default"/>
      </w:rPr>
    </w:lvl>
    <w:lvl w:ilvl="1">
      <w:start w:val="1"/>
      <w:numFmt w:val="lowerLetter"/>
      <w:lvlText w:val="(%2)"/>
      <w:lvlJc w:val="left"/>
      <w:pPr>
        <w:tabs>
          <w:tab w:val="num" w:pos="1418"/>
        </w:tabs>
        <w:ind w:left="1418" w:hanging="709"/>
      </w:pPr>
      <w:rPr>
        <w:rFonts w:hint="default"/>
      </w:rPr>
    </w:lvl>
    <w:lvl w:ilvl="2">
      <w:start w:val="1"/>
      <w:numFmt w:val="lowerRoman"/>
      <w:lvlText w:val="(%3)"/>
      <w:lvlJc w:val="left"/>
      <w:pPr>
        <w:tabs>
          <w:tab w:val="num" w:pos="1985"/>
        </w:tabs>
        <w:ind w:left="1985" w:hanging="567"/>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lowerRoman"/>
      <w:suff w:val="nothing"/>
      <w:lvlText w:val="%9."/>
      <w:lvlJc w:val="left"/>
      <w:pPr>
        <w:ind w:left="0" w:firstLine="0"/>
      </w:pPr>
      <w:rPr>
        <w:rFonts w:hint="default"/>
      </w:rPr>
    </w:lvl>
  </w:abstractNum>
  <w:abstractNum w:abstractNumId="27" w15:restartNumberingAfterBreak="0">
    <w:nsid w:val="26CD3EE4"/>
    <w:multiLevelType w:val="hybridMultilevel"/>
    <w:tmpl w:val="FC0CE38C"/>
    <w:lvl w:ilvl="0" w:tplc="08090011">
      <w:start w:val="1"/>
      <w:numFmt w:val="decimal"/>
      <w:lvlText w:val="%1)"/>
      <w:lvlJc w:val="left"/>
      <w:pPr>
        <w:ind w:left="1996" w:hanging="360"/>
      </w:pPr>
    </w:lvl>
    <w:lvl w:ilvl="1" w:tplc="08090019" w:tentative="1">
      <w:start w:val="1"/>
      <w:numFmt w:val="lowerLetter"/>
      <w:lvlText w:val="%2."/>
      <w:lvlJc w:val="left"/>
      <w:pPr>
        <w:ind w:left="2716" w:hanging="360"/>
      </w:pPr>
    </w:lvl>
    <w:lvl w:ilvl="2" w:tplc="0809001B" w:tentative="1">
      <w:start w:val="1"/>
      <w:numFmt w:val="lowerRoman"/>
      <w:lvlText w:val="%3."/>
      <w:lvlJc w:val="right"/>
      <w:pPr>
        <w:ind w:left="3436" w:hanging="180"/>
      </w:pPr>
    </w:lvl>
    <w:lvl w:ilvl="3" w:tplc="0809000F" w:tentative="1">
      <w:start w:val="1"/>
      <w:numFmt w:val="decimal"/>
      <w:lvlText w:val="%4."/>
      <w:lvlJc w:val="left"/>
      <w:pPr>
        <w:ind w:left="4156" w:hanging="360"/>
      </w:pPr>
    </w:lvl>
    <w:lvl w:ilvl="4" w:tplc="08090019" w:tentative="1">
      <w:start w:val="1"/>
      <w:numFmt w:val="lowerLetter"/>
      <w:lvlText w:val="%5."/>
      <w:lvlJc w:val="left"/>
      <w:pPr>
        <w:ind w:left="4876" w:hanging="360"/>
      </w:pPr>
    </w:lvl>
    <w:lvl w:ilvl="5" w:tplc="0809001B" w:tentative="1">
      <w:start w:val="1"/>
      <w:numFmt w:val="lowerRoman"/>
      <w:lvlText w:val="%6."/>
      <w:lvlJc w:val="right"/>
      <w:pPr>
        <w:ind w:left="5596" w:hanging="180"/>
      </w:pPr>
    </w:lvl>
    <w:lvl w:ilvl="6" w:tplc="0809000F" w:tentative="1">
      <w:start w:val="1"/>
      <w:numFmt w:val="decimal"/>
      <w:lvlText w:val="%7."/>
      <w:lvlJc w:val="left"/>
      <w:pPr>
        <w:ind w:left="6316" w:hanging="360"/>
      </w:pPr>
    </w:lvl>
    <w:lvl w:ilvl="7" w:tplc="08090019" w:tentative="1">
      <w:start w:val="1"/>
      <w:numFmt w:val="lowerLetter"/>
      <w:lvlText w:val="%8."/>
      <w:lvlJc w:val="left"/>
      <w:pPr>
        <w:ind w:left="7036" w:hanging="360"/>
      </w:pPr>
    </w:lvl>
    <w:lvl w:ilvl="8" w:tplc="0809001B" w:tentative="1">
      <w:start w:val="1"/>
      <w:numFmt w:val="lowerRoman"/>
      <w:lvlText w:val="%9."/>
      <w:lvlJc w:val="right"/>
      <w:pPr>
        <w:ind w:left="7756" w:hanging="180"/>
      </w:pPr>
    </w:lvl>
  </w:abstractNum>
  <w:abstractNum w:abstractNumId="28" w15:restartNumberingAfterBreak="0">
    <w:nsid w:val="27244E0F"/>
    <w:multiLevelType w:val="multilevel"/>
    <w:tmpl w:val="D0200CE0"/>
    <w:lvl w:ilvl="0">
      <w:start w:val="1"/>
      <w:numFmt w:val="none"/>
      <w:pStyle w:val="ssRestartExhibit"/>
      <w:suff w:val="nothing"/>
      <w:lvlText w:val=""/>
      <w:lvlJc w:val="left"/>
      <w:pPr>
        <w:ind w:left="0" w:firstLine="0"/>
      </w:pPr>
      <w:rPr>
        <w:rFonts w:hint="default"/>
      </w:rPr>
    </w:lvl>
    <w:lvl w:ilvl="1">
      <w:start w:val="1"/>
      <w:numFmt w:val="decimal"/>
      <w:pStyle w:val="ssqExhibit"/>
      <w:suff w:val="space"/>
      <w:lvlText w:val="Exhibit %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9" w15:restartNumberingAfterBreak="0">
    <w:nsid w:val="292C2D8F"/>
    <w:multiLevelType w:val="multilevel"/>
    <w:tmpl w:val="1130A0CA"/>
    <w:lvl w:ilvl="0">
      <w:start w:val="1"/>
      <w:numFmt w:val="none"/>
      <w:pStyle w:val="ssRestartSection"/>
      <w:suff w:val="nothing"/>
      <w:lvlText w:val="%1"/>
      <w:lvlJc w:val="left"/>
      <w:pPr>
        <w:ind w:left="0" w:firstLine="0"/>
      </w:pPr>
      <w:rPr>
        <w:rFonts w:hint="default"/>
      </w:rPr>
    </w:lvl>
    <w:lvl w:ilvl="1">
      <w:start w:val="1"/>
      <w:numFmt w:val="decimal"/>
      <w:pStyle w:val="ssqSection"/>
      <w:suff w:val="space"/>
      <w:lvlText w:val="Section %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0" w15:restartNumberingAfterBreak="0">
    <w:nsid w:val="2BAA5C75"/>
    <w:multiLevelType w:val="multilevel"/>
    <w:tmpl w:val="EAE287E6"/>
    <w:lvl w:ilvl="0">
      <w:start w:val="1"/>
      <w:numFmt w:val="decimal"/>
      <w:lvlRestart w:val="0"/>
      <w:pStyle w:val="ssqProductie"/>
      <w:suff w:val="nothing"/>
      <w:lvlText w:val="productie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31" w15:restartNumberingAfterBreak="0">
    <w:nsid w:val="2BD40EEA"/>
    <w:multiLevelType w:val="multilevel"/>
    <w:tmpl w:val="E256A580"/>
    <w:lvl w:ilvl="0">
      <w:start w:val="1"/>
      <w:numFmt w:val="none"/>
      <w:lvlRestart w:val="0"/>
      <w:pStyle w:val="ssRestartExposicin"/>
      <w:suff w:val="space"/>
      <w:lvlText w:val=""/>
      <w:lvlJc w:val="left"/>
      <w:pPr>
        <w:ind w:left="0" w:firstLine="0"/>
      </w:pPr>
      <w:rPr>
        <w:rFonts w:hint="default"/>
      </w:rPr>
    </w:lvl>
    <w:lvl w:ilvl="1">
      <w:start w:val="1"/>
      <w:numFmt w:val="decimal"/>
      <w:suff w:val="nothing"/>
      <w:lvlText w:val="exposición %2 "/>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32" w15:restartNumberingAfterBreak="0">
    <w:nsid w:val="2ECC0C09"/>
    <w:multiLevelType w:val="multilevel"/>
    <w:tmpl w:val="952C2A58"/>
    <w:styleLink w:val="AltSSQPart"/>
    <w:lvl w:ilvl="0">
      <w:start w:val="1"/>
      <w:numFmt w:val="none"/>
      <w:pStyle w:val="AltssRestartPart"/>
      <w:suff w:val="nothing"/>
      <w:lvlText w:val=""/>
      <w:lvlJc w:val="left"/>
      <w:pPr>
        <w:ind w:left="0" w:firstLine="0"/>
      </w:pPr>
      <w:rPr>
        <w:rFonts w:hint="default"/>
      </w:rPr>
    </w:lvl>
    <w:lvl w:ilvl="1">
      <w:start w:val="1"/>
      <w:numFmt w:val="decimal"/>
      <w:pStyle w:val="AltssqPart0"/>
      <w:suff w:val="space"/>
      <w:lvlText w:val="Part %2"/>
      <w:lvlJc w:val="left"/>
      <w:pPr>
        <w:ind w:left="0" w:firstLine="0"/>
      </w:pPr>
      <w:rPr>
        <w:rFonts w:hint="default"/>
        <w:caps/>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3" w15:restartNumberingAfterBreak="0">
    <w:nsid w:val="2F452F6A"/>
    <w:multiLevelType w:val="multilevel"/>
    <w:tmpl w:val="80E8AF92"/>
    <w:styleLink w:val="AltSchedule"/>
    <w:lvl w:ilvl="0">
      <w:start w:val="1"/>
      <w:numFmt w:val="none"/>
      <w:suff w:val="nothing"/>
      <w:lvlText w:val=""/>
      <w:lvlJc w:val="left"/>
      <w:pPr>
        <w:ind w:left="0" w:firstLine="0"/>
      </w:pPr>
      <w:rPr>
        <w:rFonts w:hint="default"/>
      </w:rPr>
    </w:lvl>
    <w:lvl w:ilvl="1">
      <w:start w:val="1"/>
      <w:numFmt w:val="decimal"/>
      <w:suff w:val="nothing"/>
      <w:lvlText w:val="Schedule %2"/>
      <w:lvlJc w:val="left"/>
      <w:pPr>
        <w:ind w:left="0" w:firstLine="0"/>
      </w:pPr>
      <w:rPr>
        <w:rFonts w:hint="default"/>
        <w:caps/>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4" w15:restartNumberingAfterBreak="0">
    <w:nsid w:val="345F6E23"/>
    <w:multiLevelType w:val="multilevel"/>
    <w:tmpl w:val="B0AE8B44"/>
    <w:lvl w:ilvl="0">
      <w:start w:val="1"/>
      <w:numFmt w:val="decimal"/>
      <w:lvlRestart w:val="0"/>
      <w:pStyle w:val="ssqScheda"/>
      <w:suff w:val="nothing"/>
      <w:lvlText w:val="scheda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35" w15:restartNumberingAfterBreak="0">
    <w:nsid w:val="350245E9"/>
    <w:multiLevelType w:val="multilevel"/>
    <w:tmpl w:val="B60C81CC"/>
    <w:styleLink w:val="NumPara"/>
    <w:lvl w:ilvl="0">
      <w:start w:val="1"/>
      <w:numFmt w:val="none"/>
      <w:pStyle w:val="ssPara"/>
      <w:suff w:val="nothing"/>
      <w:lvlText w:val=""/>
      <w:lvlJc w:val="left"/>
      <w:pPr>
        <w:ind w:left="0" w:firstLine="0"/>
      </w:pPr>
      <w:rPr>
        <w:rFonts w:hint="default"/>
      </w:rPr>
    </w:lvl>
    <w:lvl w:ilvl="1">
      <w:start w:val="1"/>
      <w:numFmt w:val="none"/>
      <w:pStyle w:val="ssPara1"/>
      <w:suff w:val="nothing"/>
      <w:lvlText w:val=""/>
      <w:lvlJc w:val="left"/>
      <w:pPr>
        <w:ind w:left="709" w:firstLine="0"/>
      </w:pPr>
      <w:rPr>
        <w:rFonts w:hint="default"/>
      </w:rPr>
    </w:lvl>
    <w:lvl w:ilvl="2">
      <w:start w:val="1"/>
      <w:numFmt w:val="none"/>
      <w:pStyle w:val="ssPara2"/>
      <w:suff w:val="nothing"/>
      <w:lvlText w:val=""/>
      <w:lvlJc w:val="left"/>
      <w:pPr>
        <w:ind w:left="709" w:firstLine="0"/>
      </w:pPr>
      <w:rPr>
        <w:rFonts w:hint="default"/>
      </w:rPr>
    </w:lvl>
    <w:lvl w:ilvl="3">
      <w:start w:val="1"/>
      <w:numFmt w:val="none"/>
      <w:pStyle w:val="ssPara3"/>
      <w:suff w:val="nothing"/>
      <w:lvlText w:val=""/>
      <w:lvlJc w:val="left"/>
      <w:pPr>
        <w:ind w:left="1418" w:firstLine="0"/>
      </w:pPr>
      <w:rPr>
        <w:rFonts w:hint="default"/>
      </w:rPr>
    </w:lvl>
    <w:lvl w:ilvl="4">
      <w:start w:val="1"/>
      <w:numFmt w:val="none"/>
      <w:pStyle w:val="ssPara4"/>
      <w:suff w:val="nothing"/>
      <w:lvlText w:val=""/>
      <w:lvlJc w:val="left"/>
      <w:pPr>
        <w:ind w:left="1985" w:firstLine="0"/>
      </w:pPr>
      <w:rPr>
        <w:rFonts w:hint="default"/>
      </w:rPr>
    </w:lvl>
    <w:lvl w:ilvl="5">
      <w:start w:val="1"/>
      <w:numFmt w:val="none"/>
      <w:pStyle w:val="ssPara5"/>
      <w:suff w:val="nothing"/>
      <w:lvlText w:val=""/>
      <w:lvlJc w:val="left"/>
      <w:pPr>
        <w:ind w:left="2552" w:firstLine="0"/>
      </w:pPr>
      <w:rPr>
        <w:rFonts w:hint="default"/>
      </w:rPr>
    </w:lvl>
    <w:lvl w:ilvl="6">
      <w:start w:val="1"/>
      <w:numFmt w:val="none"/>
      <w:pStyle w:val="ssPara6"/>
      <w:suff w:val="nothing"/>
      <w:lvlText w:val=""/>
      <w:lvlJc w:val="left"/>
      <w:pPr>
        <w:ind w:left="3119"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36" w15:restartNumberingAfterBreak="0">
    <w:nsid w:val="353030E2"/>
    <w:multiLevelType w:val="multilevel"/>
    <w:tmpl w:val="D98EB5A2"/>
    <w:lvl w:ilvl="0">
      <w:start w:val="1"/>
      <w:numFmt w:val="decimal"/>
      <w:lvlRestart w:val="0"/>
      <w:pStyle w:val="ssqMarcao"/>
      <w:suff w:val="nothing"/>
      <w:lvlText w:val="marcação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37" w15:restartNumberingAfterBreak="0">
    <w:nsid w:val="3591399E"/>
    <w:multiLevelType w:val="multilevel"/>
    <w:tmpl w:val="0A02522C"/>
    <w:lvl w:ilvl="0">
      <w:start w:val="1"/>
      <w:numFmt w:val="none"/>
      <w:suff w:val="nothing"/>
      <w:lvlText w:val=""/>
      <w:lvlJc w:val="left"/>
      <w:pPr>
        <w:ind w:left="0" w:firstLine="0"/>
      </w:pPr>
      <w:rPr>
        <w:rFonts w:hint="default"/>
      </w:rPr>
    </w:lvl>
    <w:lvl w:ilvl="1">
      <w:start w:val="1"/>
      <w:numFmt w:val="decimal"/>
      <w:lvlText w:val="%2."/>
      <w:lvlJc w:val="left"/>
      <w:pPr>
        <w:tabs>
          <w:tab w:val="num" w:pos="709"/>
        </w:tabs>
        <w:ind w:left="709" w:hanging="709"/>
      </w:pPr>
      <w:rPr>
        <w:rFonts w:hint="default"/>
        <w:b w:val="0"/>
        <w:i w:val="0"/>
        <w:u w:val="none"/>
      </w:rPr>
    </w:lvl>
    <w:lvl w:ilvl="2">
      <w:start w:val="1"/>
      <w:numFmt w:val="decimal"/>
      <w:lvlText w:val="%2.%3"/>
      <w:lvlJc w:val="left"/>
      <w:pPr>
        <w:tabs>
          <w:tab w:val="num" w:pos="709"/>
        </w:tabs>
        <w:ind w:left="709" w:hanging="709"/>
      </w:pPr>
      <w:rPr>
        <w:rFonts w:hint="default"/>
        <w:b w:val="0"/>
        <w:i w:val="0"/>
        <w:u w:val="none"/>
      </w:rPr>
    </w:lvl>
    <w:lvl w:ilvl="3">
      <w:start w:val="1"/>
      <w:numFmt w:val="lowerRoman"/>
      <w:lvlText w:val="%4."/>
      <w:lvlJc w:val="right"/>
      <w:pPr>
        <w:ind w:left="1069" w:hanging="360"/>
      </w:pPr>
    </w:lvl>
    <w:lvl w:ilvl="4">
      <w:start w:val="1"/>
      <w:numFmt w:val="bullet"/>
      <w:lvlText w:val="o"/>
      <w:lvlJc w:val="left"/>
      <w:pPr>
        <w:tabs>
          <w:tab w:val="num" w:pos="1985"/>
        </w:tabs>
        <w:ind w:left="1985" w:hanging="567"/>
      </w:pPr>
      <w:rPr>
        <w:rFonts w:ascii="Courier New" w:hAnsi="Courier New" w:cs="Courier New" w:hint="default"/>
        <w:b w:val="0"/>
        <w:i w:val="0"/>
        <w:u w:val="none"/>
      </w:rPr>
    </w:lvl>
    <w:lvl w:ilvl="5">
      <w:start w:val="1"/>
      <w:numFmt w:val="bullet"/>
      <w:lvlText w:val="-"/>
      <w:lvlJc w:val="left"/>
      <w:pPr>
        <w:tabs>
          <w:tab w:val="num" w:pos="2552"/>
        </w:tabs>
        <w:ind w:left="2552" w:hanging="567"/>
      </w:pPr>
      <w:rPr>
        <w:rFonts w:ascii="Calibri" w:hAnsi="Calibri" w:hint="default"/>
        <w:b w:val="0"/>
        <w:i w:val="0"/>
        <w:u w:val="none"/>
      </w:rPr>
    </w:lvl>
    <w:lvl w:ilvl="6">
      <w:start w:val="1"/>
      <w:numFmt w:val="bullet"/>
      <w:lvlText w:val="-"/>
      <w:lvlJc w:val="left"/>
      <w:pPr>
        <w:tabs>
          <w:tab w:val="num" w:pos="3119"/>
        </w:tabs>
        <w:ind w:left="3119" w:hanging="567"/>
      </w:pPr>
      <w:rPr>
        <w:rFonts w:ascii="Calibri" w:hAnsi="Calibri" w:hint="default"/>
        <w:b w:val="0"/>
        <w:i w:val="0"/>
        <w:u w:val="none"/>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8" w15:restartNumberingAfterBreak="0">
    <w:nsid w:val="373F1E72"/>
    <w:multiLevelType w:val="multilevel"/>
    <w:tmpl w:val="03F087C6"/>
    <w:styleLink w:val="AltExhibit"/>
    <w:lvl w:ilvl="0">
      <w:start w:val="1"/>
      <w:numFmt w:val="none"/>
      <w:pStyle w:val="AltssRestartExhibit"/>
      <w:suff w:val="nothing"/>
      <w:lvlText w:val=""/>
      <w:lvlJc w:val="left"/>
      <w:pPr>
        <w:ind w:left="0" w:firstLine="0"/>
      </w:pPr>
      <w:rPr>
        <w:rFonts w:hint="default"/>
      </w:rPr>
    </w:lvl>
    <w:lvl w:ilvl="1">
      <w:start w:val="1"/>
      <w:numFmt w:val="decimal"/>
      <w:pStyle w:val="AltssqExhibit"/>
      <w:suff w:val="space"/>
      <w:lvlText w:val="Exhibit %2"/>
      <w:lvlJc w:val="left"/>
      <w:pPr>
        <w:ind w:left="0" w:firstLine="0"/>
      </w:pPr>
      <w:rPr>
        <w:rFonts w:hint="default"/>
        <w:caps/>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9" w15:restartNumberingAfterBreak="0">
    <w:nsid w:val="39937EB2"/>
    <w:multiLevelType w:val="multilevel"/>
    <w:tmpl w:val="E0FA8E66"/>
    <w:styleLink w:val="ScheduleNumbering"/>
    <w:lvl w:ilvl="0">
      <w:start w:val="1"/>
      <w:numFmt w:val="none"/>
      <w:suff w:val="nothing"/>
      <w:lvlText w:val=""/>
      <w:lvlJc w:val="left"/>
      <w:pPr>
        <w:ind w:left="0" w:firstLine="0"/>
      </w:pPr>
      <w:rPr>
        <w:rFonts w:hint="default"/>
      </w:rPr>
    </w:lvl>
    <w:lvl w:ilvl="1">
      <w:start w:val="1"/>
      <w:numFmt w:val="decimal"/>
      <w:suff w:val="space"/>
      <w:lvlText w:val="Schedule %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0" w15:restartNumberingAfterBreak="0">
    <w:nsid w:val="39937EB3"/>
    <w:multiLevelType w:val="multilevel"/>
    <w:tmpl w:val="1130A0CA"/>
    <w:styleLink w:val="SectionNumbering"/>
    <w:lvl w:ilvl="0">
      <w:start w:val="1"/>
      <w:numFmt w:val="none"/>
      <w:suff w:val="nothing"/>
      <w:lvlText w:val="%1"/>
      <w:lvlJc w:val="left"/>
      <w:pPr>
        <w:ind w:left="0" w:firstLine="0"/>
      </w:pPr>
      <w:rPr>
        <w:rFonts w:hint="default"/>
      </w:rPr>
    </w:lvl>
    <w:lvl w:ilvl="1">
      <w:start w:val="1"/>
      <w:numFmt w:val="decimal"/>
      <w:suff w:val="space"/>
      <w:lvlText w:val="Section %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1" w15:restartNumberingAfterBreak="0">
    <w:nsid w:val="3AD82D68"/>
    <w:multiLevelType w:val="multilevel"/>
    <w:tmpl w:val="5FF80B9E"/>
    <w:lvl w:ilvl="0">
      <w:start w:val="1"/>
      <w:numFmt w:val="decimal"/>
      <w:lvlRestart w:val="0"/>
      <w:pStyle w:val="ssqApresentar"/>
      <w:suff w:val="nothing"/>
      <w:lvlText w:val="apresenta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42" w15:restartNumberingAfterBreak="0">
    <w:nsid w:val="3B4B700E"/>
    <w:multiLevelType w:val="multilevel"/>
    <w:tmpl w:val="20665F4A"/>
    <w:styleLink w:val="NumMain"/>
    <w:lvl w:ilvl="0">
      <w:start w:val="1"/>
      <w:numFmt w:val="decimal"/>
      <w:lvlText w:val="%1"/>
      <w:lvlJc w:val="left"/>
      <w:pPr>
        <w:tabs>
          <w:tab w:val="num" w:pos="709"/>
        </w:tabs>
        <w:ind w:left="709" w:hanging="709"/>
      </w:pPr>
      <w:rPr>
        <w:rFonts w:hint="default"/>
        <w:b w:val="0"/>
        <w:i w:val="0"/>
      </w:rPr>
    </w:lvl>
    <w:lvl w:ilvl="1">
      <w:start w:val="1"/>
      <w:numFmt w:val="decimal"/>
      <w:lvlText w:val="%1.%2"/>
      <w:lvlJc w:val="left"/>
      <w:pPr>
        <w:tabs>
          <w:tab w:val="num" w:pos="709"/>
        </w:tabs>
        <w:ind w:left="709" w:hanging="709"/>
      </w:pPr>
      <w:rPr>
        <w:rFonts w:hint="default"/>
        <w:b w:val="0"/>
        <w:i w:val="0"/>
      </w:rPr>
    </w:lvl>
    <w:lvl w:ilvl="2">
      <w:start w:val="1"/>
      <w:numFmt w:val="upperLetter"/>
      <w:lvlText w:val="(%3)"/>
      <w:lvlJc w:val="left"/>
      <w:pPr>
        <w:tabs>
          <w:tab w:val="num" w:pos="1418"/>
        </w:tabs>
        <w:ind w:left="1418" w:hanging="709"/>
      </w:pPr>
      <w:rPr>
        <w:rFonts w:hint="default"/>
        <w:b w:val="0"/>
        <w:i w:val="0"/>
      </w:rPr>
    </w:lvl>
    <w:lvl w:ilvl="3">
      <w:start w:val="1"/>
      <w:numFmt w:val="decimal"/>
      <w:lvlText w:val="(%4)"/>
      <w:lvlJc w:val="left"/>
      <w:pPr>
        <w:tabs>
          <w:tab w:val="num" w:pos="1985"/>
        </w:tabs>
        <w:ind w:left="1985" w:hanging="567"/>
      </w:pPr>
      <w:rPr>
        <w:rFonts w:hint="default"/>
        <w:b w:val="0"/>
        <w:i w:val="0"/>
      </w:rPr>
    </w:lvl>
    <w:lvl w:ilvl="4">
      <w:start w:val="1"/>
      <w:numFmt w:val="lowerLetter"/>
      <w:lvlText w:val="(%5)"/>
      <w:lvlJc w:val="left"/>
      <w:pPr>
        <w:tabs>
          <w:tab w:val="num" w:pos="2552"/>
        </w:tabs>
        <w:ind w:left="2552" w:hanging="567"/>
      </w:pPr>
      <w:rPr>
        <w:rFonts w:hint="default"/>
        <w:b w:val="0"/>
        <w:i w:val="0"/>
      </w:rPr>
    </w:lvl>
    <w:lvl w:ilvl="5">
      <w:start w:val="1"/>
      <w:numFmt w:val="lowerRoman"/>
      <w:lvlText w:val="(%6)"/>
      <w:lvlJc w:val="left"/>
      <w:pPr>
        <w:tabs>
          <w:tab w:val="num" w:pos="3119"/>
        </w:tabs>
        <w:ind w:left="3119" w:hanging="567"/>
      </w:pPr>
      <w:rPr>
        <w:rFonts w:hint="default"/>
        <w:b w:val="0"/>
        <w:i w:val="0"/>
      </w:rPr>
    </w:lvl>
    <w:lvl w:ilvl="6">
      <w:start w:val="1"/>
      <w:numFmt w:val="none"/>
      <w:suff w:val="nothing"/>
      <w:lvlText w:val=""/>
      <w:lvlJc w:val="left"/>
      <w:pPr>
        <w:ind w:left="0" w:firstLine="0"/>
      </w:pPr>
      <w:rPr>
        <w:rFonts w:hint="default"/>
      </w:rPr>
    </w:lvl>
    <w:lvl w:ilvl="7">
      <w:start w:val="1"/>
      <w:numFmt w:val="none"/>
      <w:lvlText w:val=""/>
      <w:lvlJc w:val="left"/>
      <w:pPr>
        <w:tabs>
          <w:tab w:val="num" w:pos="0"/>
        </w:tabs>
        <w:ind w:left="0" w:firstLine="0"/>
      </w:pPr>
      <w:rPr>
        <w:rFonts w:hint="default"/>
      </w:rPr>
    </w:lvl>
    <w:lvl w:ilvl="8">
      <w:start w:val="1"/>
      <w:numFmt w:val="none"/>
      <w:suff w:val="nothing"/>
      <w:lvlText w:val=""/>
      <w:lvlJc w:val="left"/>
      <w:pPr>
        <w:ind w:left="0" w:firstLine="0"/>
      </w:pPr>
      <w:rPr>
        <w:rFonts w:hint="default"/>
      </w:rPr>
    </w:lvl>
  </w:abstractNum>
  <w:abstractNum w:abstractNumId="43" w15:restartNumberingAfterBreak="0">
    <w:nsid w:val="3F67124D"/>
    <w:multiLevelType w:val="multilevel"/>
    <w:tmpl w:val="5B82DCE6"/>
    <w:styleLink w:val="AltSection"/>
    <w:lvl w:ilvl="0">
      <w:start w:val="1"/>
      <w:numFmt w:val="none"/>
      <w:pStyle w:val="AltssRestartSection"/>
      <w:suff w:val="nothing"/>
      <w:lvlText w:val=""/>
      <w:lvlJc w:val="left"/>
      <w:pPr>
        <w:ind w:left="0" w:firstLine="0"/>
      </w:pPr>
      <w:rPr>
        <w:rFonts w:hint="default"/>
      </w:rPr>
    </w:lvl>
    <w:lvl w:ilvl="1">
      <w:start w:val="1"/>
      <w:numFmt w:val="decimal"/>
      <w:pStyle w:val="AltssqSection"/>
      <w:suff w:val="space"/>
      <w:lvlText w:val="Section %2"/>
      <w:lvlJc w:val="left"/>
      <w:pPr>
        <w:ind w:left="0" w:firstLine="0"/>
      </w:pPr>
      <w:rPr>
        <w:rFonts w:hint="default"/>
        <w:caps/>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4" w15:restartNumberingAfterBreak="0">
    <w:nsid w:val="410D44A5"/>
    <w:multiLevelType w:val="multilevel"/>
    <w:tmpl w:val="AE2C5C38"/>
    <w:lvl w:ilvl="0">
      <w:start w:val="1"/>
      <w:numFmt w:val="decimal"/>
      <w:lvlRestart w:val="0"/>
      <w:pStyle w:val="ssqDeel"/>
      <w:suff w:val="nothing"/>
      <w:lvlText w:val="deel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45" w15:restartNumberingAfterBreak="0">
    <w:nsid w:val="4130019E"/>
    <w:multiLevelType w:val="multilevel"/>
    <w:tmpl w:val="931619C6"/>
    <w:lvl w:ilvl="0">
      <w:start w:val="1"/>
      <w:numFmt w:val="decimal"/>
      <w:lvlRestart w:val="0"/>
      <w:pStyle w:val="ssqBijlage"/>
      <w:suff w:val="nothing"/>
      <w:lvlText w:val="bijlage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46" w15:restartNumberingAfterBreak="0">
    <w:nsid w:val="41732064"/>
    <w:multiLevelType w:val="multilevel"/>
    <w:tmpl w:val="90EE6ABE"/>
    <w:lvl w:ilvl="0">
      <w:start w:val="1"/>
      <w:numFmt w:val="decimal"/>
      <w:lvlRestart w:val="0"/>
      <w:pStyle w:val="ssq1"/>
      <w:suff w:val="nothing"/>
      <w:lvlText w:val="الملحق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47" w15:restartNumberingAfterBreak="0">
    <w:nsid w:val="440A67E5"/>
    <w:multiLevelType w:val="multilevel"/>
    <w:tmpl w:val="C6843C52"/>
    <w:styleLink w:val="NumSch"/>
    <w:lvl w:ilvl="0">
      <w:start w:val="1"/>
      <w:numFmt w:val="decimal"/>
      <w:suff w:val="nothing"/>
      <w:lvlText w:val="Schedule %1"/>
      <w:lvlJc w:val="left"/>
      <w:pPr>
        <w:ind w:left="0" w:firstLine="0"/>
      </w:pPr>
      <w:rPr>
        <w:rFonts w:hint="default"/>
      </w:rPr>
    </w:lvl>
    <w:lvl w:ilvl="1">
      <w:start w:val="1"/>
      <w:numFmt w:val="decimal"/>
      <w:suff w:val="nothing"/>
      <w:lvlText w:val="Part %2"/>
      <w:lvlJc w:val="left"/>
      <w:pPr>
        <w:ind w:left="0" w:firstLine="0"/>
      </w:pPr>
      <w:rPr>
        <w:rFonts w:hint="default"/>
      </w:rPr>
    </w:lvl>
    <w:lvl w:ilvl="2">
      <w:start w:val="1"/>
      <w:numFmt w:val="decimal"/>
      <w:lvlText w:val="%3"/>
      <w:lvlJc w:val="left"/>
      <w:pPr>
        <w:tabs>
          <w:tab w:val="num" w:pos="709"/>
        </w:tabs>
        <w:ind w:left="709" w:hanging="709"/>
      </w:pPr>
      <w:rPr>
        <w:rFonts w:hint="default"/>
        <w:b w:val="0"/>
        <w:i w:val="0"/>
      </w:rPr>
    </w:lvl>
    <w:lvl w:ilvl="3">
      <w:start w:val="1"/>
      <w:numFmt w:val="decimal"/>
      <w:lvlText w:val="%3.%4"/>
      <w:lvlJc w:val="left"/>
      <w:pPr>
        <w:tabs>
          <w:tab w:val="num" w:pos="709"/>
        </w:tabs>
        <w:ind w:left="709" w:hanging="709"/>
      </w:pPr>
      <w:rPr>
        <w:rFonts w:hint="default"/>
        <w:b w:val="0"/>
        <w:i w:val="0"/>
      </w:rPr>
    </w:lvl>
    <w:lvl w:ilvl="4">
      <w:start w:val="1"/>
      <w:numFmt w:val="upperLetter"/>
      <w:lvlText w:val="(%5)"/>
      <w:lvlJc w:val="left"/>
      <w:pPr>
        <w:tabs>
          <w:tab w:val="num" w:pos="1418"/>
        </w:tabs>
        <w:ind w:left="1418" w:hanging="709"/>
      </w:pPr>
      <w:rPr>
        <w:rFonts w:hint="default"/>
        <w:b w:val="0"/>
        <w:i w:val="0"/>
      </w:rPr>
    </w:lvl>
    <w:lvl w:ilvl="5">
      <w:start w:val="1"/>
      <w:numFmt w:val="decimal"/>
      <w:lvlText w:val="(%6)"/>
      <w:lvlJc w:val="left"/>
      <w:pPr>
        <w:tabs>
          <w:tab w:val="num" w:pos="1985"/>
        </w:tabs>
        <w:ind w:left="1985" w:hanging="567"/>
      </w:pPr>
      <w:rPr>
        <w:rFonts w:hint="default"/>
        <w:b w:val="0"/>
        <w:i w:val="0"/>
      </w:rPr>
    </w:lvl>
    <w:lvl w:ilvl="6">
      <w:start w:val="1"/>
      <w:numFmt w:val="lowerLetter"/>
      <w:lvlText w:val="(%7)"/>
      <w:lvlJc w:val="left"/>
      <w:pPr>
        <w:tabs>
          <w:tab w:val="num" w:pos="2552"/>
        </w:tabs>
        <w:ind w:left="2552" w:hanging="567"/>
      </w:pPr>
      <w:rPr>
        <w:rFonts w:hint="default"/>
        <w:b w:val="0"/>
        <w:i w:val="0"/>
      </w:rPr>
    </w:lvl>
    <w:lvl w:ilvl="7">
      <w:start w:val="1"/>
      <w:numFmt w:val="lowerRoman"/>
      <w:lvlText w:val="(%8)"/>
      <w:lvlJc w:val="left"/>
      <w:pPr>
        <w:tabs>
          <w:tab w:val="num" w:pos="3119"/>
        </w:tabs>
        <w:ind w:left="3119" w:hanging="567"/>
      </w:pPr>
      <w:rPr>
        <w:rFonts w:hint="default"/>
        <w:b w:val="0"/>
        <w:i w:val="0"/>
      </w:rPr>
    </w:lvl>
    <w:lvl w:ilvl="8">
      <w:start w:val="1"/>
      <w:numFmt w:val="none"/>
      <w:suff w:val="nothing"/>
      <w:lvlText w:val=""/>
      <w:lvlJc w:val="left"/>
      <w:pPr>
        <w:ind w:left="0" w:firstLine="0"/>
      </w:pPr>
      <w:rPr>
        <w:rFonts w:hint="default"/>
      </w:rPr>
    </w:lvl>
  </w:abstractNum>
  <w:abstractNum w:abstractNumId="48" w15:restartNumberingAfterBreak="0">
    <w:nsid w:val="464E539F"/>
    <w:multiLevelType w:val="multilevel"/>
    <w:tmpl w:val="576C219E"/>
    <w:styleLink w:val="AppendixNumbering"/>
    <w:lvl w:ilvl="0">
      <w:start w:val="1"/>
      <w:numFmt w:val="none"/>
      <w:suff w:val="nothing"/>
      <w:lvlText w:val=""/>
      <w:lvlJc w:val="left"/>
      <w:pPr>
        <w:ind w:left="0" w:firstLine="0"/>
      </w:pPr>
      <w:rPr>
        <w:rFonts w:hint="default"/>
      </w:rPr>
    </w:lvl>
    <w:lvl w:ilvl="1">
      <w:start w:val="1"/>
      <w:numFmt w:val="decimal"/>
      <w:suff w:val="space"/>
      <w:lvlText w:val="Appendix %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9" w15:restartNumberingAfterBreak="0">
    <w:nsid w:val="47E97851"/>
    <w:multiLevelType w:val="multilevel"/>
    <w:tmpl w:val="BACCA30E"/>
    <w:lvl w:ilvl="0">
      <w:start w:val="1"/>
      <w:numFmt w:val="decimal"/>
      <w:lvlRestart w:val="0"/>
      <w:pStyle w:val="ssqMostrar"/>
      <w:suff w:val="nothing"/>
      <w:lvlText w:val="mostra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50" w15:restartNumberingAfterBreak="0">
    <w:nsid w:val="47F37F75"/>
    <w:multiLevelType w:val="multilevel"/>
    <w:tmpl w:val="5152205E"/>
    <w:name w:val="Recitals"/>
    <w:lvl w:ilvl="0">
      <w:start w:val="1"/>
      <w:numFmt w:val="upperLetter"/>
      <w:lvlText w:val="(%1)"/>
      <w:lvlJc w:val="left"/>
      <w:pPr>
        <w:tabs>
          <w:tab w:val="num" w:pos="709"/>
        </w:tabs>
        <w:ind w:left="709" w:hanging="709"/>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51" w15:restartNumberingAfterBreak="0">
    <w:nsid w:val="486C2ACA"/>
    <w:multiLevelType w:val="multilevel"/>
    <w:tmpl w:val="4258BADA"/>
    <w:lvl w:ilvl="0">
      <w:start w:val="1"/>
      <w:numFmt w:val="decimal"/>
      <w:lvlRestart w:val="0"/>
      <w:pStyle w:val="ssqPartie"/>
      <w:suff w:val="nothing"/>
      <w:lvlText w:val="partie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52" w15:restartNumberingAfterBreak="0">
    <w:nsid w:val="48982831"/>
    <w:multiLevelType w:val="multilevel"/>
    <w:tmpl w:val="91E2079E"/>
    <w:styleLink w:val="AltAnnex"/>
    <w:lvl w:ilvl="0">
      <w:start w:val="1"/>
      <w:numFmt w:val="none"/>
      <w:pStyle w:val="AltRestartAnnex"/>
      <w:suff w:val="nothing"/>
      <w:lvlText w:val=""/>
      <w:lvlJc w:val="left"/>
      <w:pPr>
        <w:ind w:left="0" w:firstLine="0"/>
      </w:pPr>
      <w:rPr>
        <w:rFonts w:hint="default"/>
      </w:rPr>
    </w:lvl>
    <w:lvl w:ilvl="1">
      <w:start w:val="1"/>
      <w:numFmt w:val="decimal"/>
      <w:pStyle w:val="AltSSQAnnex"/>
      <w:suff w:val="space"/>
      <w:lvlText w:val="Annex %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3" w15:restartNumberingAfterBreak="0">
    <w:nsid w:val="4BE97993"/>
    <w:multiLevelType w:val="multilevel"/>
    <w:tmpl w:val="E0FA8E66"/>
    <w:lvl w:ilvl="0">
      <w:start w:val="1"/>
      <w:numFmt w:val="none"/>
      <w:pStyle w:val="ssRestartSchedule"/>
      <w:suff w:val="nothing"/>
      <w:lvlText w:val=""/>
      <w:lvlJc w:val="left"/>
      <w:pPr>
        <w:ind w:left="0" w:firstLine="0"/>
      </w:pPr>
      <w:rPr>
        <w:rFonts w:hint="default"/>
      </w:rPr>
    </w:lvl>
    <w:lvl w:ilvl="1">
      <w:start w:val="1"/>
      <w:numFmt w:val="decimal"/>
      <w:pStyle w:val="ssqSchedule"/>
      <w:suff w:val="space"/>
      <w:lvlText w:val="Schedule %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4" w15:restartNumberingAfterBreak="0">
    <w:nsid w:val="4F193B13"/>
    <w:multiLevelType w:val="hybridMultilevel"/>
    <w:tmpl w:val="23D61DE0"/>
    <w:lvl w:ilvl="0" w:tplc="EDD6BF02">
      <w:start w:val="1"/>
      <w:numFmt w:val="upperLetter"/>
      <w:pStyle w:val="ssUserEntryLettered"/>
      <w:lvlText w:val="(%1)"/>
      <w:lvlJc w:val="left"/>
      <w:pPr>
        <w:tabs>
          <w:tab w:val="num" w:pos="851"/>
        </w:tabs>
        <w:ind w:left="851" w:hanging="851"/>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5" w15:restartNumberingAfterBreak="0">
    <w:nsid w:val="4FC8033B"/>
    <w:multiLevelType w:val="multilevel"/>
    <w:tmpl w:val="B53062B0"/>
    <w:styleLink w:val="AltAppendix"/>
    <w:lvl w:ilvl="0">
      <w:start w:val="1"/>
      <w:numFmt w:val="none"/>
      <w:pStyle w:val="AltssRestartAppendix"/>
      <w:suff w:val="nothing"/>
      <w:lvlText w:val=""/>
      <w:lvlJc w:val="left"/>
      <w:pPr>
        <w:ind w:left="0" w:firstLine="0"/>
      </w:pPr>
      <w:rPr>
        <w:rFonts w:hint="default"/>
      </w:rPr>
    </w:lvl>
    <w:lvl w:ilvl="1">
      <w:start w:val="1"/>
      <w:numFmt w:val="decimal"/>
      <w:pStyle w:val="AltssqAppendix"/>
      <w:suff w:val="space"/>
      <w:lvlText w:val="Appendix %2"/>
      <w:lvlJc w:val="left"/>
      <w:pPr>
        <w:ind w:left="0" w:firstLine="0"/>
      </w:pPr>
      <w:rPr>
        <w:rFonts w:hint="default"/>
        <w:caps/>
        <w:vanish w:val="0"/>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6" w15:restartNumberingAfterBreak="0">
    <w:nsid w:val="517E071B"/>
    <w:multiLevelType w:val="multilevel"/>
    <w:tmpl w:val="9496A6FC"/>
    <w:lvl w:ilvl="0">
      <w:start w:val="1"/>
      <w:numFmt w:val="none"/>
      <w:pStyle w:val="ssRestartPart"/>
      <w:suff w:val="nothing"/>
      <w:lvlText w:val=""/>
      <w:lvlJc w:val="left"/>
      <w:pPr>
        <w:ind w:left="0" w:firstLine="0"/>
      </w:pPr>
      <w:rPr>
        <w:rFonts w:hint="default"/>
      </w:rPr>
    </w:lvl>
    <w:lvl w:ilvl="1">
      <w:start w:val="1"/>
      <w:numFmt w:val="decimal"/>
      <w:pStyle w:val="ssqPart"/>
      <w:suff w:val="space"/>
      <w:lvlText w:val="Part %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7" w15:restartNumberingAfterBreak="0">
    <w:nsid w:val="53792175"/>
    <w:multiLevelType w:val="multilevel"/>
    <w:tmpl w:val="DA9E980A"/>
    <w:lvl w:ilvl="0">
      <w:start w:val="1"/>
      <w:numFmt w:val="decimal"/>
      <w:lvlRestart w:val="0"/>
      <w:pStyle w:val="ssqAgendar"/>
      <w:suff w:val="nothing"/>
      <w:lvlText w:val="agenda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58" w15:restartNumberingAfterBreak="0">
    <w:nsid w:val="54D24CB9"/>
    <w:multiLevelType w:val="multilevel"/>
    <w:tmpl w:val="3C76E94C"/>
    <w:lvl w:ilvl="0">
      <w:start w:val="1"/>
      <w:numFmt w:val="decimal"/>
      <w:lvlRestart w:val="0"/>
      <w:pStyle w:val="ssqAnexo"/>
      <w:suff w:val="nothing"/>
      <w:lvlText w:val="anexo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59" w15:restartNumberingAfterBreak="0">
    <w:nsid w:val="562B7FD0"/>
    <w:multiLevelType w:val="multilevel"/>
    <w:tmpl w:val="355802F4"/>
    <w:lvl w:ilvl="0">
      <w:start w:val="1"/>
      <w:numFmt w:val="decimal"/>
      <w:lvlRestart w:val="0"/>
      <w:pStyle w:val="ssq2"/>
      <w:suff w:val="nothing"/>
      <w:lvlText w:val="الجدول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60" w15:restartNumberingAfterBreak="0">
    <w:nsid w:val="57C02942"/>
    <w:multiLevelType w:val="multilevel"/>
    <w:tmpl w:val="9BC8CCDE"/>
    <w:lvl w:ilvl="0">
      <w:start w:val="1"/>
      <w:numFmt w:val="none"/>
      <w:lvlRestart w:val="0"/>
      <w:pStyle w:val="ssRestartScheda"/>
      <w:suff w:val="space"/>
      <w:lvlText w:val=""/>
      <w:lvlJc w:val="left"/>
      <w:pPr>
        <w:ind w:left="0" w:firstLine="0"/>
      </w:pPr>
      <w:rPr>
        <w:rFonts w:hint="default"/>
      </w:rPr>
    </w:lvl>
    <w:lvl w:ilvl="1">
      <w:start w:val="1"/>
      <w:numFmt w:val="decimal"/>
      <w:pStyle w:val="ssRestartScheda"/>
      <w:suff w:val="nothing"/>
      <w:lvlText w:val="scheda %2 "/>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61" w15:restartNumberingAfterBreak="0">
    <w:nsid w:val="59781E7A"/>
    <w:multiLevelType w:val="multilevel"/>
    <w:tmpl w:val="61FA22FE"/>
    <w:lvl w:ilvl="0">
      <w:start w:val="1"/>
      <w:numFmt w:val="none"/>
      <w:pStyle w:val="ssRestartNumber"/>
      <w:suff w:val="nothing"/>
      <w:lvlText w:val=""/>
      <w:lvlJc w:val="left"/>
      <w:pPr>
        <w:ind w:left="0" w:firstLine="0"/>
      </w:pPr>
      <w:rPr>
        <w:rFonts w:hint="default"/>
      </w:rPr>
    </w:lvl>
    <w:lvl w:ilvl="1">
      <w:start w:val="1"/>
      <w:numFmt w:val="decimal"/>
      <w:pStyle w:val="Heading1"/>
      <w:lvlText w:val="%2."/>
      <w:lvlJc w:val="left"/>
      <w:pPr>
        <w:tabs>
          <w:tab w:val="num" w:pos="709"/>
        </w:tabs>
        <w:ind w:left="709" w:hanging="709"/>
      </w:pPr>
      <w:rPr>
        <w:rFonts w:hint="default"/>
        <w:b w:val="0"/>
        <w:i w:val="0"/>
        <w:u w:val="none"/>
      </w:rPr>
    </w:lvl>
    <w:lvl w:ilvl="2">
      <w:start w:val="1"/>
      <w:numFmt w:val="decimal"/>
      <w:pStyle w:val="Heading2"/>
      <w:lvlText w:val="%2.%3"/>
      <w:lvlJc w:val="left"/>
      <w:pPr>
        <w:tabs>
          <w:tab w:val="num" w:pos="709"/>
        </w:tabs>
        <w:ind w:left="709" w:hanging="709"/>
      </w:pPr>
      <w:rPr>
        <w:rFonts w:hint="default"/>
        <w:b w:val="0"/>
        <w:i w:val="0"/>
        <w:u w:val="none"/>
      </w:rPr>
    </w:lvl>
    <w:lvl w:ilvl="3">
      <w:start w:val="1"/>
      <w:numFmt w:val="bullet"/>
      <w:pStyle w:val="Heading3"/>
      <w:lvlText w:val=""/>
      <w:lvlJc w:val="left"/>
      <w:pPr>
        <w:tabs>
          <w:tab w:val="num" w:pos="1418"/>
        </w:tabs>
        <w:ind w:left="1418" w:hanging="709"/>
      </w:pPr>
      <w:rPr>
        <w:rFonts w:ascii="Symbol" w:hAnsi="Symbol" w:hint="default"/>
        <w:b w:val="0"/>
        <w:i w:val="0"/>
        <w:u w:val="none"/>
      </w:rPr>
    </w:lvl>
    <w:lvl w:ilvl="4">
      <w:start w:val="1"/>
      <w:numFmt w:val="bullet"/>
      <w:pStyle w:val="Heading4"/>
      <w:lvlText w:val="o"/>
      <w:lvlJc w:val="left"/>
      <w:pPr>
        <w:tabs>
          <w:tab w:val="num" w:pos="1985"/>
        </w:tabs>
        <w:ind w:left="1985" w:hanging="567"/>
      </w:pPr>
      <w:rPr>
        <w:rFonts w:ascii="Courier New" w:hAnsi="Courier New" w:cs="Courier New" w:hint="default"/>
        <w:b w:val="0"/>
        <w:i w:val="0"/>
        <w:u w:val="none"/>
      </w:rPr>
    </w:lvl>
    <w:lvl w:ilvl="5">
      <w:start w:val="1"/>
      <w:numFmt w:val="bullet"/>
      <w:pStyle w:val="Heading5"/>
      <w:lvlText w:val="-"/>
      <w:lvlJc w:val="left"/>
      <w:pPr>
        <w:tabs>
          <w:tab w:val="num" w:pos="2552"/>
        </w:tabs>
        <w:ind w:left="2552" w:hanging="567"/>
      </w:pPr>
      <w:rPr>
        <w:rFonts w:ascii="Calibri" w:hAnsi="Calibri" w:hint="default"/>
        <w:b w:val="0"/>
        <w:i w:val="0"/>
        <w:u w:val="none"/>
      </w:rPr>
    </w:lvl>
    <w:lvl w:ilvl="6">
      <w:start w:val="1"/>
      <w:numFmt w:val="bullet"/>
      <w:pStyle w:val="Heading6"/>
      <w:lvlText w:val="-"/>
      <w:lvlJc w:val="left"/>
      <w:pPr>
        <w:tabs>
          <w:tab w:val="num" w:pos="3119"/>
        </w:tabs>
        <w:ind w:left="3119" w:hanging="567"/>
      </w:pPr>
      <w:rPr>
        <w:rFonts w:ascii="Calibri" w:hAnsi="Calibri" w:hint="default"/>
        <w:b w:val="0"/>
        <w:i w:val="0"/>
        <w:u w:val="none"/>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2" w15:restartNumberingAfterBreak="0">
    <w:nsid w:val="5A3E4695"/>
    <w:multiLevelType w:val="multilevel"/>
    <w:tmpl w:val="B53062B0"/>
    <w:numStyleLink w:val="AltAppendix"/>
  </w:abstractNum>
  <w:abstractNum w:abstractNumId="63" w15:restartNumberingAfterBreak="0">
    <w:nsid w:val="5B842735"/>
    <w:multiLevelType w:val="multilevel"/>
    <w:tmpl w:val="A5F65242"/>
    <w:styleLink w:val="NumParties"/>
    <w:lvl w:ilvl="0">
      <w:start w:val="1"/>
      <w:numFmt w:val="decimal"/>
      <w:pStyle w:val="Parties"/>
      <w:lvlText w:val="(%1)"/>
      <w:lvlJc w:val="left"/>
      <w:pPr>
        <w:tabs>
          <w:tab w:val="num" w:pos="709"/>
        </w:tabs>
        <w:ind w:left="709" w:hanging="709"/>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lvlText w:val=""/>
      <w:lvlJc w:val="left"/>
      <w:pPr>
        <w:tabs>
          <w:tab w:val="num" w:pos="0"/>
        </w:tabs>
        <w:ind w:left="0" w:firstLine="0"/>
      </w:pPr>
      <w:rPr>
        <w:rFonts w:hint="default"/>
      </w:rPr>
    </w:lvl>
  </w:abstractNum>
  <w:abstractNum w:abstractNumId="64" w15:restartNumberingAfterBreak="0">
    <w:nsid w:val="5BF470F7"/>
    <w:multiLevelType w:val="multilevel"/>
    <w:tmpl w:val="04FA62FA"/>
    <w:lvl w:ilvl="0">
      <w:start w:val="1"/>
      <w:numFmt w:val="decimal"/>
      <w:lvlRestart w:val="0"/>
      <w:pStyle w:val="ssqPrograma"/>
      <w:suff w:val="nothing"/>
      <w:lvlText w:val="programa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65" w15:restartNumberingAfterBreak="0">
    <w:nsid w:val="5BFB0315"/>
    <w:multiLevelType w:val="multilevel"/>
    <w:tmpl w:val="EDE87BE4"/>
    <w:lvl w:ilvl="0">
      <w:start w:val="1"/>
      <w:numFmt w:val="decimal"/>
      <w:lvlRestart w:val="0"/>
      <w:pStyle w:val="ssqAppendice"/>
      <w:suff w:val="nothing"/>
      <w:lvlText w:val="appendice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66" w15:restartNumberingAfterBreak="0">
    <w:nsid w:val="615F32C4"/>
    <w:multiLevelType w:val="multilevel"/>
    <w:tmpl w:val="09487728"/>
    <w:lvl w:ilvl="0">
      <w:start w:val="1"/>
      <w:numFmt w:val="decimal"/>
      <w:lvlRestart w:val="0"/>
      <w:pStyle w:val="ssqCalendario"/>
      <w:suff w:val="nothing"/>
      <w:lvlText w:val="calendario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67" w15:restartNumberingAfterBreak="0">
    <w:nsid w:val="64B70B2F"/>
    <w:multiLevelType w:val="multilevel"/>
    <w:tmpl w:val="FA02DA8E"/>
    <w:lvl w:ilvl="0">
      <w:start w:val="1"/>
      <w:numFmt w:val="decimal"/>
      <w:lvlRestart w:val="0"/>
      <w:pStyle w:val="ssq3"/>
      <w:suff w:val="nothing"/>
      <w:lvlText w:val="ملحق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68" w15:restartNumberingAfterBreak="0">
    <w:nsid w:val="675C02D9"/>
    <w:multiLevelType w:val="multilevel"/>
    <w:tmpl w:val="F84E6D7C"/>
    <w:lvl w:ilvl="0">
      <w:start w:val="1"/>
      <w:numFmt w:val="decimal"/>
      <w:lvlRestart w:val="0"/>
      <w:pStyle w:val="ssqBewijsstuk"/>
      <w:suff w:val="nothing"/>
      <w:lvlText w:val="bewijsstuk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69" w15:restartNumberingAfterBreak="0">
    <w:nsid w:val="68CD5981"/>
    <w:multiLevelType w:val="multilevel"/>
    <w:tmpl w:val="1F14A40C"/>
    <w:lvl w:ilvl="0">
      <w:start w:val="1"/>
      <w:numFmt w:val="decimal"/>
      <w:lvlRestart w:val="0"/>
      <w:pStyle w:val="ssqExibir"/>
      <w:suff w:val="nothing"/>
      <w:lvlText w:val="exibi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70" w15:restartNumberingAfterBreak="0">
    <w:nsid w:val="6A200A64"/>
    <w:multiLevelType w:val="multilevel"/>
    <w:tmpl w:val="B60C81CC"/>
    <w:numStyleLink w:val="NumPara"/>
  </w:abstractNum>
  <w:abstractNum w:abstractNumId="71" w15:restartNumberingAfterBreak="0">
    <w:nsid w:val="6B031620"/>
    <w:multiLevelType w:val="multilevel"/>
    <w:tmpl w:val="384AC36C"/>
    <w:lvl w:ilvl="0">
      <w:start w:val="1"/>
      <w:numFmt w:val="decimal"/>
      <w:lvlRestart w:val="0"/>
      <w:pStyle w:val="ssqSeccin"/>
      <w:suff w:val="nothing"/>
      <w:lvlText w:val="sección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72" w15:restartNumberingAfterBreak="0">
    <w:nsid w:val="6C442BF6"/>
    <w:multiLevelType w:val="multilevel"/>
    <w:tmpl w:val="64489968"/>
    <w:lvl w:ilvl="0">
      <w:start w:val="1"/>
      <w:numFmt w:val="none"/>
      <w:pStyle w:val="AltssRestartSchedule"/>
      <w:suff w:val="nothing"/>
      <w:lvlText w:val=""/>
      <w:lvlJc w:val="left"/>
      <w:pPr>
        <w:ind w:left="0" w:firstLine="0"/>
      </w:pPr>
      <w:rPr>
        <w:rFonts w:hint="default"/>
      </w:rPr>
    </w:lvl>
    <w:lvl w:ilvl="1">
      <w:start w:val="1"/>
      <w:numFmt w:val="decimal"/>
      <w:pStyle w:val="AltSSQSchedule"/>
      <w:suff w:val="space"/>
      <w:lvlText w:val="Schedule %2"/>
      <w:lvlJc w:val="left"/>
      <w:pPr>
        <w:ind w:left="0" w:firstLine="0"/>
      </w:pPr>
      <w:rPr>
        <w:rFonts w:hint="default"/>
        <w:caps/>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3" w15:restartNumberingAfterBreak="0">
    <w:nsid w:val="6DA357CF"/>
    <w:multiLevelType w:val="multilevel"/>
    <w:tmpl w:val="98D6E89E"/>
    <w:lvl w:ilvl="0">
      <w:start w:val="1"/>
      <w:numFmt w:val="upperLetter"/>
      <w:pStyle w:val="AltRecitals"/>
      <w:lvlText w:val="(%1)"/>
      <w:lvlJc w:val="left"/>
      <w:pPr>
        <w:tabs>
          <w:tab w:val="num" w:pos="709"/>
        </w:tabs>
        <w:ind w:left="709" w:hanging="709"/>
      </w:pPr>
      <w:rPr>
        <w:rFonts w:hint="default"/>
      </w:rPr>
    </w:lvl>
    <w:lvl w:ilvl="1">
      <w:start w:val="1"/>
      <w:numFmt w:val="none"/>
      <w:lvlText w:val=""/>
      <w:lvlJc w:val="left"/>
      <w:pPr>
        <w:ind w:left="0" w:firstLine="0"/>
      </w:pPr>
      <w:rPr>
        <w:rFonts w:hint="default"/>
      </w:rPr>
    </w:lvl>
    <w:lvl w:ilvl="2">
      <w:start w:val="1"/>
      <w:numFmt w:val="none"/>
      <w:lvlText w:val=""/>
      <w:lvlJc w:val="left"/>
      <w:pPr>
        <w:ind w:left="0" w:firstLine="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74" w15:restartNumberingAfterBreak="0">
    <w:nsid w:val="6F7F2C65"/>
    <w:multiLevelType w:val="multilevel"/>
    <w:tmpl w:val="2A74FCB0"/>
    <w:lvl w:ilvl="0">
      <w:start w:val="1"/>
      <w:numFmt w:val="decimal"/>
      <w:lvlRestart w:val="0"/>
      <w:pStyle w:val="ssq4"/>
      <w:suff w:val="nothing"/>
      <w:lvlText w:val="قسم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75" w15:restartNumberingAfterBreak="0">
    <w:nsid w:val="72A60E26"/>
    <w:multiLevelType w:val="hybridMultilevel"/>
    <w:tmpl w:val="15C0B924"/>
    <w:lvl w:ilvl="0" w:tplc="E5021372">
      <w:start w:val="1"/>
      <w:numFmt w:val="decimal"/>
      <w:lvlText w:val="%1)"/>
      <w:lvlJc w:val="left"/>
      <w:pPr>
        <w:ind w:left="1429"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6" w15:restartNumberingAfterBreak="0">
    <w:nsid w:val="7467555A"/>
    <w:multiLevelType w:val="multilevel"/>
    <w:tmpl w:val="8EA2576E"/>
    <w:name w:val="Main"/>
    <w:lvl w:ilvl="0">
      <w:start w:val="1"/>
      <w:numFmt w:val="decimal"/>
      <w:lvlText w:val="%1."/>
      <w:lvlJc w:val="left"/>
      <w:pPr>
        <w:tabs>
          <w:tab w:val="num" w:pos="709"/>
        </w:tabs>
        <w:ind w:left="709" w:hanging="709"/>
      </w:pPr>
      <w:rPr>
        <w:rFonts w:hint="default"/>
        <w:b w:val="0"/>
        <w:i w:val="0"/>
      </w:rPr>
    </w:lvl>
    <w:lvl w:ilvl="1">
      <w:start w:val="1"/>
      <w:numFmt w:val="decimal"/>
      <w:lvlText w:val="%1.%2"/>
      <w:lvlJc w:val="left"/>
      <w:pPr>
        <w:tabs>
          <w:tab w:val="num" w:pos="709"/>
        </w:tabs>
        <w:ind w:left="709" w:hanging="709"/>
      </w:pPr>
      <w:rPr>
        <w:rFonts w:hint="default"/>
        <w:b w:val="0"/>
        <w:i w:val="0"/>
      </w:rPr>
    </w:lvl>
    <w:lvl w:ilvl="2">
      <w:start w:val="1"/>
      <w:numFmt w:val="bullet"/>
      <w:lvlText w:val=""/>
      <w:lvlJc w:val="left"/>
      <w:pPr>
        <w:tabs>
          <w:tab w:val="num" w:pos="1418"/>
        </w:tabs>
        <w:ind w:left="1418" w:hanging="709"/>
      </w:pPr>
      <w:rPr>
        <w:rFonts w:ascii="Symbol" w:hAnsi="Symbol" w:hint="default"/>
        <w:b w:val="0"/>
        <w:i w:val="0"/>
        <w:color w:val="auto"/>
      </w:rPr>
    </w:lvl>
    <w:lvl w:ilvl="3">
      <w:start w:val="1"/>
      <w:numFmt w:val="none"/>
      <w:lvlText w:val="o"/>
      <w:lvlJc w:val="left"/>
      <w:pPr>
        <w:tabs>
          <w:tab w:val="num" w:pos="1985"/>
        </w:tabs>
        <w:ind w:left="1985" w:hanging="567"/>
      </w:pPr>
      <w:rPr>
        <w:rFonts w:hint="default"/>
        <w:b w:val="0"/>
        <w:i w:val="0"/>
        <w:color w:val="auto"/>
      </w:rPr>
    </w:lvl>
    <w:lvl w:ilvl="4">
      <w:start w:val="1"/>
      <w:numFmt w:val="none"/>
      <w:lvlText w:val="-"/>
      <w:lvlJc w:val="left"/>
      <w:pPr>
        <w:tabs>
          <w:tab w:val="num" w:pos="2552"/>
        </w:tabs>
        <w:ind w:left="2552" w:hanging="567"/>
      </w:pPr>
      <w:rPr>
        <w:rFonts w:hint="default"/>
        <w:b w:val="0"/>
        <w:i w:val="0"/>
      </w:rPr>
    </w:lvl>
    <w:lvl w:ilvl="5">
      <w:start w:val="1"/>
      <w:numFmt w:val="none"/>
      <w:lvlText w:val="-"/>
      <w:lvlJc w:val="left"/>
      <w:pPr>
        <w:tabs>
          <w:tab w:val="num" w:pos="3119"/>
        </w:tabs>
        <w:ind w:left="3119" w:hanging="567"/>
      </w:pPr>
      <w:rPr>
        <w:rFonts w:hint="default"/>
        <w:b w:val="0"/>
        <w:i w:val="0"/>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77" w15:restartNumberingAfterBreak="0">
    <w:nsid w:val="752B37AC"/>
    <w:multiLevelType w:val="multilevel"/>
    <w:tmpl w:val="F5D807EE"/>
    <w:lvl w:ilvl="0">
      <w:start w:val="1"/>
      <w:numFmt w:val="none"/>
      <w:suff w:val="nothing"/>
      <w:lvlText w:val=""/>
      <w:lvlJc w:val="left"/>
      <w:pPr>
        <w:ind w:left="0" w:firstLine="0"/>
      </w:pPr>
      <w:rPr>
        <w:rFonts w:hint="default"/>
      </w:rPr>
    </w:lvl>
    <w:lvl w:ilvl="1">
      <w:start w:val="1"/>
      <w:numFmt w:val="decimal"/>
      <w:lvlText w:val="%2."/>
      <w:lvlJc w:val="left"/>
      <w:pPr>
        <w:tabs>
          <w:tab w:val="num" w:pos="709"/>
        </w:tabs>
        <w:ind w:left="709" w:hanging="709"/>
      </w:pPr>
      <w:rPr>
        <w:rFonts w:hint="default"/>
        <w:b w:val="0"/>
      </w:rPr>
    </w:lvl>
    <w:lvl w:ilvl="2">
      <w:start w:val="1"/>
      <w:numFmt w:val="decimal"/>
      <w:lvlText w:val="%2.%3"/>
      <w:lvlJc w:val="left"/>
      <w:pPr>
        <w:tabs>
          <w:tab w:val="num" w:pos="709"/>
        </w:tabs>
        <w:ind w:left="709" w:hanging="709"/>
      </w:pPr>
      <w:rPr>
        <w:rFonts w:hint="default"/>
        <w:b w:val="0"/>
      </w:rPr>
    </w:lvl>
    <w:lvl w:ilvl="3">
      <w:start w:val="1"/>
      <w:numFmt w:val="upperLetter"/>
      <w:lvlText w:val="(%4)"/>
      <w:lvlJc w:val="left"/>
      <w:pPr>
        <w:tabs>
          <w:tab w:val="num" w:pos="1418"/>
        </w:tabs>
        <w:ind w:left="1418" w:hanging="709"/>
      </w:pPr>
      <w:rPr>
        <w:rFonts w:hint="default"/>
        <w:b w:val="0"/>
      </w:rPr>
    </w:lvl>
    <w:lvl w:ilvl="4">
      <w:start w:val="1"/>
      <w:numFmt w:val="decimal"/>
      <w:lvlText w:val="(%5)"/>
      <w:lvlJc w:val="left"/>
      <w:pPr>
        <w:tabs>
          <w:tab w:val="num" w:pos="1985"/>
        </w:tabs>
        <w:ind w:left="1985" w:hanging="567"/>
      </w:pPr>
      <w:rPr>
        <w:rFonts w:hint="default"/>
        <w:b w:val="0"/>
      </w:rPr>
    </w:lvl>
    <w:lvl w:ilvl="5">
      <w:start w:val="1"/>
      <w:numFmt w:val="lowerLetter"/>
      <w:lvlText w:val="(%6)"/>
      <w:lvlJc w:val="left"/>
      <w:pPr>
        <w:tabs>
          <w:tab w:val="num" w:pos="2552"/>
        </w:tabs>
        <w:ind w:left="2552" w:hanging="567"/>
      </w:pPr>
      <w:rPr>
        <w:rFonts w:hint="default"/>
        <w:b w:val="0"/>
      </w:rPr>
    </w:lvl>
    <w:lvl w:ilvl="6">
      <w:start w:val="1"/>
      <w:numFmt w:val="lowerRoman"/>
      <w:lvlText w:val="(%7)"/>
      <w:lvlJc w:val="left"/>
      <w:pPr>
        <w:tabs>
          <w:tab w:val="num" w:pos="3119"/>
        </w:tabs>
        <w:ind w:left="3119" w:hanging="567"/>
      </w:pPr>
      <w:rPr>
        <w:rFonts w:hint="default"/>
        <w:b w:val="0"/>
      </w:rPr>
    </w:lvl>
    <w:lvl w:ilvl="7">
      <w:start w:val="1"/>
      <w:numFmt w:val="none"/>
      <w:pStyle w:val="Heading7"/>
      <w:suff w:val="nothing"/>
      <w:lvlText w:val=""/>
      <w:lvlJc w:val="left"/>
      <w:pPr>
        <w:ind w:left="0" w:firstLine="0"/>
      </w:pPr>
      <w:rPr>
        <w:rFonts w:hint="default"/>
        <w:b w:val="0"/>
      </w:rPr>
    </w:lvl>
    <w:lvl w:ilvl="8">
      <w:start w:val="1"/>
      <w:numFmt w:val="none"/>
      <w:pStyle w:val="Heading8"/>
      <w:suff w:val="nothing"/>
      <w:lvlText w:val=""/>
      <w:lvlJc w:val="left"/>
      <w:pPr>
        <w:ind w:left="0" w:firstLine="0"/>
      </w:pPr>
      <w:rPr>
        <w:rFonts w:hint="default"/>
        <w:b w:val="0"/>
      </w:rPr>
    </w:lvl>
  </w:abstractNum>
  <w:abstractNum w:abstractNumId="78" w15:restartNumberingAfterBreak="0">
    <w:nsid w:val="761C560F"/>
    <w:multiLevelType w:val="multilevel"/>
    <w:tmpl w:val="8A846BFC"/>
    <w:lvl w:ilvl="0">
      <w:start w:val="1"/>
      <w:numFmt w:val="decimal"/>
      <w:lvlRestart w:val="0"/>
      <w:pStyle w:val="ssq5"/>
      <w:suff w:val="nothing"/>
      <w:lvlText w:val="جدول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79" w15:restartNumberingAfterBreak="0">
    <w:nsid w:val="7A2C410F"/>
    <w:multiLevelType w:val="hybridMultilevel"/>
    <w:tmpl w:val="839095FA"/>
    <w:lvl w:ilvl="0" w:tplc="1E642FDC">
      <w:start w:val="1"/>
      <w:numFmt w:val="decimal"/>
      <w:pStyle w:val="ssUserEntryNumbered"/>
      <w:lvlText w:val="(%1)"/>
      <w:lvlJc w:val="left"/>
      <w:pPr>
        <w:tabs>
          <w:tab w:val="num" w:pos="851"/>
        </w:tabs>
        <w:ind w:left="851" w:hanging="851"/>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0" w15:restartNumberingAfterBreak="0">
    <w:nsid w:val="7B8037EF"/>
    <w:multiLevelType w:val="multilevel"/>
    <w:tmpl w:val="97CACDFA"/>
    <w:lvl w:ilvl="0">
      <w:start w:val="1"/>
      <w:numFmt w:val="decimal"/>
      <w:lvlRestart w:val="0"/>
      <w:pStyle w:val="ssqAnhang"/>
      <w:suff w:val="nothing"/>
      <w:lvlText w:val="anhang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num w:numId="1" w16cid:durableId="1472018548">
    <w:abstractNumId w:val="57"/>
  </w:num>
  <w:num w:numId="2" w16cid:durableId="1496413508">
    <w:abstractNumId w:val="23"/>
  </w:num>
  <w:num w:numId="3" w16cid:durableId="620572157">
    <w:abstractNumId w:val="58"/>
  </w:num>
  <w:num w:numId="4" w16cid:durableId="1106461017">
    <w:abstractNumId w:val="80"/>
  </w:num>
  <w:num w:numId="5" w16cid:durableId="1463424611">
    <w:abstractNumId w:val="16"/>
  </w:num>
  <w:num w:numId="6" w16cid:durableId="1706906102">
    <w:abstractNumId w:val="25"/>
  </w:num>
  <w:num w:numId="7" w16cid:durableId="1317414482">
    <w:abstractNumId w:val="65"/>
  </w:num>
  <w:num w:numId="8" w16cid:durableId="1130629883">
    <w:abstractNumId w:val="41"/>
  </w:num>
  <w:num w:numId="9" w16cid:durableId="575628824">
    <w:abstractNumId w:val="68"/>
  </w:num>
  <w:num w:numId="10" w16cid:durableId="398679057">
    <w:abstractNumId w:val="45"/>
  </w:num>
  <w:num w:numId="11" w16cid:durableId="1664623656">
    <w:abstractNumId w:val="66"/>
  </w:num>
  <w:num w:numId="12" w16cid:durableId="1859344054">
    <w:abstractNumId w:val="44"/>
  </w:num>
  <w:num w:numId="13" w16cid:durableId="773481370">
    <w:abstractNumId w:val="69"/>
  </w:num>
  <w:num w:numId="14" w16cid:durableId="2091349699">
    <w:abstractNumId w:val="7"/>
  </w:num>
  <w:num w:numId="15" w16cid:durableId="124353879">
    <w:abstractNumId w:val="36"/>
  </w:num>
  <w:num w:numId="16" w16cid:durableId="1644386838">
    <w:abstractNumId w:val="10"/>
  </w:num>
  <w:num w:numId="17" w16cid:durableId="798915631">
    <w:abstractNumId w:val="49"/>
  </w:num>
  <w:num w:numId="18" w16cid:durableId="1937589082">
    <w:abstractNumId w:val="8"/>
  </w:num>
  <w:num w:numId="19" w16cid:durableId="607661951">
    <w:abstractNumId w:val="51"/>
  </w:num>
  <w:num w:numId="20" w16cid:durableId="574365045">
    <w:abstractNumId w:val="30"/>
  </w:num>
  <w:num w:numId="21" w16cid:durableId="1955019432">
    <w:abstractNumId w:val="64"/>
  </w:num>
  <w:num w:numId="22" w16cid:durableId="784813622">
    <w:abstractNumId w:val="18"/>
  </w:num>
  <w:num w:numId="23" w16cid:durableId="523396951">
    <w:abstractNumId w:val="71"/>
  </w:num>
  <w:num w:numId="24" w16cid:durableId="764495792">
    <w:abstractNumId w:val="19"/>
  </w:num>
  <w:num w:numId="25" w16cid:durableId="1393649534">
    <w:abstractNumId w:val="59"/>
  </w:num>
  <w:num w:numId="26" w16cid:durableId="1453935783">
    <w:abstractNumId w:val="21"/>
  </w:num>
  <w:num w:numId="27" w16cid:durableId="181631585">
    <w:abstractNumId w:val="46"/>
  </w:num>
  <w:num w:numId="28" w16cid:durableId="1636639685">
    <w:abstractNumId w:val="78"/>
  </w:num>
  <w:num w:numId="29" w16cid:durableId="1734497663">
    <w:abstractNumId w:val="74"/>
  </w:num>
  <w:num w:numId="30" w16cid:durableId="809244603">
    <w:abstractNumId w:val="4"/>
  </w:num>
  <w:num w:numId="31" w16cid:durableId="515538219">
    <w:abstractNumId w:val="67"/>
  </w:num>
  <w:num w:numId="32" w16cid:durableId="1424186188">
    <w:abstractNumId w:val="26"/>
  </w:num>
  <w:num w:numId="33" w16cid:durableId="1115832235">
    <w:abstractNumId w:val="42"/>
  </w:num>
  <w:num w:numId="34" w16cid:durableId="1567912662">
    <w:abstractNumId w:val="35"/>
  </w:num>
  <w:num w:numId="35" w16cid:durableId="118765630">
    <w:abstractNumId w:val="63"/>
  </w:num>
  <w:num w:numId="36" w16cid:durableId="1534536072">
    <w:abstractNumId w:val="12"/>
  </w:num>
  <w:num w:numId="37" w16cid:durableId="317613303">
    <w:abstractNumId w:val="47"/>
  </w:num>
  <w:num w:numId="38" w16cid:durableId="1538615693">
    <w:abstractNumId w:val="3"/>
  </w:num>
  <w:num w:numId="39" w16cid:durableId="1210652182">
    <w:abstractNumId w:val="6"/>
  </w:num>
  <w:num w:numId="40" w16cid:durableId="278994429">
    <w:abstractNumId w:val="39"/>
  </w:num>
  <w:num w:numId="41" w16cid:durableId="601456079">
    <w:abstractNumId w:val="40"/>
  </w:num>
  <w:num w:numId="42" w16cid:durableId="78528174">
    <w:abstractNumId w:val="77"/>
  </w:num>
  <w:num w:numId="43" w16cid:durableId="2139955238">
    <w:abstractNumId w:val="61"/>
  </w:num>
  <w:num w:numId="44" w16cid:durableId="232394360">
    <w:abstractNumId w:val="22"/>
  </w:num>
  <w:num w:numId="45" w16cid:durableId="2005163323">
    <w:abstractNumId w:val="70"/>
  </w:num>
  <w:num w:numId="46" w16cid:durableId="915438908">
    <w:abstractNumId w:val="31"/>
  </w:num>
  <w:num w:numId="47" w16cid:durableId="854659653">
    <w:abstractNumId w:val="60"/>
  </w:num>
  <w:num w:numId="48" w16cid:durableId="948195641">
    <w:abstractNumId w:val="48"/>
  </w:num>
  <w:num w:numId="49" w16cid:durableId="2089695750">
    <w:abstractNumId w:val="13"/>
  </w:num>
  <w:num w:numId="50" w16cid:durableId="986321788">
    <w:abstractNumId w:val="14"/>
  </w:num>
  <w:num w:numId="51" w16cid:durableId="1075319921">
    <w:abstractNumId w:val="34"/>
  </w:num>
  <w:num w:numId="52" w16cid:durableId="375744273">
    <w:abstractNumId w:val="54"/>
  </w:num>
  <w:num w:numId="53" w16cid:durableId="781454634">
    <w:abstractNumId w:val="79"/>
  </w:num>
  <w:num w:numId="54" w16cid:durableId="370493311">
    <w:abstractNumId w:val="20"/>
  </w:num>
  <w:num w:numId="55" w16cid:durableId="206575962">
    <w:abstractNumId w:val="52"/>
  </w:num>
  <w:num w:numId="56" w16cid:durableId="165480812">
    <w:abstractNumId w:val="55"/>
  </w:num>
  <w:num w:numId="57" w16cid:durableId="1870485467">
    <w:abstractNumId w:val="38"/>
  </w:num>
  <w:num w:numId="58" w16cid:durableId="67844601">
    <w:abstractNumId w:val="33"/>
  </w:num>
  <w:num w:numId="59" w16cid:durableId="594634399">
    <w:abstractNumId w:val="43"/>
  </w:num>
  <w:num w:numId="60" w16cid:durableId="696123802">
    <w:abstractNumId w:val="52"/>
  </w:num>
  <w:num w:numId="61" w16cid:durableId="47921171">
    <w:abstractNumId w:val="32"/>
  </w:num>
  <w:num w:numId="62" w16cid:durableId="1137651222">
    <w:abstractNumId w:val="62"/>
  </w:num>
  <w:num w:numId="63" w16cid:durableId="1756900402">
    <w:abstractNumId w:val="24"/>
  </w:num>
  <w:num w:numId="64" w16cid:durableId="450906885">
    <w:abstractNumId w:val="32"/>
  </w:num>
  <w:num w:numId="65" w16cid:durableId="1485320950">
    <w:abstractNumId w:val="72"/>
  </w:num>
  <w:num w:numId="66" w16cid:durableId="1327704747">
    <w:abstractNumId w:val="43"/>
  </w:num>
  <w:num w:numId="67" w16cid:durableId="324169736">
    <w:abstractNumId w:val="2"/>
  </w:num>
  <w:num w:numId="68" w16cid:durableId="1253783688">
    <w:abstractNumId w:val="11"/>
  </w:num>
  <w:num w:numId="69" w16cid:durableId="1238515875">
    <w:abstractNumId w:val="73"/>
  </w:num>
  <w:num w:numId="70" w16cid:durableId="57686335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16cid:durableId="403912166">
    <w:abstractNumId w:val="1"/>
  </w:num>
  <w:num w:numId="72" w16cid:durableId="981348668">
    <w:abstractNumId w:val="5"/>
  </w:num>
  <w:num w:numId="73" w16cid:durableId="326134594">
    <w:abstractNumId w:val="28"/>
  </w:num>
  <w:num w:numId="74" w16cid:durableId="617757053">
    <w:abstractNumId w:val="56"/>
  </w:num>
  <w:num w:numId="75" w16cid:durableId="1186098235">
    <w:abstractNumId w:val="53"/>
  </w:num>
  <w:num w:numId="76" w16cid:durableId="773482033">
    <w:abstractNumId w:val="29"/>
  </w:num>
  <w:num w:numId="77" w16cid:durableId="400714375">
    <w:abstractNumId w:val="37"/>
  </w:num>
  <w:num w:numId="78" w16cid:durableId="551621576">
    <w:abstractNumId w:val="9"/>
  </w:num>
  <w:num w:numId="79" w16cid:durableId="2116095444">
    <w:abstractNumId w:val="27"/>
  </w:num>
  <w:num w:numId="80" w16cid:durableId="1010910355">
    <w:abstractNumId w:val="75"/>
  </w:num>
  <w:numIdMacAtCleanup w:val="8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2FC0"/>
    <w:rsid w:val="00000B11"/>
    <w:rsid w:val="00000B60"/>
    <w:rsid w:val="00000EE0"/>
    <w:rsid w:val="00000F8D"/>
    <w:rsid w:val="000031A6"/>
    <w:rsid w:val="0000323A"/>
    <w:rsid w:val="00003C62"/>
    <w:rsid w:val="0000435E"/>
    <w:rsid w:val="0000536B"/>
    <w:rsid w:val="00007ABB"/>
    <w:rsid w:val="00010057"/>
    <w:rsid w:val="0001016A"/>
    <w:rsid w:val="0001034B"/>
    <w:rsid w:val="000104B5"/>
    <w:rsid w:val="00011E10"/>
    <w:rsid w:val="0001226D"/>
    <w:rsid w:val="00012C57"/>
    <w:rsid w:val="00012CF9"/>
    <w:rsid w:val="00013C60"/>
    <w:rsid w:val="0001601B"/>
    <w:rsid w:val="00016412"/>
    <w:rsid w:val="0001706C"/>
    <w:rsid w:val="00017985"/>
    <w:rsid w:val="000205C3"/>
    <w:rsid w:val="000210E6"/>
    <w:rsid w:val="00021E11"/>
    <w:rsid w:val="0002210D"/>
    <w:rsid w:val="000226B1"/>
    <w:rsid w:val="0002275B"/>
    <w:rsid w:val="00022C93"/>
    <w:rsid w:val="00023509"/>
    <w:rsid w:val="0002377F"/>
    <w:rsid w:val="00024030"/>
    <w:rsid w:val="000243CA"/>
    <w:rsid w:val="0002596A"/>
    <w:rsid w:val="00026247"/>
    <w:rsid w:val="00026471"/>
    <w:rsid w:val="00027758"/>
    <w:rsid w:val="0002786F"/>
    <w:rsid w:val="00030732"/>
    <w:rsid w:val="0003083D"/>
    <w:rsid w:val="0003173A"/>
    <w:rsid w:val="00031BCB"/>
    <w:rsid w:val="00033E07"/>
    <w:rsid w:val="00034185"/>
    <w:rsid w:val="0003545D"/>
    <w:rsid w:val="00035844"/>
    <w:rsid w:val="00035A17"/>
    <w:rsid w:val="00036CF8"/>
    <w:rsid w:val="0003733D"/>
    <w:rsid w:val="00040099"/>
    <w:rsid w:val="0004018C"/>
    <w:rsid w:val="000404E0"/>
    <w:rsid w:val="000405B0"/>
    <w:rsid w:val="00040F02"/>
    <w:rsid w:val="00041123"/>
    <w:rsid w:val="00041597"/>
    <w:rsid w:val="000417AF"/>
    <w:rsid w:val="0004190C"/>
    <w:rsid w:val="00042C79"/>
    <w:rsid w:val="00042F99"/>
    <w:rsid w:val="00043753"/>
    <w:rsid w:val="00043884"/>
    <w:rsid w:val="00044479"/>
    <w:rsid w:val="000444B7"/>
    <w:rsid w:val="00044973"/>
    <w:rsid w:val="00044E5C"/>
    <w:rsid w:val="000451AF"/>
    <w:rsid w:val="00045456"/>
    <w:rsid w:val="0004791B"/>
    <w:rsid w:val="00047F19"/>
    <w:rsid w:val="00047F29"/>
    <w:rsid w:val="000500F3"/>
    <w:rsid w:val="00050323"/>
    <w:rsid w:val="00050998"/>
    <w:rsid w:val="00050DA6"/>
    <w:rsid w:val="00050FA9"/>
    <w:rsid w:val="00052808"/>
    <w:rsid w:val="00052B35"/>
    <w:rsid w:val="00052D05"/>
    <w:rsid w:val="00053373"/>
    <w:rsid w:val="0005373E"/>
    <w:rsid w:val="00053E24"/>
    <w:rsid w:val="00053E5B"/>
    <w:rsid w:val="0005468D"/>
    <w:rsid w:val="00054DE8"/>
    <w:rsid w:val="00055045"/>
    <w:rsid w:val="00055162"/>
    <w:rsid w:val="000552E5"/>
    <w:rsid w:val="000562EC"/>
    <w:rsid w:val="000566B6"/>
    <w:rsid w:val="000575C7"/>
    <w:rsid w:val="00057C2D"/>
    <w:rsid w:val="00060569"/>
    <w:rsid w:val="000616DF"/>
    <w:rsid w:val="00061C84"/>
    <w:rsid w:val="00062631"/>
    <w:rsid w:val="00062656"/>
    <w:rsid w:val="00063702"/>
    <w:rsid w:val="00064AB0"/>
    <w:rsid w:val="000657B5"/>
    <w:rsid w:val="00066391"/>
    <w:rsid w:val="0006720C"/>
    <w:rsid w:val="0006744B"/>
    <w:rsid w:val="00067DAE"/>
    <w:rsid w:val="00070A7D"/>
    <w:rsid w:val="00070D47"/>
    <w:rsid w:val="000719F1"/>
    <w:rsid w:val="00072118"/>
    <w:rsid w:val="0007282E"/>
    <w:rsid w:val="00073242"/>
    <w:rsid w:val="00074168"/>
    <w:rsid w:val="00074602"/>
    <w:rsid w:val="00074B3F"/>
    <w:rsid w:val="00074BA1"/>
    <w:rsid w:val="00074EB6"/>
    <w:rsid w:val="00074F11"/>
    <w:rsid w:val="000752BE"/>
    <w:rsid w:val="00076C47"/>
    <w:rsid w:val="000770EF"/>
    <w:rsid w:val="0008009E"/>
    <w:rsid w:val="00080AAC"/>
    <w:rsid w:val="00081B90"/>
    <w:rsid w:val="00081DD1"/>
    <w:rsid w:val="00081F92"/>
    <w:rsid w:val="000822A2"/>
    <w:rsid w:val="000829C1"/>
    <w:rsid w:val="00083381"/>
    <w:rsid w:val="00083685"/>
    <w:rsid w:val="00083FEC"/>
    <w:rsid w:val="000845BE"/>
    <w:rsid w:val="000855B4"/>
    <w:rsid w:val="00085645"/>
    <w:rsid w:val="00085846"/>
    <w:rsid w:val="00085F76"/>
    <w:rsid w:val="0008605D"/>
    <w:rsid w:val="00086348"/>
    <w:rsid w:val="00086BA2"/>
    <w:rsid w:val="00087B6A"/>
    <w:rsid w:val="00087E22"/>
    <w:rsid w:val="000903B5"/>
    <w:rsid w:val="00090800"/>
    <w:rsid w:val="000918AF"/>
    <w:rsid w:val="0009210A"/>
    <w:rsid w:val="00093778"/>
    <w:rsid w:val="00093ABE"/>
    <w:rsid w:val="00093B90"/>
    <w:rsid w:val="0009493C"/>
    <w:rsid w:val="00094AEE"/>
    <w:rsid w:val="00097535"/>
    <w:rsid w:val="000A008F"/>
    <w:rsid w:val="000A1355"/>
    <w:rsid w:val="000A15D8"/>
    <w:rsid w:val="000A171D"/>
    <w:rsid w:val="000A1C8B"/>
    <w:rsid w:val="000A276C"/>
    <w:rsid w:val="000A27F3"/>
    <w:rsid w:val="000A2A42"/>
    <w:rsid w:val="000A2D69"/>
    <w:rsid w:val="000A3088"/>
    <w:rsid w:val="000A35B8"/>
    <w:rsid w:val="000A480B"/>
    <w:rsid w:val="000A500C"/>
    <w:rsid w:val="000A5FA9"/>
    <w:rsid w:val="000A7028"/>
    <w:rsid w:val="000A7030"/>
    <w:rsid w:val="000A7539"/>
    <w:rsid w:val="000A7F0A"/>
    <w:rsid w:val="000B047F"/>
    <w:rsid w:val="000B0896"/>
    <w:rsid w:val="000B0FF1"/>
    <w:rsid w:val="000B1054"/>
    <w:rsid w:val="000B17DE"/>
    <w:rsid w:val="000B190A"/>
    <w:rsid w:val="000B1E2D"/>
    <w:rsid w:val="000B27D8"/>
    <w:rsid w:val="000B2827"/>
    <w:rsid w:val="000B2C9C"/>
    <w:rsid w:val="000B322C"/>
    <w:rsid w:val="000B36DB"/>
    <w:rsid w:val="000B4108"/>
    <w:rsid w:val="000B4182"/>
    <w:rsid w:val="000B45B8"/>
    <w:rsid w:val="000B6344"/>
    <w:rsid w:val="000B64C8"/>
    <w:rsid w:val="000B683B"/>
    <w:rsid w:val="000B7403"/>
    <w:rsid w:val="000B76A7"/>
    <w:rsid w:val="000B7A8D"/>
    <w:rsid w:val="000B7CE3"/>
    <w:rsid w:val="000C0167"/>
    <w:rsid w:val="000C01F1"/>
    <w:rsid w:val="000C0E6D"/>
    <w:rsid w:val="000C117C"/>
    <w:rsid w:val="000C252F"/>
    <w:rsid w:val="000C2D20"/>
    <w:rsid w:val="000C3390"/>
    <w:rsid w:val="000C3B39"/>
    <w:rsid w:val="000C4169"/>
    <w:rsid w:val="000C4DC8"/>
    <w:rsid w:val="000C52F6"/>
    <w:rsid w:val="000C556A"/>
    <w:rsid w:val="000C56B5"/>
    <w:rsid w:val="000C63ED"/>
    <w:rsid w:val="000C66BE"/>
    <w:rsid w:val="000C6773"/>
    <w:rsid w:val="000C6C5A"/>
    <w:rsid w:val="000C704A"/>
    <w:rsid w:val="000C70B4"/>
    <w:rsid w:val="000C7388"/>
    <w:rsid w:val="000D0959"/>
    <w:rsid w:val="000D0C99"/>
    <w:rsid w:val="000D1201"/>
    <w:rsid w:val="000D1F15"/>
    <w:rsid w:val="000D1F5B"/>
    <w:rsid w:val="000D53EB"/>
    <w:rsid w:val="000D6160"/>
    <w:rsid w:val="000D6C4B"/>
    <w:rsid w:val="000D70FB"/>
    <w:rsid w:val="000D7179"/>
    <w:rsid w:val="000D79B1"/>
    <w:rsid w:val="000E027C"/>
    <w:rsid w:val="000E0746"/>
    <w:rsid w:val="000E0BC6"/>
    <w:rsid w:val="000E0C90"/>
    <w:rsid w:val="000E18CB"/>
    <w:rsid w:val="000E1A1F"/>
    <w:rsid w:val="000E2D9A"/>
    <w:rsid w:val="000E309D"/>
    <w:rsid w:val="000E334B"/>
    <w:rsid w:val="000E36B5"/>
    <w:rsid w:val="000E3F53"/>
    <w:rsid w:val="000E4324"/>
    <w:rsid w:val="000E4987"/>
    <w:rsid w:val="000E51AD"/>
    <w:rsid w:val="000E561F"/>
    <w:rsid w:val="000E7132"/>
    <w:rsid w:val="000E7A08"/>
    <w:rsid w:val="000E7D4A"/>
    <w:rsid w:val="000E7E6C"/>
    <w:rsid w:val="000F0C26"/>
    <w:rsid w:val="000F0FCD"/>
    <w:rsid w:val="000F10F6"/>
    <w:rsid w:val="000F24D0"/>
    <w:rsid w:val="000F2646"/>
    <w:rsid w:val="000F302A"/>
    <w:rsid w:val="000F3331"/>
    <w:rsid w:val="000F4225"/>
    <w:rsid w:val="000F4607"/>
    <w:rsid w:val="000F7769"/>
    <w:rsid w:val="000F7E47"/>
    <w:rsid w:val="001002F3"/>
    <w:rsid w:val="0010034F"/>
    <w:rsid w:val="001003F6"/>
    <w:rsid w:val="001007B4"/>
    <w:rsid w:val="00100C24"/>
    <w:rsid w:val="00101095"/>
    <w:rsid w:val="00101241"/>
    <w:rsid w:val="001015BD"/>
    <w:rsid w:val="00101C7A"/>
    <w:rsid w:val="00101F5C"/>
    <w:rsid w:val="00102AA3"/>
    <w:rsid w:val="001036D8"/>
    <w:rsid w:val="0010385C"/>
    <w:rsid w:val="001039C0"/>
    <w:rsid w:val="001047FD"/>
    <w:rsid w:val="00104BF8"/>
    <w:rsid w:val="0010575C"/>
    <w:rsid w:val="00105789"/>
    <w:rsid w:val="001059FF"/>
    <w:rsid w:val="00105C7E"/>
    <w:rsid w:val="00105F15"/>
    <w:rsid w:val="00105FD7"/>
    <w:rsid w:val="001060FD"/>
    <w:rsid w:val="00106A3D"/>
    <w:rsid w:val="00106AE9"/>
    <w:rsid w:val="00107167"/>
    <w:rsid w:val="001071BA"/>
    <w:rsid w:val="001072E4"/>
    <w:rsid w:val="00107397"/>
    <w:rsid w:val="001074DB"/>
    <w:rsid w:val="00107B06"/>
    <w:rsid w:val="00107DCB"/>
    <w:rsid w:val="00110214"/>
    <w:rsid w:val="0011086E"/>
    <w:rsid w:val="00111682"/>
    <w:rsid w:val="001124BF"/>
    <w:rsid w:val="0011293A"/>
    <w:rsid w:val="00112D29"/>
    <w:rsid w:val="00113029"/>
    <w:rsid w:val="00113340"/>
    <w:rsid w:val="001138CD"/>
    <w:rsid w:val="001138DB"/>
    <w:rsid w:val="0011452A"/>
    <w:rsid w:val="00114801"/>
    <w:rsid w:val="00114988"/>
    <w:rsid w:val="001158F0"/>
    <w:rsid w:val="00115D13"/>
    <w:rsid w:val="00116515"/>
    <w:rsid w:val="001165BF"/>
    <w:rsid w:val="00116A55"/>
    <w:rsid w:val="00116C4D"/>
    <w:rsid w:val="00116E22"/>
    <w:rsid w:val="00116E7B"/>
    <w:rsid w:val="001170A2"/>
    <w:rsid w:val="00117647"/>
    <w:rsid w:val="00117CCD"/>
    <w:rsid w:val="00117CF1"/>
    <w:rsid w:val="00117EA4"/>
    <w:rsid w:val="0012238F"/>
    <w:rsid w:val="0012300F"/>
    <w:rsid w:val="00123D1C"/>
    <w:rsid w:val="00123D31"/>
    <w:rsid w:val="0012422A"/>
    <w:rsid w:val="0012425F"/>
    <w:rsid w:val="00124E24"/>
    <w:rsid w:val="0012557F"/>
    <w:rsid w:val="0012559C"/>
    <w:rsid w:val="00126038"/>
    <w:rsid w:val="0012659F"/>
    <w:rsid w:val="0012738A"/>
    <w:rsid w:val="0012789D"/>
    <w:rsid w:val="001302D3"/>
    <w:rsid w:val="00131473"/>
    <w:rsid w:val="00131CF9"/>
    <w:rsid w:val="001327B6"/>
    <w:rsid w:val="00133521"/>
    <w:rsid w:val="00133E7C"/>
    <w:rsid w:val="00134261"/>
    <w:rsid w:val="00134578"/>
    <w:rsid w:val="0013458B"/>
    <w:rsid w:val="00136958"/>
    <w:rsid w:val="00136E25"/>
    <w:rsid w:val="00136F8B"/>
    <w:rsid w:val="001372D2"/>
    <w:rsid w:val="001405D1"/>
    <w:rsid w:val="00140EDB"/>
    <w:rsid w:val="00141EE9"/>
    <w:rsid w:val="001425A1"/>
    <w:rsid w:val="00142DCB"/>
    <w:rsid w:val="00143031"/>
    <w:rsid w:val="001431B2"/>
    <w:rsid w:val="001432AA"/>
    <w:rsid w:val="0014373C"/>
    <w:rsid w:val="001437CC"/>
    <w:rsid w:val="0014520A"/>
    <w:rsid w:val="00145D7A"/>
    <w:rsid w:val="001461F4"/>
    <w:rsid w:val="00146B8F"/>
    <w:rsid w:val="00146E55"/>
    <w:rsid w:val="001471BD"/>
    <w:rsid w:val="00147740"/>
    <w:rsid w:val="00147F06"/>
    <w:rsid w:val="00147FC1"/>
    <w:rsid w:val="001505CD"/>
    <w:rsid w:val="001509CF"/>
    <w:rsid w:val="00151293"/>
    <w:rsid w:val="00151482"/>
    <w:rsid w:val="00151BE0"/>
    <w:rsid w:val="00152556"/>
    <w:rsid w:val="0015309A"/>
    <w:rsid w:val="00153FB0"/>
    <w:rsid w:val="001544AC"/>
    <w:rsid w:val="001544F2"/>
    <w:rsid w:val="001545DC"/>
    <w:rsid w:val="00154721"/>
    <w:rsid w:val="00155822"/>
    <w:rsid w:val="00155B80"/>
    <w:rsid w:val="00155B84"/>
    <w:rsid w:val="001561CA"/>
    <w:rsid w:val="0015640A"/>
    <w:rsid w:val="00156778"/>
    <w:rsid w:val="00156DA0"/>
    <w:rsid w:val="00156F8A"/>
    <w:rsid w:val="001570C6"/>
    <w:rsid w:val="0015718B"/>
    <w:rsid w:val="001577AE"/>
    <w:rsid w:val="00160BC1"/>
    <w:rsid w:val="00161C7A"/>
    <w:rsid w:val="0016258F"/>
    <w:rsid w:val="001629C1"/>
    <w:rsid w:val="00163DA2"/>
    <w:rsid w:val="00163F4C"/>
    <w:rsid w:val="00164738"/>
    <w:rsid w:val="001650B4"/>
    <w:rsid w:val="0016601D"/>
    <w:rsid w:val="00166C92"/>
    <w:rsid w:val="0017011B"/>
    <w:rsid w:val="001707DC"/>
    <w:rsid w:val="00170B7C"/>
    <w:rsid w:val="00170D08"/>
    <w:rsid w:val="001714BF"/>
    <w:rsid w:val="00172BA8"/>
    <w:rsid w:val="00174346"/>
    <w:rsid w:val="0017482E"/>
    <w:rsid w:val="00174B71"/>
    <w:rsid w:val="001759E3"/>
    <w:rsid w:val="00175B5C"/>
    <w:rsid w:val="00175B96"/>
    <w:rsid w:val="00176101"/>
    <w:rsid w:val="001761A4"/>
    <w:rsid w:val="00176254"/>
    <w:rsid w:val="0017639E"/>
    <w:rsid w:val="00176ABC"/>
    <w:rsid w:val="00176BD7"/>
    <w:rsid w:val="00176D7E"/>
    <w:rsid w:val="00177D2F"/>
    <w:rsid w:val="00180012"/>
    <w:rsid w:val="00180072"/>
    <w:rsid w:val="00180777"/>
    <w:rsid w:val="00181086"/>
    <w:rsid w:val="001813A1"/>
    <w:rsid w:val="00181606"/>
    <w:rsid w:val="0018282B"/>
    <w:rsid w:val="00183538"/>
    <w:rsid w:val="00183AF9"/>
    <w:rsid w:val="001860DE"/>
    <w:rsid w:val="001861E9"/>
    <w:rsid w:val="00186265"/>
    <w:rsid w:val="00186697"/>
    <w:rsid w:val="00186D99"/>
    <w:rsid w:val="00187353"/>
    <w:rsid w:val="00187366"/>
    <w:rsid w:val="00187A99"/>
    <w:rsid w:val="00190080"/>
    <w:rsid w:val="001902E4"/>
    <w:rsid w:val="00190C90"/>
    <w:rsid w:val="00191C60"/>
    <w:rsid w:val="001920E8"/>
    <w:rsid w:val="00193306"/>
    <w:rsid w:val="00193914"/>
    <w:rsid w:val="00193F20"/>
    <w:rsid w:val="00193F62"/>
    <w:rsid w:val="00193FCF"/>
    <w:rsid w:val="00194B5A"/>
    <w:rsid w:val="00194B7D"/>
    <w:rsid w:val="00195646"/>
    <w:rsid w:val="00195E0A"/>
    <w:rsid w:val="00196550"/>
    <w:rsid w:val="00196D9F"/>
    <w:rsid w:val="00196E51"/>
    <w:rsid w:val="00197794"/>
    <w:rsid w:val="001A0220"/>
    <w:rsid w:val="001A0538"/>
    <w:rsid w:val="001A0A4B"/>
    <w:rsid w:val="001A0D24"/>
    <w:rsid w:val="001A1125"/>
    <w:rsid w:val="001A1503"/>
    <w:rsid w:val="001A1542"/>
    <w:rsid w:val="001A1F18"/>
    <w:rsid w:val="001A210C"/>
    <w:rsid w:val="001A30FC"/>
    <w:rsid w:val="001A3B17"/>
    <w:rsid w:val="001A4022"/>
    <w:rsid w:val="001A4229"/>
    <w:rsid w:val="001A45E7"/>
    <w:rsid w:val="001A4979"/>
    <w:rsid w:val="001A508D"/>
    <w:rsid w:val="001A51DD"/>
    <w:rsid w:val="001A562B"/>
    <w:rsid w:val="001A7382"/>
    <w:rsid w:val="001B0C42"/>
    <w:rsid w:val="001B1210"/>
    <w:rsid w:val="001B218C"/>
    <w:rsid w:val="001B21E7"/>
    <w:rsid w:val="001B2249"/>
    <w:rsid w:val="001B260B"/>
    <w:rsid w:val="001B29BE"/>
    <w:rsid w:val="001B2A10"/>
    <w:rsid w:val="001B2A7E"/>
    <w:rsid w:val="001B2F68"/>
    <w:rsid w:val="001B3285"/>
    <w:rsid w:val="001B3611"/>
    <w:rsid w:val="001B4277"/>
    <w:rsid w:val="001B4D1C"/>
    <w:rsid w:val="001B4D35"/>
    <w:rsid w:val="001B4EC9"/>
    <w:rsid w:val="001B4FF0"/>
    <w:rsid w:val="001B55C6"/>
    <w:rsid w:val="001B5A11"/>
    <w:rsid w:val="001B65CB"/>
    <w:rsid w:val="001B705D"/>
    <w:rsid w:val="001C14F3"/>
    <w:rsid w:val="001C19F3"/>
    <w:rsid w:val="001C2140"/>
    <w:rsid w:val="001C2F41"/>
    <w:rsid w:val="001C463A"/>
    <w:rsid w:val="001C4FAE"/>
    <w:rsid w:val="001C5795"/>
    <w:rsid w:val="001C5CFF"/>
    <w:rsid w:val="001C6F3D"/>
    <w:rsid w:val="001C6F41"/>
    <w:rsid w:val="001C7ED0"/>
    <w:rsid w:val="001D088A"/>
    <w:rsid w:val="001D09CD"/>
    <w:rsid w:val="001D1203"/>
    <w:rsid w:val="001D1313"/>
    <w:rsid w:val="001D1620"/>
    <w:rsid w:val="001D17D6"/>
    <w:rsid w:val="001D1EB5"/>
    <w:rsid w:val="001D288A"/>
    <w:rsid w:val="001D2A44"/>
    <w:rsid w:val="001D2EC3"/>
    <w:rsid w:val="001D31F4"/>
    <w:rsid w:val="001D37A2"/>
    <w:rsid w:val="001D3EE4"/>
    <w:rsid w:val="001D47FB"/>
    <w:rsid w:val="001D5B4A"/>
    <w:rsid w:val="001D5F7B"/>
    <w:rsid w:val="001D6021"/>
    <w:rsid w:val="001E00C1"/>
    <w:rsid w:val="001E0F77"/>
    <w:rsid w:val="001E0FB0"/>
    <w:rsid w:val="001E11A2"/>
    <w:rsid w:val="001E14DE"/>
    <w:rsid w:val="001E1B30"/>
    <w:rsid w:val="001E2113"/>
    <w:rsid w:val="001E395D"/>
    <w:rsid w:val="001E39D7"/>
    <w:rsid w:val="001E4474"/>
    <w:rsid w:val="001E5890"/>
    <w:rsid w:val="001E5C43"/>
    <w:rsid w:val="001E5CF6"/>
    <w:rsid w:val="001E6295"/>
    <w:rsid w:val="001E636E"/>
    <w:rsid w:val="001E7BFB"/>
    <w:rsid w:val="001E7D2A"/>
    <w:rsid w:val="001F0264"/>
    <w:rsid w:val="001F0F3C"/>
    <w:rsid w:val="001F1ED7"/>
    <w:rsid w:val="001F2721"/>
    <w:rsid w:val="001F2CBC"/>
    <w:rsid w:val="001F2FBA"/>
    <w:rsid w:val="001F3767"/>
    <w:rsid w:val="001F3B63"/>
    <w:rsid w:val="001F43FC"/>
    <w:rsid w:val="001F48F7"/>
    <w:rsid w:val="001F4F48"/>
    <w:rsid w:val="001F50DD"/>
    <w:rsid w:val="001F55A6"/>
    <w:rsid w:val="001F5B85"/>
    <w:rsid w:val="001F63B6"/>
    <w:rsid w:val="001F7343"/>
    <w:rsid w:val="001F77DF"/>
    <w:rsid w:val="00200563"/>
    <w:rsid w:val="00200678"/>
    <w:rsid w:val="00201603"/>
    <w:rsid w:val="00202C4E"/>
    <w:rsid w:val="00202EAB"/>
    <w:rsid w:val="00202EC3"/>
    <w:rsid w:val="00203074"/>
    <w:rsid w:val="00203A11"/>
    <w:rsid w:val="0020414F"/>
    <w:rsid w:val="00204B23"/>
    <w:rsid w:val="00206333"/>
    <w:rsid w:val="0020671D"/>
    <w:rsid w:val="002068C6"/>
    <w:rsid w:val="00206AF7"/>
    <w:rsid w:val="0020716D"/>
    <w:rsid w:val="00207D83"/>
    <w:rsid w:val="00207E17"/>
    <w:rsid w:val="00207E8D"/>
    <w:rsid w:val="00207EA6"/>
    <w:rsid w:val="00210B6D"/>
    <w:rsid w:val="002112A2"/>
    <w:rsid w:val="00211EF1"/>
    <w:rsid w:val="0021215D"/>
    <w:rsid w:val="00212DD7"/>
    <w:rsid w:val="00212E24"/>
    <w:rsid w:val="00213B7D"/>
    <w:rsid w:val="002141ED"/>
    <w:rsid w:val="0021427A"/>
    <w:rsid w:val="00214287"/>
    <w:rsid w:val="002145F3"/>
    <w:rsid w:val="00214809"/>
    <w:rsid w:val="00215093"/>
    <w:rsid w:val="00215382"/>
    <w:rsid w:val="0021555C"/>
    <w:rsid w:val="00215666"/>
    <w:rsid w:val="00215E93"/>
    <w:rsid w:val="002168BC"/>
    <w:rsid w:val="002172F2"/>
    <w:rsid w:val="002174D2"/>
    <w:rsid w:val="00217B24"/>
    <w:rsid w:val="002200A4"/>
    <w:rsid w:val="002209E2"/>
    <w:rsid w:val="0022126B"/>
    <w:rsid w:val="00221A09"/>
    <w:rsid w:val="00221E07"/>
    <w:rsid w:val="00223261"/>
    <w:rsid w:val="002233C6"/>
    <w:rsid w:val="002233FB"/>
    <w:rsid w:val="002236D2"/>
    <w:rsid w:val="00223FDF"/>
    <w:rsid w:val="002245BC"/>
    <w:rsid w:val="00224A4A"/>
    <w:rsid w:val="00224DF3"/>
    <w:rsid w:val="00224E8C"/>
    <w:rsid w:val="0022510D"/>
    <w:rsid w:val="00225559"/>
    <w:rsid w:val="002261B0"/>
    <w:rsid w:val="0022639A"/>
    <w:rsid w:val="002305C0"/>
    <w:rsid w:val="00232CFE"/>
    <w:rsid w:val="002330A5"/>
    <w:rsid w:val="002332B7"/>
    <w:rsid w:val="002335EF"/>
    <w:rsid w:val="00233BEA"/>
    <w:rsid w:val="00234B8E"/>
    <w:rsid w:val="00234C13"/>
    <w:rsid w:val="00235AA2"/>
    <w:rsid w:val="00235EDD"/>
    <w:rsid w:val="0023688B"/>
    <w:rsid w:val="002369BB"/>
    <w:rsid w:val="00236CCD"/>
    <w:rsid w:val="002372CF"/>
    <w:rsid w:val="0023791D"/>
    <w:rsid w:val="002408E9"/>
    <w:rsid w:val="00241156"/>
    <w:rsid w:val="002414BB"/>
    <w:rsid w:val="00242017"/>
    <w:rsid w:val="002424FB"/>
    <w:rsid w:val="0024268B"/>
    <w:rsid w:val="00242C13"/>
    <w:rsid w:val="00242E22"/>
    <w:rsid w:val="00243FA6"/>
    <w:rsid w:val="00245547"/>
    <w:rsid w:val="002455BD"/>
    <w:rsid w:val="00245C55"/>
    <w:rsid w:val="00245E66"/>
    <w:rsid w:val="0024734D"/>
    <w:rsid w:val="00247FBC"/>
    <w:rsid w:val="00250A3B"/>
    <w:rsid w:val="00250C36"/>
    <w:rsid w:val="00251CC9"/>
    <w:rsid w:val="002521A8"/>
    <w:rsid w:val="00254663"/>
    <w:rsid w:val="00255981"/>
    <w:rsid w:val="00255B0F"/>
    <w:rsid w:val="00256214"/>
    <w:rsid w:val="00256C09"/>
    <w:rsid w:val="00256DA6"/>
    <w:rsid w:val="00257095"/>
    <w:rsid w:val="00257AD4"/>
    <w:rsid w:val="00257CBD"/>
    <w:rsid w:val="00257DDD"/>
    <w:rsid w:val="00260099"/>
    <w:rsid w:val="00260489"/>
    <w:rsid w:val="00262811"/>
    <w:rsid w:val="00262D9B"/>
    <w:rsid w:val="00263943"/>
    <w:rsid w:val="002641BF"/>
    <w:rsid w:val="00264541"/>
    <w:rsid w:val="002645DF"/>
    <w:rsid w:val="002648A1"/>
    <w:rsid w:val="00265B9B"/>
    <w:rsid w:val="002664BE"/>
    <w:rsid w:val="00266EF9"/>
    <w:rsid w:val="0027039E"/>
    <w:rsid w:val="00270821"/>
    <w:rsid w:val="00271C8F"/>
    <w:rsid w:val="00271E21"/>
    <w:rsid w:val="00272397"/>
    <w:rsid w:val="00272731"/>
    <w:rsid w:val="00272C95"/>
    <w:rsid w:val="002741DF"/>
    <w:rsid w:val="00274606"/>
    <w:rsid w:val="00274761"/>
    <w:rsid w:val="0027627C"/>
    <w:rsid w:val="00276523"/>
    <w:rsid w:val="00276D5D"/>
    <w:rsid w:val="002774D2"/>
    <w:rsid w:val="002774DB"/>
    <w:rsid w:val="00277553"/>
    <w:rsid w:val="00277D9C"/>
    <w:rsid w:val="002803AC"/>
    <w:rsid w:val="0028058A"/>
    <w:rsid w:val="00280BA0"/>
    <w:rsid w:val="00280D17"/>
    <w:rsid w:val="00280D70"/>
    <w:rsid w:val="00281686"/>
    <w:rsid w:val="00281DB3"/>
    <w:rsid w:val="002820EB"/>
    <w:rsid w:val="00282A15"/>
    <w:rsid w:val="00283838"/>
    <w:rsid w:val="002857BD"/>
    <w:rsid w:val="00285C3C"/>
    <w:rsid w:val="00286AA2"/>
    <w:rsid w:val="00287457"/>
    <w:rsid w:val="00290B35"/>
    <w:rsid w:val="002912AD"/>
    <w:rsid w:val="00291AD5"/>
    <w:rsid w:val="00291DE4"/>
    <w:rsid w:val="00291EA1"/>
    <w:rsid w:val="002921D8"/>
    <w:rsid w:val="002929C4"/>
    <w:rsid w:val="00292C07"/>
    <w:rsid w:val="00292C6E"/>
    <w:rsid w:val="002937A8"/>
    <w:rsid w:val="00293A1F"/>
    <w:rsid w:val="00293F3D"/>
    <w:rsid w:val="00293F89"/>
    <w:rsid w:val="002943ED"/>
    <w:rsid w:val="00295E36"/>
    <w:rsid w:val="00296428"/>
    <w:rsid w:val="00296A55"/>
    <w:rsid w:val="00296DC7"/>
    <w:rsid w:val="00297397"/>
    <w:rsid w:val="002979CB"/>
    <w:rsid w:val="00297D8A"/>
    <w:rsid w:val="00297F67"/>
    <w:rsid w:val="00297F7D"/>
    <w:rsid w:val="002A09FA"/>
    <w:rsid w:val="002A1047"/>
    <w:rsid w:val="002A276B"/>
    <w:rsid w:val="002A5068"/>
    <w:rsid w:val="002A50B7"/>
    <w:rsid w:val="002A5459"/>
    <w:rsid w:val="002A5D2E"/>
    <w:rsid w:val="002A6003"/>
    <w:rsid w:val="002A601A"/>
    <w:rsid w:val="002A6353"/>
    <w:rsid w:val="002A68BE"/>
    <w:rsid w:val="002A69E2"/>
    <w:rsid w:val="002A75AC"/>
    <w:rsid w:val="002B015A"/>
    <w:rsid w:val="002B0446"/>
    <w:rsid w:val="002B0605"/>
    <w:rsid w:val="002B1E46"/>
    <w:rsid w:val="002B21A7"/>
    <w:rsid w:val="002B2493"/>
    <w:rsid w:val="002B301D"/>
    <w:rsid w:val="002B33F5"/>
    <w:rsid w:val="002B35CE"/>
    <w:rsid w:val="002B3641"/>
    <w:rsid w:val="002B39B6"/>
    <w:rsid w:val="002B4618"/>
    <w:rsid w:val="002B516D"/>
    <w:rsid w:val="002B55AE"/>
    <w:rsid w:val="002B587C"/>
    <w:rsid w:val="002B5F40"/>
    <w:rsid w:val="002B6053"/>
    <w:rsid w:val="002B6A62"/>
    <w:rsid w:val="002B6C9C"/>
    <w:rsid w:val="002B6CF1"/>
    <w:rsid w:val="002B7073"/>
    <w:rsid w:val="002B7205"/>
    <w:rsid w:val="002B7419"/>
    <w:rsid w:val="002B76A8"/>
    <w:rsid w:val="002C05B3"/>
    <w:rsid w:val="002C1B1B"/>
    <w:rsid w:val="002C1F18"/>
    <w:rsid w:val="002C21B6"/>
    <w:rsid w:val="002C2A6D"/>
    <w:rsid w:val="002C3BE9"/>
    <w:rsid w:val="002C407B"/>
    <w:rsid w:val="002C470C"/>
    <w:rsid w:val="002C624E"/>
    <w:rsid w:val="002C62FE"/>
    <w:rsid w:val="002C70CF"/>
    <w:rsid w:val="002C7D6D"/>
    <w:rsid w:val="002D0751"/>
    <w:rsid w:val="002D1A61"/>
    <w:rsid w:val="002D21C1"/>
    <w:rsid w:val="002D2C4C"/>
    <w:rsid w:val="002D3C20"/>
    <w:rsid w:val="002D4CED"/>
    <w:rsid w:val="002D534A"/>
    <w:rsid w:val="002D5AB0"/>
    <w:rsid w:val="002D5B8B"/>
    <w:rsid w:val="002D60A0"/>
    <w:rsid w:val="002D747C"/>
    <w:rsid w:val="002D793A"/>
    <w:rsid w:val="002E056E"/>
    <w:rsid w:val="002E0F04"/>
    <w:rsid w:val="002E3FD6"/>
    <w:rsid w:val="002E4379"/>
    <w:rsid w:val="002E450D"/>
    <w:rsid w:val="002E4698"/>
    <w:rsid w:val="002E47F9"/>
    <w:rsid w:val="002E57E5"/>
    <w:rsid w:val="002E59E9"/>
    <w:rsid w:val="002E5E0F"/>
    <w:rsid w:val="002E6EF8"/>
    <w:rsid w:val="002E754A"/>
    <w:rsid w:val="002E77D2"/>
    <w:rsid w:val="002F0104"/>
    <w:rsid w:val="002F08DF"/>
    <w:rsid w:val="002F2281"/>
    <w:rsid w:val="002F2DB7"/>
    <w:rsid w:val="002F4604"/>
    <w:rsid w:val="002F4BCE"/>
    <w:rsid w:val="002F565E"/>
    <w:rsid w:val="002F576C"/>
    <w:rsid w:val="002F6433"/>
    <w:rsid w:val="002F66D8"/>
    <w:rsid w:val="003006D3"/>
    <w:rsid w:val="0030195B"/>
    <w:rsid w:val="00301A33"/>
    <w:rsid w:val="0030220F"/>
    <w:rsid w:val="003028C8"/>
    <w:rsid w:val="003029E6"/>
    <w:rsid w:val="00302D62"/>
    <w:rsid w:val="0030306C"/>
    <w:rsid w:val="003030CB"/>
    <w:rsid w:val="003034C2"/>
    <w:rsid w:val="0030354C"/>
    <w:rsid w:val="00306D0E"/>
    <w:rsid w:val="00306E66"/>
    <w:rsid w:val="00307E9B"/>
    <w:rsid w:val="00307EAC"/>
    <w:rsid w:val="003103CA"/>
    <w:rsid w:val="00311618"/>
    <w:rsid w:val="0031177C"/>
    <w:rsid w:val="00311FB6"/>
    <w:rsid w:val="00312495"/>
    <w:rsid w:val="0031352D"/>
    <w:rsid w:val="0031463D"/>
    <w:rsid w:val="00315102"/>
    <w:rsid w:val="00315969"/>
    <w:rsid w:val="00316894"/>
    <w:rsid w:val="00317820"/>
    <w:rsid w:val="00317A5C"/>
    <w:rsid w:val="00317C0E"/>
    <w:rsid w:val="0032000D"/>
    <w:rsid w:val="0032109F"/>
    <w:rsid w:val="003212C7"/>
    <w:rsid w:val="00321512"/>
    <w:rsid w:val="0032165D"/>
    <w:rsid w:val="00321EE5"/>
    <w:rsid w:val="00322EA1"/>
    <w:rsid w:val="00326065"/>
    <w:rsid w:val="003260DB"/>
    <w:rsid w:val="0032675A"/>
    <w:rsid w:val="003268B1"/>
    <w:rsid w:val="003270C7"/>
    <w:rsid w:val="003270FE"/>
    <w:rsid w:val="00330ACF"/>
    <w:rsid w:val="00330D6C"/>
    <w:rsid w:val="00332169"/>
    <w:rsid w:val="00332202"/>
    <w:rsid w:val="00332D6F"/>
    <w:rsid w:val="00332DBC"/>
    <w:rsid w:val="00333092"/>
    <w:rsid w:val="0033329D"/>
    <w:rsid w:val="00333D1D"/>
    <w:rsid w:val="003342B3"/>
    <w:rsid w:val="003354A4"/>
    <w:rsid w:val="0033641C"/>
    <w:rsid w:val="00336542"/>
    <w:rsid w:val="003366F9"/>
    <w:rsid w:val="00337C61"/>
    <w:rsid w:val="003400D1"/>
    <w:rsid w:val="00340F97"/>
    <w:rsid w:val="00341525"/>
    <w:rsid w:val="003415E0"/>
    <w:rsid w:val="00341646"/>
    <w:rsid w:val="00342863"/>
    <w:rsid w:val="003446F9"/>
    <w:rsid w:val="003449B3"/>
    <w:rsid w:val="00344A25"/>
    <w:rsid w:val="00344AD9"/>
    <w:rsid w:val="00345193"/>
    <w:rsid w:val="0034551B"/>
    <w:rsid w:val="00345C1A"/>
    <w:rsid w:val="003473EA"/>
    <w:rsid w:val="003478C1"/>
    <w:rsid w:val="0034791E"/>
    <w:rsid w:val="00347AFA"/>
    <w:rsid w:val="00347C37"/>
    <w:rsid w:val="00347D42"/>
    <w:rsid w:val="003505BA"/>
    <w:rsid w:val="00350651"/>
    <w:rsid w:val="00350985"/>
    <w:rsid w:val="00350A51"/>
    <w:rsid w:val="00351C02"/>
    <w:rsid w:val="00353564"/>
    <w:rsid w:val="0035400E"/>
    <w:rsid w:val="00354E4E"/>
    <w:rsid w:val="0035527A"/>
    <w:rsid w:val="00355C5A"/>
    <w:rsid w:val="00355E49"/>
    <w:rsid w:val="003565B4"/>
    <w:rsid w:val="00356695"/>
    <w:rsid w:val="00356880"/>
    <w:rsid w:val="00356B1D"/>
    <w:rsid w:val="00356E0D"/>
    <w:rsid w:val="00357BC2"/>
    <w:rsid w:val="00357C5E"/>
    <w:rsid w:val="00360502"/>
    <w:rsid w:val="0036057A"/>
    <w:rsid w:val="00360AFF"/>
    <w:rsid w:val="0036123A"/>
    <w:rsid w:val="00362631"/>
    <w:rsid w:val="003626FC"/>
    <w:rsid w:val="003628EE"/>
    <w:rsid w:val="003642B3"/>
    <w:rsid w:val="00364728"/>
    <w:rsid w:val="00364AE6"/>
    <w:rsid w:val="003651B2"/>
    <w:rsid w:val="003651F1"/>
    <w:rsid w:val="003677C9"/>
    <w:rsid w:val="003704BF"/>
    <w:rsid w:val="003706FA"/>
    <w:rsid w:val="00371364"/>
    <w:rsid w:val="00371E52"/>
    <w:rsid w:val="00372BF6"/>
    <w:rsid w:val="0037324F"/>
    <w:rsid w:val="00373FD4"/>
    <w:rsid w:val="00374B30"/>
    <w:rsid w:val="00375E88"/>
    <w:rsid w:val="00376711"/>
    <w:rsid w:val="0037697B"/>
    <w:rsid w:val="00376A4F"/>
    <w:rsid w:val="00377B06"/>
    <w:rsid w:val="00377ECC"/>
    <w:rsid w:val="0038095D"/>
    <w:rsid w:val="00380FB3"/>
    <w:rsid w:val="003828D0"/>
    <w:rsid w:val="0038309C"/>
    <w:rsid w:val="00383517"/>
    <w:rsid w:val="00383992"/>
    <w:rsid w:val="00384796"/>
    <w:rsid w:val="00384C35"/>
    <w:rsid w:val="00385659"/>
    <w:rsid w:val="003857BD"/>
    <w:rsid w:val="0038652E"/>
    <w:rsid w:val="0038694D"/>
    <w:rsid w:val="00386A98"/>
    <w:rsid w:val="00386BD3"/>
    <w:rsid w:val="00386E29"/>
    <w:rsid w:val="00387E0B"/>
    <w:rsid w:val="00390810"/>
    <w:rsid w:val="0039134F"/>
    <w:rsid w:val="003919A0"/>
    <w:rsid w:val="00391B2B"/>
    <w:rsid w:val="00392141"/>
    <w:rsid w:val="003931A5"/>
    <w:rsid w:val="003934B0"/>
    <w:rsid w:val="00394311"/>
    <w:rsid w:val="003951B5"/>
    <w:rsid w:val="00396B37"/>
    <w:rsid w:val="00396C94"/>
    <w:rsid w:val="003972AA"/>
    <w:rsid w:val="00397688"/>
    <w:rsid w:val="00397CE4"/>
    <w:rsid w:val="00397DC8"/>
    <w:rsid w:val="00397EFB"/>
    <w:rsid w:val="003A005E"/>
    <w:rsid w:val="003A0171"/>
    <w:rsid w:val="003A03EE"/>
    <w:rsid w:val="003A062B"/>
    <w:rsid w:val="003A1151"/>
    <w:rsid w:val="003A1B79"/>
    <w:rsid w:val="003A2254"/>
    <w:rsid w:val="003A2538"/>
    <w:rsid w:val="003A287F"/>
    <w:rsid w:val="003A2CDD"/>
    <w:rsid w:val="003A319B"/>
    <w:rsid w:val="003A3756"/>
    <w:rsid w:val="003A3D29"/>
    <w:rsid w:val="003A4038"/>
    <w:rsid w:val="003A437D"/>
    <w:rsid w:val="003A4591"/>
    <w:rsid w:val="003A472A"/>
    <w:rsid w:val="003A5836"/>
    <w:rsid w:val="003A604C"/>
    <w:rsid w:val="003A72BB"/>
    <w:rsid w:val="003A73B7"/>
    <w:rsid w:val="003B07E1"/>
    <w:rsid w:val="003B0A1A"/>
    <w:rsid w:val="003B0AE1"/>
    <w:rsid w:val="003B1B67"/>
    <w:rsid w:val="003B1B96"/>
    <w:rsid w:val="003B2B9F"/>
    <w:rsid w:val="003B3218"/>
    <w:rsid w:val="003B3CD3"/>
    <w:rsid w:val="003B47BE"/>
    <w:rsid w:val="003B5C7C"/>
    <w:rsid w:val="003B5E2E"/>
    <w:rsid w:val="003B66E5"/>
    <w:rsid w:val="003B6743"/>
    <w:rsid w:val="003B72AC"/>
    <w:rsid w:val="003B7D75"/>
    <w:rsid w:val="003C020D"/>
    <w:rsid w:val="003C0B07"/>
    <w:rsid w:val="003C0BDB"/>
    <w:rsid w:val="003C1101"/>
    <w:rsid w:val="003C1398"/>
    <w:rsid w:val="003C150C"/>
    <w:rsid w:val="003C1546"/>
    <w:rsid w:val="003C1FC8"/>
    <w:rsid w:val="003C23B6"/>
    <w:rsid w:val="003C2E6A"/>
    <w:rsid w:val="003C2FEC"/>
    <w:rsid w:val="003C3074"/>
    <w:rsid w:val="003C45BF"/>
    <w:rsid w:val="003C6C17"/>
    <w:rsid w:val="003C7142"/>
    <w:rsid w:val="003C7969"/>
    <w:rsid w:val="003D0EE2"/>
    <w:rsid w:val="003D110D"/>
    <w:rsid w:val="003D113E"/>
    <w:rsid w:val="003D17D7"/>
    <w:rsid w:val="003D1AD8"/>
    <w:rsid w:val="003D2364"/>
    <w:rsid w:val="003D476D"/>
    <w:rsid w:val="003D4EE3"/>
    <w:rsid w:val="003D6B81"/>
    <w:rsid w:val="003D6C14"/>
    <w:rsid w:val="003D717A"/>
    <w:rsid w:val="003D737B"/>
    <w:rsid w:val="003E0020"/>
    <w:rsid w:val="003E0BCA"/>
    <w:rsid w:val="003E35C7"/>
    <w:rsid w:val="003E4272"/>
    <w:rsid w:val="003E4566"/>
    <w:rsid w:val="003E46B5"/>
    <w:rsid w:val="003E4C4C"/>
    <w:rsid w:val="003E5D43"/>
    <w:rsid w:val="003E6435"/>
    <w:rsid w:val="003E668F"/>
    <w:rsid w:val="003E6C67"/>
    <w:rsid w:val="003E6C73"/>
    <w:rsid w:val="003E6D55"/>
    <w:rsid w:val="003E7AC5"/>
    <w:rsid w:val="003E7DBD"/>
    <w:rsid w:val="003F0DA3"/>
    <w:rsid w:val="003F16E3"/>
    <w:rsid w:val="003F258B"/>
    <w:rsid w:val="003F29EA"/>
    <w:rsid w:val="003F2E95"/>
    <w:rsid w:val="003F333D"/>
    <w:rsid w:val="003F33EF"/>
    <w:rsid w:val="003F3CAB"/>
    <w:rsid w:val="003F400D"/>
    <w:rsid w:val="003F4171"/>
    <w:rsid w:val="003F48F7"/>
    <w:rsid w:val="003F4AA9"/>
    <w:rsid w:val="003F4FFD"/>
    <w:rsid w:val="003F5185"/>
    <w:rsid w:val="003F5BF4"/>
    <w:rsid w:val="003F68C0"/>
    <w:rsid w:val="003F7357"/>
    <w:rsid w:val="003F7672"/>
    <w:rsid w:val="003F7C39"/>
    <w:rsid w:val="0040022A"/>
    <w:rsid w:val="00400345"/>
    <w:rsid w:val="004013D6"/>
    <w:rsid w:val="00401775"/>
    <w:rsid w:val="00401886"/>
    <w:rsid w:val="00403C44"/>
    <w:rsid w:val="00403D9D"/>
    <w:rsid w:val="00404B39"/>
    <w:rsid w:val="0040534F"/>
    <w:rsid w:val="004059A6"/>
    <w:rsid w:val="00406485"/>
    <w:rsid w:val="00406562"/>
    <w:rsid w:val="00406D5C"/>
    <w:rsid w:val="00406E27"/>
    <w:rsid w:val="004072D9"/>
    <w:rsid w:val="00407339"/>
    <w:rsid w:val="004078CF"/>
    <w:rsid w:val="0040790B"/>
    <w:rsid w:val="00407B65"/>
    <w:rsid w:val="00407B70"/>
    <w:rsid w:val="00407D26"/>
    <w:rsid w:val="00410058"/>
    <w:rsid w:val="004106EC"/>
    <w:rsid w:val="004113B6"/>
    <w:rsid w:val="0041147C"/>
    <w:rsid w:val="00411A6E"/>
    <w:rsid w:val="0041212E"/>
    <w:rsid w:val="00412C7F"/>
    <w:rsid w:val="00412CAB"/>
    <w:rsid w:val="00412F89"/>
    <w:rsid w:val="00413145"/>
    <w:rsid w:val="0041487B"/>
    <w:rsid w:val="00414DC1"/>
    <w:rsid w:val="00414ED0"/>
    <w:rsid w:val="00414FD5"/>
    <w:rsid w:val="00415237"/>
    <w:rsid w:val="0041549D"/>
    <w:rsid w:val="0042158D"/>
    <w:rsid w:val="0042267A"/>
    <w:rsid w:val="00422784"/>
    <w:rsid w:val="00422BA6"/>
    <w:rsid w:val="0042446F"/>
    <w:rsid w:val="00425110"/>
    <w:rsid w:val="00425921"/>
    <w:rsid w:val="00425A11"/>
    <w:rsid w:val="0042688E"/>
    <w:rsid w:val="00427C28"/>
    <w:rsid w:val="004312CF"/>
    <w:rsid w:val="00431375"/>
    <w:rsid w:val="00431A87"/>
    <w:rsid w:val="00431B86"/>
    <w:rsid w:val="004325E8"/>
    <w:rsid w:val="0043263C"/>
    <w:rsid w:val="00432885"/>
    <w:rsid w:val="00432B79"/>
    <w:rsid w:val="004336F8"/>
    <w:rsid w:val="00433920"/>
    <w:rsid w:val="004339BC"/>
    <w:rsid w:val="00433C4E"/>
    <w:rsid w:val="004351DD"/>
    <w:rsid w:val="004357E6"/>
    <w:rsid w:val="0043647E"/>
    <w:rsid w:val="0043756D"/>
    <w:rsid w:val="004376D8"/>
    <w:rsid w:val="004402FB"/>
    <w:rsid w:val="00440921"/>
    <w:rsid w:val="004409FC"/>
    <w:rsid w:val="00440B1C"/>
    <w:rsid w:val="004412D0"/>
    <w:rsid w:val="00441B5D"/>
    <w:rsid w:val="00442882"/>
    <w:rsid w:val="004428E2"/>
    <w:rsid w:val="0044357C"/>
    <w:rsid w:val="0044375A"/>
    <w:rsid w:val="00443982"/>
    <w:rsid w:val="00444AA5"/>
    <w:rsid w:val="00444EA2"/>
    <w:rsid w:val="004451F5"/>
    <w:rsid w:val="00445405"/>
    <w:rsid w:val="00446CC4"/>
    <w:rsid w:val="0045043B"/>
    <w:rsid w:val="004508AD"/>
    <w:rsid w:val="00450A14"/>
    <w:rsid w:val="00450F01"/>
    <w:rsid w:val="0045103E"/>
    <w:rsid w:val="00451AA1"/>
    <w:rsid w:val="00451DB2"/>
    <w:rsid w:val="0045232F"/>
    <w:rsid w:val="00453DEA"/>
    <w:rsid w:val="0045482E"/>
    <w:rsid w:val="004551D3"/>
    <w:rsid w:val="00455900"/>
    <w:rsid w:val="00455A1A"/>
    <w:rsid w:val="0045657E"/>
    <w:rsid w:val="00456FA7"/>
    <w:rsid w:val="00457401"/>
    <w:rsid w:val="00457E41"/>
    <w:rsid w:val="004606CB"/>
    <w:rsid w:val="0046121A"/>
    <w:rsid w:val="00461521"/>
    <w:rsid w:val="0046156A"/>
    <w:rsid w:val="0046261F"/>
    <w:rsid w:val="004629ED"/>
    <w:rsid w:val="00462C2C"/>
    <w:rsid w:val="00462EDC"/>
    <w:rsid w:val="004639ED"/>
    <w:rsid w:val="00463D62"/>
    <w:rsid w:val="00463F0F"/>
    <w:rsid w:val="0046402D"/>
    <w:rsid w:val="004644FD"/>
    <w:rsid w:val="00465953"/>
    <w:rsid w:val="00466267"/>
    <w:rsid w:val="00466834"/>
    <w:rsid w:val="004668CF"/>
    <w:rsid w:val="00466B46"/>
    <w:rsid w:val="00466D18"/>
    <w:rsid w:val="00466E25"/>
    <w:rsid w:val="00466F9C"/>
    <w:rsid w:val="0046784E"/>
    <w:rsid w:val="00467C59"/>
    <w:rsid w:val="004703A1"/>
    <w:rsid w:val="0047047A"/>
    <w:rsid w:val="00471CB9"/>
    <w:rsid w:val="004726E6"/>
    <w:rsid w:val="00473CA1"/>
    <w:rsid w:val="00473FB3"/>
    <w:rsid w:val="00475EB3"/>
    <w:rsid w:val="00476D83"/>
    <w:rsid w:val="00476FC9"/>
    <w:rsid w:val="00477012"/>
    <w:rsid w:val="00480253"/>
    <w:rsid w:val="0048055A"/>
    <w:rsid w:val="00480AC2"/>
    <w:rsid w:val="00481104"/>
    <w:rsid w:val="00481C7F"/>
    <w:rsid w:val="00482272"/>
    <w:rsid w:val="00482C3F"/>
    <w:rsid w:val="00482ED3"/>
    <w:rsid w:val="0048350F"/>
    <w:rsid w:val="00483C69"/>
    <w:rsid w:val="00483DB4"/>
    <w:rsid w:val="00483E10"/>
    <w:rsid w:val="0048438E"/>
    <w:rsid w:val="00484439"/>
    <w:rsid w:val="0048594A"/>
    <w:rsid w:val="0048643D"/>
    <w:rsid w:val="0048650C"/>
    <w:rsid w:val="00487AB6"/>
    <w:rsid w:val="00487C58"/>
    <w:rsid w:val="0049063B"/>
    <w:rsid w:val="00490A01"/>
    <w:rsid w:val="00490FF0"/>
    <w:rsid w:val="0049102E"/>
    <w:rsid w:val="004912EF"/>
    <w:rsid w:val="0049232B"/>
    <w:rsid w:val="004928A1"/>
    <w:rsid w:val="004928CF"/>
    <w:rsid w:val="00492D49"/>
    <w:rsid w:val="00492D8F"/>
    <w:rsid w:val="0049347A"/>
    <w:rsid w:val="004935C8"/>
    <w:rsid w:val="00493ADC"/>
    <w:rsid w:val="00493B45"/>
    <w:rsid w:val="00494086"/>
    <w:rsid w:val="004942B5"/>
    <w:rsid w:val="00494C7C"/>
    <w:rsid w:val="00494DB5"/>
    <w:rsid w:val="00495206"/>
    <w:rsid w:val="00496726"/>
    <w:rsid w:val="004A0B25"/>
    <w:rsid w:val="004A1600"/>
    <w:rsid w:val="004A16BD"/>
    <w:rsid w:val="004A2406"/>
    <w:rsid w:val="004A2740"/>
    <w:rsid w:val="004A360E"/>
    <w:rsid w:val="004A3D96"/>
    <w:rsid w:val="004A3F7E"/>
    <w:rsid w:val="004A444E"/>
    <w:rsid w:val="004A5174"/>
    <w:rsid w:val="004A52C3"/>
    <w:rsid w:val="004A7630"/>
    <w:rsid w:val="004A7AEA"/>
    <w:rsid w:val="004B06DD"/>
    <w:rsid w:val="004B0C2D"/>
    <w:rsid w:val="004B145F"/>
    <w:rsid w:val="004B1641"/>
    <w:rsid w:val="004B2035"/>
    <w:rsid w:val="004B2E14"/>
    <w:rsid w:val="004B33A5"/>
    <w:rsid w:val="004B3D99"/>
    <w:rsid w:val="004B416A"/>
    <w:rsid w:val="004B4543"/>
    <w:rsid w:val="004B5B8E"/>
    <w:rsid w:val="004B60F6"/>
    <w:rsid w:val="004B67BF"/>
    <w:rsid w:val="004B68D9"/>
    <w:rsid w:val="004B6A9B"/>
    <w:rsid w:val="004B6C31"/>
    <w:rsid w:val="004B706B"/>
    <w:rsid w:val="004B722E"/>
    <w:rsid w:val="004B794C"/>
    <w:rsid w:val="004B7B21"/>
    <w:rsid w:val="004C00A4"/>
    <w:rsid w:val="004C01FC"/>
    <w:rsid w:val="004C0276"/>
    <w:rsid w:val="004C0746"/>
    <w:rsid w:val="004C1DE0"/>
    <w:rsid w:val="004C1EC5"/>
    <w:rsid w:val="004C283B"/>
    <w:rsid w:val="004C3EDF"/>
    <w:rsid w:val="004C4641"/>
    <w:rsid w:val="004C4754"/>
    <w:rsid w:val="004C48EF"/>
    <w:rsid w:val="004C50C5"/>
    <w:rsid w:val="004C56CE"/>
    <w:rsid w:val="004C5AA5"/>
    <w:rsid w:val="004C648B"/>
    <w:rsid w:val="004D1098"/>
    <w:rsid w:val="004D1E61"/>
    <w:rsid w:val="004D2697"/>
    <w:rsid w:val="004D2F87"/>
    <w:rsid w:val="004D44F9"/>
    <w:rsid w:val="004D55BD"/>
    <w:rsid w:val="004D5890"/>
    <w:rsid w:val="004D5FE4"/>
    <w:rsid w:val="004D6523"/>
    <w:rsid w:val="004D6DA6"/>
    <w:rsid w:val="004D7443"/>
    <w:rsid w:val="004D74BA"/>
    <w:rsid w:val="004D760D"/>
    <w:rsid w:val="004D78CD"/>
    <w:rsid w:val="004E12B8"/>
    <w:rsid w:val="004E28EF"/>
    <w:rsid w:val="004E2AAE"/>
    <w:rsid w:val="004E2B8A"/>
    <w:rsid w:val="004E2D85"/>
    <w:rsid w:val="004E2F5E"/>
    <w:rsid w:val="004E3376"/>
    <w:rsid w:val="004E3B3B"/>
    <w:rsid w:val="004E3F07"/>
    <w:rsid w:val="004E3F51"/>
    <w:rsid w:val="004E4579"/>
    <w:rsid w:val="004E4BC3"/>
    <w:rsid w:val="004E4D34"/>
    <w:rsid w:val="004E575C"/>
    <w:rsid w:val="004E5A42"/>
    <w:rsid w:val="004E679D"/>
    <w:rsid w:val="004E6CFF"/>
    <w:rsid w:val="004E76ED"/>
    <w:rsid w:val="004F0CA7"/>
    <w:rsid w:val="004F3103"/>
    <w:rsid w:val="004F4997"/>
    <w:rsid w:val="004F51A3"/>
    <w:rsid w:val="004F5F52"/>
    <w:rsid w:val="004F6372"/>
    <w:rsid w:val="004F7770"/>
    <w:rsid w:val="00500FAE"/>
    <w:rsid w:val="00501A44"/>
    <w:rsid w:val="00502B49"/>
    <w:rsid w:val="00502F38"/>
    <w:rsid w:val="005033E9"/>
    <w:rsid w:val="00503557"/>
    <w:rsid w:val="00504143"/>
    <w:rsid w:val="00504598"/>
    <w:rsid w:val="00504935"/>
    <w:rsid w:val="00505420"/>
    <w:rsid w:val="0050578B"/>
    <w:rsid w:val="00505CE7"/>
    <w:rsid w:val="00506138"/>
    <w:rsid w:val="00506415"/>
    <w:rsid w:val="00506665"/>
    <w:rsid w:val="00507657"/>
    <w:rsid w:val="005077DE"/>
    <w:rsid w:val="005078F5"/>
    <w:rsid w:val="0050793D"/>
    <w:rsid w:val="00510208"/>
    <w:rsid w:val="00510381"/>
    <w:rsid w:val="00510AA5"/>
    <w:rsid w:val="00511461"/>
    <w:rsid w:val="00512B8A"/>
    <w:rsid w:val="00512C18"/>
    <w:rsid w:val="0051392D"/>
    <w:rsid w:val="005141E4"/>
    <w:rsid w:val="00514EC9"/>
    <w:rsid w:val="00514F7E"/>
    <w:rsid w:val="00515315"/>
    <w:rsid w:val="0051550B"/>
    <w:rsid w:val="00516642"/>
    <w:rsid w:val="00516825"/>
    <w:rsid w:val="005173FC"/>
    <w:rsid w:val="00517B33"/>
    <w:rsid w:val="00517B46"/>
    <w:rsid w:val="0052013D"/>
    <w:rsid w:val="0052041E"/>
    <w:rsid w:val="005204A7"/>
    <w:rsid w:val="00520ABA"/>
    <w:rsid w:val="00521C11"/>
    <w:rsid w:val="00522A90"/>
    <w:rsid w:val="005233FB"/>
    <w:rsid w:val="005245E2"/>
    <w:rsid w:val="005254D9"/>
    <w:rsid w:val="00525897"/>
    <w:rsid w:val="00525A71"/>
    <w:rsid w:val="00525FF1"/>
    <w:rsid w:val="00526610"/>
    <w:rsid w:val="00526D93"/>
    <w:rsid w:val="00527C8C"/>
    <w:rsid w:val="0053055E"/>
    <w:rsid w:val="00530BED"/>
    <w:rsid w:val="00530D21"/>
    <w:rsid w:val="00531775"/>
    <w:rsid w:val="0053230C"/>
    <w:rsid w:val="00532FFB"/>
    <w:rsid w:val="0053388E"/>
    <w:rsid w:val="00534713"/>
    <w:rsid w:val="00536545"/>
    <w:rsid w:val="00536647"/>
    <w:rsid w:val="005373A9"/>
    <w:rsid w:val="005375CE"/>
    <w:rsid w:val="005404F8"/>
    <w:rsid w:val="00540E94"/>
    <w:rsid w:val="0054162C"/>
    <w:rsid w:val="0054164C"/>
    <w:rsid w:val="005420FC"/>
    <w:rsid w:val="00542832"/>
    <w:rsid w:val="00542F64"/>
    <w:rsid w:val="00543021"/>
    <w:rsid w:val="0054338A"/>
    <w:rsid w:val="005438A3"/>
    <w:rsid w:val="00543CBB"/>
    <w:rsid w:val="00543EB2"/>
    <w:rsid w:val="005446F4"/>
    <w:rsid w:val="00545390"/>
    <w:rsid w:val="00546560"/>
    <w:rsid w:val="005477D1"/>
    <w:rsid w:val="00550BC4"/>
    <w:rsid w:val="00551E08"/>
    <w:rsid w:val="00552541"/>
    <w:rsid w:val="005529D3"/>
    <w:rsid w:val="00552C94"/>
    <w:rsid w:val="005537CF"/>
    <w:rsid w:val="00553C6E"/>
    <w:rsid w:val="005541DD"/>
    <w:rsid w:val="00554C02"/>
    <w:rsid w:val="00554D31"/>
    <w:rsid w:val="00554DEC"/>
    <w:rsid w:val="00555CA7"/>
    <w:rsid w:val="0055621B"/>
    <w:rsid w:val="00556A4F"/>
    <w:rsid w:val="00556BE6"/>
    <w:rsid w:val="00556CBD"/>
    <w:rsid w:val="0056011E"/>
    <w:rsid w:val="005604A4"/>
    <w:rsid w:val="0056062B"/>
    <w:rsid w:val="00562A01"/>
    <w:rsid w:val="00562A1F"/>
    <w:rsid w:val="00562E7B"/>
    <w:rsid w:val="005634C7"/>
    <w:rsid w:val="00563A8F"/>
    <w:rsid w:val="00563FA9"/>
    <w:rsid w:val="00564AA7"/>
    <w:rsid w:val="00565268"/>
    <w:rsid w:val="005658B2"/>
    <w:rsid w:val="005660EB"/>
    <w:rsid w:val="0056639C"/>
    <w:rsid w:val="005667EA"/>
    <w:rsid w:val="00566979"/>
    <w:rsid w:val="00566B4A"/>
    <w:rsid w:val="0056714B"/>
    <w:rsid w:val="00567E63"/>
    <w:rsid w:val="00570ED3"/>
    <w:rsid w:val="00572B5A"/>
    <w:rsid w:val="00573D9B"/>
    <w:rsid w:val="00574358"/>
    <w:rsid w:val="0057440B"/>
    <w:rsid w:val="005750C2"/>
    <w:rsid w:val="00576357"/>
    <w:rsid w:val="005765B2"/>
    <w:rsid w:val="00577E34"/>
    <w:rsid w:val="005800D5"/>
    <w:rsid w:val="00580503"/>
    <w:rsid w:val="005807A5"/>
    <w:rsid w:val="00580FF6"/>
    <w:rsid w:val="00581137"/>
    <w:rsid w:val="0058259F"/>
    <w:rsid w:val="00583A32"/>
    <w:rsid w:val="00583FB0"/>
    <w:rsid w:val="005848CA"/>
    <w:rsid w:val="00584FD4"/>
    <w:rsid w:val="005852DB"/>
    <w:rsid w:val="00585E2D"/>
    <w:rsid w:val="00586056"/>
    <w:rsid w:val="005868A1"/>
    <w:rsid w:val="00587982"/>
    <w:rsid w:val="00587B3D"/>
    <w:rsid w:val="00590325"/>
    <w:rsid w:val="00590991"/>
    <w:rsid w:val="00592670"/>
    <w:rsid w:val="00592718"/>
    <w:rsid w:val="00593C01"/>
    <w:rsid w:val="0059489E"/>
    <w:rsid w:val="005954FF"/>
    <w:rsid w:val="00595500"/>
    <w:rsid w:val="005958D6"/>
    <w:rsid w:val="00595DBC"/>
    <w:rsid w:val="00596193"/>
    <w:rsid w:val="00596822"/>
    <w:rsid w:val="005A14C6"/>
    <w:rsid w:val="005A2326"/>
    <w:rsid w:val="005A3043"/>
    <w:rsid w:val="005A395E"/>
    <w:rsid w:val="005A3ADF"/>
    <w:rsid w:val="005A3C09"/>
    <w:rsid w:val="005A4862"/>
    <w:rsid w:val="005A561F"/>
    <w:rsid w:val="005A646D"/>
    <w:rsid w:val="005A6A66"/>
    <w:rsid w:val="005A6CE2"/>
    <w:rsid w:val="005A71DD"/>
    <w:rsid w:val="005A756F"/>
    <w:rsid w:val="005A763A"/>
    <w:rsid w:val="005A76EE"/>
    <w:rsid w:val="005B0E30"/>
    <w:rsid w:val="005B125D"/>
    <w:rsid w:val="005B14D5"/>
    <w:rsid w:val="005B1707"/>
    <w:rsid w:val="005B1BFA"/>
    <w:rsid w:val="005B202D"/>
    <w:rsid w:val="005B2DD0"/>
    <w:rsid w:val="005B38B1"/>
    <w:rsid w:val="005B39F4"/>
    <w:rsid w:val="005B4404"/>
    <w:rsid w:val="005B443B"/>
    <w:rsid w:val="005B4524"/>
    <w:rsid w:val="005B48B0"/>
    <w:rsid w:val="005B5482"/>
    <w:rsid w:val="005B67CF"/>
    <w:rsid w:val="005B7928"/>
    <w:rsid w:val="005C03A4"/>
    <w:rsid w:val="005C047D"/>
    <w:rsid w:val="005C04D8"/>
    <w:rsid w:val="005C0FD4"/>
    <w:rsid w:val="005C1629"/>
    <w:rsid w:val="005C304F"/>
    <w:rsid w:val="005C3323"/>
    <w:rsid w:val="005C3C56"/>
    <w:rsid w:val="005C3D5E"/>
    <w:rsid w:val="005C474B"/>
    <w:rsid w:val="005C5097"/>
    <w:rsid w:val="005C5365"/>
    <w:rsid w:val="005C5C5D"/>
    <w:rsid w:val="005C5CD6"/>
    <w:rsid w:val="005C5F73"/>
    <w:rsid w:val="005C65C2"/>
    <w:rsid w:val="005C6FC8"/>
    <w:rsid w:val="005C7FE6"/>
    <w:rsid w:val="005D01B1"/>
    <w:rsid w:val="005D0981"/>
    <w:rsid w:val="005D0C1F"/>
    <w:rsid w:val="005D12E8"/>
    <w:rsid w:val="005D1BE6"/>
    <w:rsid w:val="005D24A2"/>
    <w:rsid w:val="005D36A5"/>
    <w:rsid w:val="005D5323"/>
    <w:rsid w:val="005D5910"/>
    <w:rsid w:val="005D77D2"/>
    <w:rsid w:val="005D7AC0"/>
    <w:rsid w:val="005D7BB1"/>
    <w:rsid w:val="005E0853"/>
    <w:rsid w:val="005E0A23"/>
    <w:rsid w:val="005E0AEF"/>
    <w:rsid w:val="005E0E8E"/>
    <w:rsid w:val="005E1FE6"/>
    <w:rsid w:val="005E3FA6"/>
    <w:rsid w:val="005E4F57"/>
    <w:rsid w:val="005E4FD1"/>
    <w:rsid w:val="005E6AF1"/>
    <w:rsid w:val="005E7130"/>
    <w:rsid w:val="005F0B15"/>
    <w:rsid w:val="005F1FD0"/>
    <w:rsid w:val="005F28EB"/>
    <w:rsid w:val="005F296B"/>
    <w:rsid w:val="005F2D07"/>
    <w:rsid w:val="005F3190"/>
    <w:rsid w:val="005F3D1E"/>
    <w:rsid w:val="005F569E"/>
    <w:rsid w:val="005F5864"/>
    <w:rsid w:val="005F5B38"/>
    <w:rsid w:val="005F6490"/>
    <w:rsid w:val="005F64AD"/>
    <w:rsid w:val="005F658A"/>
    <w:rsid w:val="005F68C6"/>
    <w:rsid w:val="005F6CB3"/>
    <w:rsid w:val="005F6D17"/>
    <w:rsid w:val="005F7BA2"/>
    <w:rsid w:val="006003FC"/>
    <w:rsid w:val="00600524"/>
    <w:rsid w:val="006009CE"/>
    <w:rsid w:val="00600D84"/>
    <w:rsid w:val="00603484"/>
    <w:rsid w:val="0060360E"/>
    <w:rsid w:val="00603A33"/>
    <w:rsid w:val="00604106"/>
    <w:rsid w:val="0060498A"/>
    <w:rsid w:val="00604A75"/>
    <w:rsid w:val="00604EC1"/>
    <w:rsid w:val="00604ED0"/>
    <w:rsid w:val="00605093"/>
    <w:rsid w:val="00606022"/>
    <w:rsid w:val="006073B7"/>
    <w:rsid w:val="00607C7E"/>
    <w:rsid w:val="00607CA0"/>
    <w:rsid w:val="006108A9"/>
    <w:rsid w:val="00610A51"/>
    <w:rsid w:val="00614004"/>
    <w:rsid w:val="00614214"/>
    <w:rsid w:val="00614675"/>
    <w:rsid w:val="00614FD8"/>
    <w:rsid w:val="00615D52"/>
    <w:rsid w:val="006169B5"/>
    <w:rsid w:val="0061730B"/>
    <w:rsid w:val="00617EF4"/>
    <w:rsid w:val="00617FB3"/>
    <w:rsid w:val="00617FE9"/>
    <w:rsid w:val="0062016D"/>
    <w:rsid w:val="00621860"/>
    <w:rsid w:val="00622983"/>
    <w:rsid w:val="006229A7"/>
    <w:rsid w:val="00623948"/>
    <w:rsid w:val="006261CC"/>
    <w:rsid w:val="00626893"/>
    <w:rsid w:val="00626C6F"/>
    <w:rsid w:val="00626CB8"/>
    <w:rsid w:val="006274CE"/>
    <w:rsid w:val="00627A5C"/>
    <w:rsid w:val="00630021"/>
    <w:rsid w:val="00632F1D"/>
    <w:rsid w:val="00632F56"/>
    <w:rsid w:val="00632F95"/>
    <w:rsid w:val="006330D1"/>
    <w:rsid w:val="00634ABD"/>
    <w:rsid w:val="006354BF"/>
    <w:rsid w:val="0063571D"/>
    <w:rsid w:val="00636500"/>
    <w:rsid w:val="00636B24"/>
    <w:rsid w:val="006376B6"/>
    <w:rsid w:val="006400D1"/>
    <w:rsid w:val="00640862"/>
    <w:rsid w:val="00641F55"/>
    <w:rsid w:val="006427A2"/>
    <w:rsid w:val="0064336A"/>
    <w:rsid w:val="00643C32"/>
    <w:rsid w:val="00643E9D"/>
    <w:rsid w:val="00644196"/>
    <w:rsid w:val="00644A09"/>
    <w:rsid w:val="00644A43"/>
    <w:rsid w:val="00645119"/>
    <w:rsid w:val="00645C11"/>
    <w:rsid w:val="00646259"/>
    <w:rsid w:val="00646C49"/>
    <w:rsid w:val="00647085"/>
    <w:rsid w:val="0064777E"/>
    <w:rsid w:val="00647CC9"/>
    <w:rsid w:val="00647F40"/>
    <w:rsid w:val="006507B1"/>
    <w:rsid w:val="006508D3"/>
    <w:rsid w:val="00650902"/>
    <w:rsid w:val="00650910"/>
    <w:rsid w:val="00650B16"/>
    <w:rsid w:val="0065100A"/>
    <w:rsid w:val="00651A8D"/>
    <w:rsid w:val="00651BF0"/>
    <w:rsid w:val="00651F76"/>
    <w:rsid w:val="0065226D"/>
    <w:rsid w:val="00652369"/>
    <w:rsid w:val="0065237B"/>
    <w:rsid w:val="006525AA"/>
    <w:rsid w:val="00652757"/>
    <w:rsid w:val="00653C61"/>
    <w:rsid w:val="006553C2"/>
    <w:rsid w:val="0065550F"/>
    <w:rsid w:val="00655E45"/>
    <w:rsid w:val="00656E52"/>
    <w:rsid w:val="00660F8A"/>
    <w:rsid w:val="00661098"/>
    <w:rsid w:val="0066125C"/>
    <w:rsid w:val="00661D6D"/>
    <w:rsid w:val="006623EF"/>
    <w:rsid w:val="0066275E"/>
    <w:rsid w:val="0066278A"/>
    <w:rsid w:val="00663E6F"/>
    <w:rsid w:val="00663FA8"/>
    <w:rsid w:val="0066427A"/>
    <w:rsid w:val="006643AD"/>
    <w:rsid w:val="006643F7"/>
    <w:rsid w:val="00665212"/>
    <w:rsid w:val="00665A99"/>
    <w:rsid w:val="00665AA9"/>
    <w:rsid w:val="00666A83"/>
    <w:rsid w:val="00666D76"/>
    <w:rsid w:val="00667BBE"/>
    <w:rsid w:val="006704B4"/>
    <w:rsid w:val="0067086A"/>
    <w:rsid w:val="00670A67"/>
    <w:rsid w:val="00670A98"/>
    <w:rsid w:val="00671A84"/>
    <w:rsid w:val="00671BC8"/>
    <w:rsid w:val="00672649"/>
    <w:rsid w:val="006729A9"/>
    <w:rsid w:val="00672CC0"/>
    <w:rsid w:val="00673DFE"/>
    <w:rsid w:val="0067410F"/>
    <w:rsid w:val="006744B0"/>
    <w:rsid w:val="0067472E"/>
    <w:rsid w:val="006749FB"/>
    <w:rsid w:val="006754BE"/>
    <w:rsid w:val="00675D72"/>
    <w:rsid w:val="006769F1"/>
    <w:rsid w:val="00677458"/>
    <w:rsid w:val="006800AC"/>
    <w:rsid w:val="00680980"/>
    <w:rsid w:val="0068147B"/>
    <w:rsid w:val="00681573"/>
    <w:rsid w:val="006819A0"/>
    <w:rsid w:val="00681CCC"/>
    <w:rsid w:val="00682A23"/>
    <w:rsid w:val="006857E2"/>
    <w:rsid w:val="006859BD"/>
    <w:rsid w:val="00685F73"/>
    <w:rsid w:val="00686736"/>
    <w:rsid w:val="006869E1"/>
    <w:rsid w:val="00690DA4"/>
    <w:rsid w:val="006913CE"/>
    <w:rsid w:val="006919BF"/>
    <w:rsid w:val="00691C8B"/>
    <w:rsid w:val="00692717"/>
    <w:rsid w:val="00692B53"/>
    <w:rsid w:val="00693814"/>
    <w:rsid w:val="00694711"/>
    <w:rsid w:val="00694DF0"/>
    <w:rsid w:val="0069532C"/>
    <w:rsid w:val="006953AD"/>
    <w:rsid w:val="006955CF"/>
    <w:rsid w:val="00696083"/>
    <w:rsid w:val="00696AD9"/>
    <w:rsid w:val="00696B3A"/>
    <w:rsid w:val="00696B5D"/>
    <w:rsid w:val="00696FD8"/>
    <w:rsid w:val="00697AA0"/>
    <w:rsid w:val="00697ADF"/>
    <w:rsid w:val="006A08AC"/>
    <w:rsid w:val="006A1096"/>
    <w:rsid w:val="006A129F"/>
    <w:rsid w:val="006A1366"/>
    <w:rsid w:val="006A2E65"/>
    <w:rsid w:val="006A3E5B"/>
    <w:rsid w:val="006A51D2"/>
    <w:rsid w:val="006A5FAB"/>
    <w:rsid w:val="006A63B9"/>
    <w:rsid w:val="006A69B6"/>
    <w:rsid w:val="006A6D9B"/>
    <w:rsid w:val="006A7277"/>
    <w:rsid w:val="006A734C"/>
    <w:rsid w:val="006B0E44"/>
    <w:rsid w:val="006B17B7"/>
    <w:rsid w:val="006B232F"/>
    <w:rsid w:val="006B242F"/>
    <w:rsid w:val="006B2ED4"/>
    <w:rsid w:val="006B3FDF"/>
    <w:rsid w:val="006B4059"/>
    <w:rsid w:val="006B4E3C"/>
    <w:rsid w:val="006B515A"/>
    <w:rsid w:val="006B6EDE"/>
    <w:rsid w:val="006B7574"/>
    <w:rsid w:val="006B7FBB"/>
    <w:rsid w:val="006C06BD"/>
    <w:rsid w:val="006C0866"/>
    <w:rsid w:val="006C0A78"/>
    <w:rsid w:val="006C190C"/>
    <w:rsid w:val="006C1A34"/>
    <w:rsid w:val="006C1E4D"/>
    <w:rsid w:val="006C2229"/>
    <w:rsid w:val="006C43F3"/>
    <w:rsid w:val="006C4820"/>
    <w:rsid w:val="006C5C27"/>
    <w:rsid w:val="006C61D4"/>
    <w:rsid w:val="006C6DA9"/>
    <w:rsid w:val="006D01F6"/>
    <w:rsid w:val="006D0D8C"/>
    <w:rsid w:val="006D102B"/>
    <w:rsid w:val="006D1713"/>
    <w:rsid w:val="006D25F7"/>
    <w:rsid w:val="006D2826"/>
    <w:rsid w:val="006D369E"/>
    <w:rsid w:val="006D378B"/>
    <w:rsid w:val="006D405F"/>
    <w:rsid w:val="006D456D"/>
    <w:rsid w:val="006D4FC8"/>
    <w:rsid w:val="006D54E7"/>
    <w:rsid w:val="006D56AD"/>
    <w:rsid w:val="006D59F9"/>
    <w:rsid w:val="006D6534"/>
    <w:rsid w:val="006D6D7F"/>
    <w:rsid w:val="006D6EEB"/>
    <w:rsid w:val="006D7A4E"/>
    <w:rsid w:val="006E098F"/>
    <w:rsid w:val="006E2FED"/>
    <w:rsid w:val="006E304A"/>
    <w:rsid w:val="006E3A59"/>
    <w:rsid w:val="006E4C97"/>
    <w:rsid w:val="006E4DED"/>
    <w:rsid w:val="006E4E77"/>
    <w:rsid w:val="006E5680"/>
    <w:rsid w:val="006E5877"/>
    <w:rsid w:val="006E72D8"/>
    <w:rsid w:val="006E7C35"/>
    <w:rsid w:val="006F088A"/>
    <w:rsid w:val="006F08AD"/>
    <w:rsid w:val="006F0EDF"/>
    <w:rsid w:val="006F1FB9"/>
    <w:rsid w:val="006F22FD"/>
    <w:rsid w:val="006F35FC"/>
    <w:rsid w:val="006F45EB"/>
    <w:rsid w:val="006F48CD"/>
    <w:rsid w:val="006F506F"/>
    <w:rsid w:val="006F5283"/>
    <w:rsid w:val="006F6414"/>
    <w:rsid w:val="006F7205"/>
    <w:rsid w:val="006F7226"/>
    <w:rsid w:val="006F735C"/>
    <w:rsid w:val="006F78D4"/>
    <w:rsid w:val="006F7BC1"/>
    <w:rsid w:val="007006F7"/>
    <w:rsid w:val="00701234"/>
    <w:rsid w:val="00701A76"/>
    <w:rsid w:val="007024A5"/>
    <w:rsid w:val="00702B2D"/>
    <w:rsid w:val="00702C76"/>
    <w:rsid w:val="007038B8"/>
    <w:rsid w:val="0070395F"/>
    <w:rsid w:val="00703EDF"/>
    <w:rsid w:val="007043D6"/>
    <w:rsid w:val="00704C3A"/>
    <w:rsid w:val="00705170"/>
    <w:rsid w:val="00705472"/>
    <w:rsid w:val="00705A04"/>
    <w:rsid w:val="00706CBF"/>
    <w:rsid w:val="00710894"/>
    <w:rsid w:val="00710DF3"/>
    <w:rsid w:val="00710FF4"/>
    <w:rsid w:val="007111D1"/>
    <w:rsid w:val="007119BD"/>
    <w:rsid w:val="00711BFA"/>
    <w:rsid w:val="00712794"/>
    <w:rsid w:val="007129D8"/>
    <w:rsid w:val="00712AB2"/>
    <w:rsid w:val="00712B58"/>
    <w:rsid w:val="007132CB"/>
    <w:rsid w:val="0071352E"/>
    <w:rsid w:val="00713C15"/>
    <w:rsid w:val="00713EB4"/>
    <w:rsid w:val="007141A5"/>
    <w:rsid w:val="00714E6C"/>
    <w:rsid w:val="00715458"/>
    <w:rsid w:val="00715B22"/>
    <w:rsid w:val="00716729"/>
    <w:rsid w:val="007179F8"/>
    <w:rsid w:val="0072023D"/>
    <w:rsid w:val="00720A34"/>
    <w:rsid w:val="00720E0C"/>
    <w:rsid w:val="007210FB"/>
    <w:rsid w:val="00721173"/>
    <w:rsid w:val="0072133D"/>
    <w:rsid w:val="0072141D"/>
    <w:rsid w:val="0072219D"/>
    <w:rsid w:val="007221EE"/>
    <w:rsid w:val="0072322D"/>
    <w:rsid w:val="007237D7"/>
    <w:rsid w:val="00724025"/>
    <w:rsid w:val="00724240"/>
    <w:rsid w:val="007245D7"/>
    <w:rsid w:val="00724881"/>
    <w:rsid w:val="00724DEA"/>
    <w:rsid w:val="00725664"/>
    <w:rsid w:val="007256A6"/>
    <w:rsid w:val="0072736F"/>
    <w:rsid w:val="007274DF"/>
    <w:rsid w:val="00727562"/>
    <w:rsid w:val="007276ED"/>
    <w:rsid w:val="0073023F"/>
    <w:rsid w:val="00730441"/>
    <w:rsid w:val="00730C7F"/>
    <w:rsid w:val="00730FDF"/>
    <w:rsid w:val="007310C9"/>
    <w:rsid w:val="00731D86"/>
    <w:rsid w:val="00732108"/>
    <w:rsid w:val="00732200"/>
    <w:rsid w:val="00732881"/>
    <w:rsid w:val="0073322D"/>
    <w:rsid w:val="007333F3"/>
    <w:rsid w:val="0073359A"/>
    <w:rsid w:val="007342FC"/>
    <w:rsid w:val="0073430A"/>
    <w:rsid w:val="007344D2"/>
    <w:rsid w:val="00734578"/>
    <w:rsid w:val="0073504E"/>
    <w:rsid w:val="00736461"/>
    <w:rsid w:val="007376EC"/>
    <w:rsid w:val="007406B6"/>
    <w:rsid w:val="00740A17"/>
    <w:rsid w:val="00741078"/>
    <w:rsid w:val="007412F8"/>
    <w:rsid w:val="00741784"/>
    <w:rsid w:val="00742925"/>
    <w:rsid w:val="00743039"/>
    <w:rsid w:val="00744CC5"/>
    <w:rsid w:val="00745077"/>
    <w:rsid w:val="0074530D"/>
    <w:rsid w:val="00745421"/>
    <w:rsid w:val="00746BC2"/>
    <w:rsid w:val="00746EE4"/>
    <w:rsid w:val="0074743A"/>
    <w:rsid w:val="0074757E"/>
    <w:rsid w:val="00747C3A"/>
    <w:rsid w:val="00747EAE"/>
    <w:rsid w:val="00750075"/>
    <w:rsid w:val="00750317"/>
    <w:rsid w:val="00750BFE"/>
    <w:rsid w:val="00751596"/>
    <w:rsid w:val="00753CFA"/>
    <w:rsid w:val="00754217"/>
    <w:rsid w:val="007561EB"/>
    <w:rsid w:val="00756713"/>
    <w:rsid w:val="007569B4"/>
    <w:rsid w:val="00757F96"/>
    <w:rsid w:val="00760DD4"/>
    <w:rsid w:val="00760F80"/>
    <w:rsid w:val="00761BF6"/>
    <w:rsid w:val="00761E66"/>
    <w:rsid w:val="00762209"/>
    <w:rsid w:val="00762842"/>
    <w:rsid w:val="007628A9"/>
    <w:rsid w:val="007631A2"/>
    <w:rsid w:val="00764A6D"/>
    <w:rsid w:val="007667F1"/>
    <w:rsid w:val="007669F1"/>
    <w:rsid w:val="0076711C"/>
    <w:rsid w:val="00770470"/>
    <w:rsid w:val="007717E7"/>
    <w:rsid w:val="007736D8"/>
    <w:rsid w:val="00773A85"/>
    <w:rsid w:val="00776D68"/>
    <w:rsid w:val="00777701"/>
    <w:rsid w:val="007779B1"/>
    <w:rsid w:val="00777EDD"/>
    <w:rsid w:val="00780024"/>
    <w:rsid w:val="007804FE"/>
    <w:rsid w:val="00780A6D"/>
    <w:rsid w:val="00780C22"/>
    <w:rsid w:val="007813C8"/>
    <w:rsid w:val="00781FDD"/>
    <w:rsid w:val="0078220B"/>
    <w:rsid w:val="007829BB"/>
    <w:rsid w:val="00784473"/>
    <w:rsid w:val="00784747"/>
    <w:rsid w:val="00784CA7"/>
    <w:rsid w:val="0078500B"/>
    <w:rsid w:val="00785AFF"/>
    <w:rsid w:val="00786DE8"/>
    <w:rsid w:val="0078708E"/>
    <w:rsid w:val="0078730A"/>
    <w:rsid w:val="00787F91"/>
    <w:rsid w:val="007901F2"/>
    <w:rsid w:val="00790C1E"/>
    <w:rsid w:val="00791059"/>
    <w:rsid w:val="00791DB3"/>
    <w:rsid w:val="00791E7E"/>
    <w:rsid w:val="0079208F"/>
    <w:rsid w:val="007920D0"/>
    <w:rsid w:val="0079255B"/>
    <w:rsid w:val="00792D08"/>
    <w:rsid w:val="00793292"/>
    <w:rsid w:val="00794239"/>
    <w:rsid w:val="007942C4"/>
    <w:rsid w:val="007958A7"/>
    <w:rsid w:val="00795B2D"/>
    <w:rsid w:val="00795BAA"/>
    <w:rsid w:val="00795E55"/>
    <w:rsid w:val="007963F1"/>
    <w:rsid w:val="00796D17"/>
    <w:rsid w:val="0079743D"/>
    <w:rsid w:val="007974D8"/>
    <w:rsid w:val="007A04D2"/>
    <w:rsid w:val="007A071A"/>
    <w:rsid w:val="007A10E1"/>
    <w:rsid w:val="007A1597"/>
    <w:rsid w:val="007A1733"/>
    <w:rsid w:val="007A17FE"/>
    <w:rsid w:val="007A1FA1"/>
    <w:rsid w:val="007A209F"/>
    <w:rsid w:val="007A287F"/>
    <w:rsid w:val="007A2BEE"/>
    <w:rsid w:val="007A2C2E"/>
    <w:rsid w:val="007A2F72"/>
    <w:rsid w:val="007A33BD"/>
    <w:rsid w:val="007A37E8"/>
    <w:rsid w:val="007A43BD"/>
    <w:rsid w:val="007A5467"/>
    <w:rsid w:val="007A6689"/>
    <w:rsid w:val="007A6F3B"/>
    <w:rsid w:val="007A74F6"/>
    <w:rsid w:val="007A77A3"/>
    <w:rsid w:val="007A7AAF"/>
    <w:rsid w:val="007B0707"/>
    <w:rsid w:val="007B0BA4"/>
    <w:rsid w:val="007B14BC"/>
    <w:rsid w:val="007B2925"/>
    <w:rsid w:val="007B4058"/>
    <w:rsid w:val="007B5CF3"/>
    <w:rsid w:val="007B78B4"/>
    <w:rsid w:val="007C0607"/>
    <w:rsid w:val="007C0F1F"/>
    <w:rsid w:val="007C1CF2"/>
    <w:rsid w:val="007C2882"/>
    <w:rsid w:val="007C2AA9"/>
    <w:rsid w:val="007C2B24"/>
    <w:rsid w:val="007C2B2C"/>
    <w:rsid w:val="007C317F"/>
    <w:rsid w:val="007C31AD"/>
    <w:rsid w:val="007C3BDC"/>
    <w:rsid w:val="007C3F49"/>
    <w:rsid w:val="007C4595"/>
    <w:rsid w:val="007C4657"/>
    <w:rsid w:val="007C4A94"/>
    <w:rsid w:val="007C635E"/>
    <w:rsid w:val="007C6AB9"/>
    <w:rsid w:val="007C7708"/>
    <w:rsid w:val="007D045F"/>
    <w:rsid w:val="007D0625"/>
    <w:rsid w:val="007D06AF"/>
    <w:rsid w:val="007D0C76"/>
    <w:rsid w:val="007D2892"/>
    <w:rsid w:val="007D2B1A"/>
    <w:rsid w:val="007D364F"/>
    <w:rsid w:val="007D4550"/>
    <w:rsid w:val="007D52EF"/>
    <w:rsid w:val="007D5726"/>
    <w:rsid w:val="007D6E17"/>
    <w:rsid w:val="007D73E9"/>
    <w:rsid w:val="007D7BD5"/>
    <w:rsid w:val="007D7BE0"/>
    <w:rsid w:val="007E0D25"/>
    <w:rsid w:val="007E1331"/>
    <w:rsid w:val="007E16C6"/>
    <w:rsid w:val="007E1AD8"/>
    <w:rsid w:val="007E1D8C"/>
    <w:rsid w:val="007E211E"/>
    <w:rsid w:val="007E23F8"/>
    <w:rsid w:val="007E26D0"/>
    <w:rsid w:val="007E2819"/>
    <w:rsid w:val="007E3586"/>
    <w:rsid w:val="007E3675"/>
    <w:rsid w:val="007E3F49"/>
    <w:rsid w:val="007E4896"/>
    <w:rsid w:val="007E4DF9"/>
    <w:rsid w:val="007E4F31"/>
    <w:rsid w:val="007E5E66"/>
    <w:rsid w:val="007E5EA5"/>
    <w:rsid w:val="007E7A41"/>
    <w:rsid w:val="007E7C99"/>
    <w:rsid w:val="007F0B68"/>
    <w:rsid w:val="007F0BEE"/>
    <w:rsid w:val="007F16E3"/>
    <w:rsid w:val="007F1FAB"/>
    <w:rsid w:val="007F27B9"/>
    <w:rsid w:val="007F2B46"/>
    <w:rsid w:val="007F3DD5"/>
    <w:rsid w:val="007F4BAA"/>
    <w:rsid w:val="007F59B0"/>
    <w:rsid w:val="007F63BE"/>
    <w:rsid w:val="007F6E35"/>
    <w:rsid w:val="007F72BD"/>
    <w:rsid w:val="007F7547"/>
    <w:rsid w:val="007F790A"/>
    <w:rsid w:val="007F7EC3"/>
    <w:rsid w:val="007F7EC7"/>
    <w:rsid w:val="00800370"/>
    <w:rsid w:val="00800A54"/>
    <w:rsid w:val="00801519"/>
    <w:rsid w:val="0080160E"/>
    <w:rsid w:val="00801888"/>
    <w:rsid w:val="00802432"/>
    <w:rsid w:val="008037FE"/>
    <w:rsid w:val="00803832"/>
    <w:rsid w:val="00803847"/>
    <w:rsid w:val="008045E3"/>
    <w:rsid w:val="0080479F"/>
    <w:rsid w:val="00806DE8"/>
    <w:rsid w:val="0080720B"/>
    <w:rsid w:val="008073C7"/>
    <w:rsid w:val="00807498"/>
    <w:rsid w:val="008076C2"/>
    <w:rsid w:val="008104C9"/>
    <w:rsid w:val="00810D5B"/>
    <w:rsid w:val="00811780"/>
    <w:rsid w:val="00811DAA"/>
    <w:rsid w:val="008127AC"/>
    <w:rsid w:val="008127E4"/>
    <w:rsid w:val="00812DEC"/>
    <w:rsid w:val="00813123"/>
    <w:rsid w:val="00814573"/>
    <w:rsid w:val="00814FB9"/>
    <w:rsid w:val="00815145"/>
    <w:rsid w:val="00815288"/>
    <w:rsid w:val="008152AF"/>
    <w:rsid w:val="008174EF"/>
    <w:rsid w:val="0081779C"/>
    <w:rsid w:val="00820356"/>
    <w:rsid w:val="00820FD0"/>
    <w:rsid w:val="008221E5"/>
    <w:rsid w:val="00822BD2"/>
    <w:rsid w:val="00824221"/>
    <w:rsid w:val="008252A1"/>
    <w:rsid w:val="008258DF"/>
    <w:rsid w:val="00825B1A"/>
    <w:rsid w:val="00825C71"/>
    <w:rsid w:val="008264C9"/>
    <w:rsid w:val="008267D1"/>
    <w:rsid w:val="00826869"/>
    <w:rsid w:val="00826EA6"/>
    <w:rsid w:val="00827883"/>
    <w:rsid w:val="00827F17"/>
    <w:rsid w:val="00830D9C"/>
    <w:rsid w:val="00831071"/>
    <w:rsid w:val="00831336"/>
    <w:rsid w:val="008326CA"/>
    <w:rsid w:val="0083389E"/>
    <w:rsid w:val="00834513"/>
    <w:rsid w:val="008353F9"/>
    <w:rsid w:val="00835688"/>
    <w:rsid w:val="0083611B"/>
    <w:rsid w:val="008363A2"/>
    <w:rsid w:val="0083721F"/>
    <w:rsid w:val="008372C3"/>
    <w:rsid w:val="00837A17"/>
    <w:rsid w:val="0084052C"/>
    <w:rsid w:val="008407DA"/>
    <w:rsid w:val="008413D2"/>
    <w:rsid w:val="00841675"/>
    <w:rsid w:val="008417C4"/>
    <w:rsid w:val="008418F3"/>
    <w:rsid w:val="00841EA6"/>
    <w:rsid w:val="008421D1"/>
    <w:rsid w:val="008421D3"/>
    <w:rsid w:val="008440D0"/>
    <w:rsid w:val="00844D85"/>
    <w:rsid w:val="0084580D"/>
    <w:rsid w:val="00845A4B"/>
    <w:rsid w:val="00845D4C"/>
    <w:rsid w:val="0084665E"/>
    <w:rsid w:val="00846900"/>
    <w:rsid w:val="00846BE5"/>
    <w:rsid w:val="00846D14"/>
    <w:rsid w:val="008471DD"/>
    <w:rsid w:val="00847579"/>
    <w:rsid w:val="00847807"/>
    <w:rsid w:val="00847A0B"/>
    <w:rsid w:val="00850026"/>
    <w:rsid w:val="0085043C"/>
    <w:rsid w:val="00850B68"/>
    <w:rsid w:val="00851440"/>
    <w:rsid w:val="0085182B"/>
    <w:rsid w:val="00851935"/>
    <w:rsid w:val="0085286E"/>
    <w:rsid w:val="00852D83"/>
    <w:rsid w:val="008532C3"/>
    <w:rsid w:val="00853584"/>
    <w:rsid w:val="008535AA"/>
    <w:rsid w:val="0085393E"/>
    <w:rsid w:val="00854D19"/>
    <w:rsid w:val="00855834"/>
    <w:rsid w:val="008569BF"/>
    <w:rsid w:val="00856C40"/>
    <w:rsid w:val="00857314"/>
    <w:rsid w:val="0085757D"/>
    <w:rsid w:val="008578D6"/>
    <w:rsid w:val="00857D00"/>
    <w:rsid w:val="00860106"/>
    <w:rsid w:val="0086014E"/>
    <w:rsid w:val="0086024F"/>
    <w:rsid w:val="008609F7"/>
    <w:rsid w:val="008615F6"/>
    <w:rsid w:val="00861F57"/>
    <w:rsid w:val="0086219F"/>
    <w:rsid w:val="00862549"/>
    <w:rsid w:val="00862A2C"/>
    <w:rsid w:val="00862E0B"/>
    <w:rsid w:val="0086364E"/>
    <w:rsid w:val="00863F2D"/>
    <w:rsid w:val="00864F62"/>
    <w:rsid w:val="00864F6D"/>
    <w:rsid w:val="00865119"/>
    <w:rsid w:val="008651B7"/>
    <w:rsid w:val="00866A5E"/>
    <w:rsid w:val="00866DE6"/>
    <w:rsid w:val="00867512"/>
    <w:rsid w:val="008678EA"/>
    <w:rsid w:val="00870288"/>
    <w:rsid w:val="00870748"/>
    <w:rsid w:val="0087194A"/>
    <w:rsid w:val="00871A31"/>
    <w:rsid w:val="00872047"/>
    <w:rsid w:val="0087402F"/>
    <w:rsid w:val="00874920"/>
    <w:rsid w:val="00876A10"/>
    <w:rsid w:val="00876ACE"/>
    <w:rsid w:val="008773A0"/>
    <w:rsid w:val="008773AC"/>
    <w:rsid w:val="008775ED"/>
    <w:rsid w:val="00880B79"/>
    <w:rsid w:val="0088127A"/>
    <w:rsid w:val="00882936"/>
    <w:rsid w:val="00884E3A"/>
    <w:rsid w:val="0088576B"/>
    <w:rsid w:val="00886C60"/>
    <w:rsid w:val="00887589"/>
    <w:rsid w:val="0089005D"/>
    <w:rsid w:val="008906C4"/>
    <w:rsid w:val="008915A7"/>
    <w:rsid w:val="00891950"/>
    <w:rsid w:val="008919AB"/>
    <w:rsid w:val="00892275"/>
    <w:rsid w:val="008922BC"/>
    <w:rsid w:val="0089230F"/>
    <w:rsid w:val="00892F3A"/>
    <w:rsid w:val="00893C6F"/>
    <w:rsid w:val="00893D9D"/>
    <w:rsid w:val="00893E6C"/>
    <w:rsid w:val="00894CC5"/>
    <w:rsid w:val="008951EF"/>
    <w:rsid w:val="00896676"/>
    <w:rsid w:val="008972CB"/>
    <w:rsid w:val="00897633"/>
    <w:rsid w:val="0089763F"/>
    <w:rsid w:val="008A00DD"/>
    <w:rsid w:val="008A0207"/>
    <w:rsid w:val="008A107B"/>
    <w:rsid w:val="008A1A90"/>
    <w:rsid w:val="008A1C04"/>
    <w:rsid w:val="008A1D74"/>
    <w:rsid w:val="008A217F"/>
    <w:rsid w:val="008A28FC"/>
    <w:rsid w:val="008A2C47"/>
    <w:rsid w:val="008A36CD"/>
    <w:rsid w:val="008A3B0C"/>
    <w:rsid w:val="008A42A3"/>
    <w:rsid w:val="008A44AA"/>
    <w:rsid w:val="008A610E"/>
    <w:rsid w:val="008B0D3C"/>
    <w:rsid w:val="008B0FD9"/>
    <w:rsid w:val="008B0FF6"/>
    <w:rsid w:val="008B1433"/>
    <w:rsid w:val="008B2004"/>
    <w:rsid w:val="008B23E1"/>
    <w:rsid w:val="008B2449"/>
    <w:rsid w:val="008B3537"/>
    <w:rsid w:val="008B474F"/>
    <w:rsid w:val="008B49E1"/>
    <w:rsid w:val="008B4FAD"/>
    <w:rsid w:val="008B599F"/>
    <w:rsid w:val="008B5E7D"/>
    <w:rsid w:val="008B67A8"/>
    <w:rsid w:val="008B7EC9"/>
    <w:rsid w:val="008C017B"/>
    <w:rsid w:val="008C0894"/>
    <w:rsid w:val="008C0E23"/>
    <w:rsid w:val="008C0E9C"/>
    <w:rsid w:val="008C0FC8"/>
    <w:rsid w:val="008C1096"/>
    <w:rsid w:val="008C111E"/>
    <w:rsid w:val="008C122D"/>
    <w:rsid w:val="008C1620"/>
    <w:rsid w:val="008C167D"/>
    <w:rsid w:val="008C1858"/>
    <w:rsid w:val="008C192F"/>
    <w:rsid w:val="008C1B70"/>
    <w:rsid w:val="008C20DD"/>
    <w:rsid w:val="008C2188"/>
    <w:rsid w:val="008C24AA"/>
    <w:rsid w:val="008C2905"/>
    <w:rsid w:val="008C2B8C"/>
    <w:rsid w:val="008C3569"/>
    <w:rsid w:val="008C630D"/>
    <w:rsid w:val="008C75E9"/>
    <w:rsid w:val="008C7603"/>
    <w:rsid w:val="008D0615"/>
    <w:rsid w:val="008D0A35"/>
    <w:rsid w:val="008D0B26"/>
    <w:rsid w:val="008D0B91"/>
    <w:rsid w:val="008D1554"/>
    <w:rsid w:val="008D2290"/>
    <w:rsid w:val="008D311B"/>
    <w:rsid w:val="008D330C"/>
    <w:rsid w:val="008D437C"/>
    <w:rsid w:val="008D4627"/>
    <w:rsid w:val="008D525A"/>
    <w:rsid w:val="008D699A"/>
    <w:rsid w:val="008D7492"/>
    <w:rsid w:val="008D779D"/>
    <w:rsid w:val="008D7852"/>
    <w:rsid w:val="008E07AE"/>
    <w:rsid w:val="008E0B4C"/>
    <w:rsid w:val="008E0BFE"/>
    <w:rsid w:val="008E1887"/>
    <w:rsid w:val="008E23EA"/>
    <w:rsid w:val="008E2CB9"/>
    <w:rsid w:val="008E2FAA"/>
    <w:rsid w:val="008E3840"/>
    <w:rsid w:val="008E46BA"/>
    <w:rsid w:val="008E477C"/>
    <w:rsid w:val="008E47F9"/>
    <w:rsid w:val="008E4B50"/>
    <w:rsid w:val="008E4E0C"/>
    <w:rsid w:val="008E4ECF"/>
    <w:rsid w:val="008E5A6B"/>
    <w:rsid w:val="008E5ADD"/>
    <w:rsid w:val="008E6444"/>
    <w:rsid w:val="008E65F7"/>
    <w:rsid w:val="008E6ECC"/>
    <w:rsid w:val="008E771C"/>
    <w:rsid w:val="008E79B1"/>
    <w:rsid w:val="008F0247"/>
    <w:rsid w:val="008F098C"/>
    <w:rsid w:val="008F0D92"/>
    <w:rsid w:val="008F0F2E"/>
    <w:rsid w:val="008F149A"/>
    <w:rsid w:val="008F20EC"/>
    <w:rsid w:val="008F2761"/>
    <w:rsid w:val="008F421D"/>
    <w:rsid w:val="008F46B3"/>
    <w:rsid w:val="008F4B74"/>
    <w:rsid w:val="008F5A1B"/>
    <w:rsid w:val="008F60D0"/>
    <w:rsid w:val="008F66E7"/>
    <w:rsid w:val="008F69CA"/>
    <w:rsid w:val="008F72DE"/>
    <w:rsid w:val="00900C71"/>
    <w:rsid w:val="00900E27"/>
    <w:rsid w:val="009022CC"/>
    <w:rsid w:val="00902678"/>
    <w:rsid w:val="009030C0"/>
    <w:rsid w:val="00903189"/>
    <w:rsid w:val="009035BD"/>
    <w:rsid w:val="00903624"/>
    <w:rsid w:val="009044ED"/>
    <w:rsid w:val="009052F4"/>
    <w:rsid w:val="00905494"/>
    <w:rsid w:val="00907117"/>
    <w:rsid w:val="00907275"/>
    <w:rsid w:val="00907530"/>
    <w:rsid w:val="00907B49"/>
    <w:rsid w:val="00910468"/>
    <w:rsid w:val="00910701"/>
    <w:rsid w:val="00910796"/>
    <w:rsid w:val="0091096A"/>
    <w:rsid w:val="00910B2F"/>
    <w:rsid w:val="00911084"/>
    <w:rsid w:val="0091173E"/>
    <w:rsid w:val="009117B1"/>
    <w:rsid w:val="00911B32"/>
    <w:rsid w:val="00914ABE"/>
    <w:rsid w:val="009152FA"/>
    <w:rsid w:val="009155AA"/>
    <w:rsid w:val="00915B06"/>
    <w:rsid w:val="0091701A"/>
    <w:rsid w:val="009174FD"/>
    <w:rsid w:val="00917895"/>
    <w:rsid w:val="00920648"/>
    <w:rsid w:val="00921944"/>
    <w:rsid w:val="009221A4"/>
    <w:rsid w:val="0092272A"/>
    <w:rsid w:val="00923465"/>
    <w:rsid w:val="0092506E"/>
    <w:rsid w:val="00925470"/>
    <w:rsid w:val="00925494"/>
    <w:rsid w:val="00925DB5"/>
    <w:rsid w:val="009261C8"/>
    <w:rsid w:val="009265D3"/>
    <w:rsid w:val="00927825"/>
    <w:rsid w:val="00927FD7"/>
    <w:rsid w:val="009302B1"/>
    <w:rsid w:val="00930505"/>
    <w:rsid w:val="00930791"/>
    <w:rsid w:val="00930D28"/>
    <w:rsid w:val="0093141A"/>
    <w:rsid w:val="00931834"/>
    <w:rsid w:val="00931A6A"/>
    <w:rsid w:val="009329E2"/>
    <w:rsid w:val="00933172"/>
    <w:rsid w:val="00933D14"/>
    <w:rsid w:val="00935AA5"/>
    <w:rsid w:val="00935C05"/>
    <w:rsid w:val="0093626F"/>
    <w:rsid w:val="009365D3"/>
    <w:rsid w:val="009370C6"/>
    <w:rsid w:val="00937338"/>
    <w:rsid w:val="0093764D"/>
    <w:rsid w:val="009376E9"/>
    <w:rsid w:val="00937DBC"/>
    <w:rsid w:val="009405D8"/>
    <w:rsid w:val="0094088F"/>
    <w:rsid w:val="00941046"/>
    <w:rsid w:val="0094131E"/>
    <w:rsid w:val="009416E0"/>
    <w:rsid w:val="00942612"/>
    <w:rsid w:val="009426F7"/>
    <w:rsid w:val="009429A3"/>
    <w:rsid w:val="00943450"/>
    <w:rsid w:val="00943688"/>
    <w:rsid w:val="009437E2"/>
    <w:rsid w:val="00943A1D"/>
    <w:rsid w:val="009454DD"/>
    <w:rsid w:val="0094580B"/>
    <w:rsid w:val="00946751"/>
    <w:rsid w:val="009476D2"/>
    <w:rsid w:val="0095050B"/>
    <w:rsid w:val="00950750"/>
    <w:rsid w:val="009511D3"/>
    <w:rsid w:val="009519C4"/>
    <w:rsid w:val="00951A3F"/>
    <w:rsid w:val="009529F7"/>
    <w:rsid w:val="00953738"/>
    <w:rsid w:val="00954B14"/>
    <w:rsid w:val="00954B1E"/>
    <w:rsid w:val="00954EFC"/>
    <w:rsid w:val="00955596"/>
    <w:rsid w:val="00955997"/>
    <w:rsid w:val="00955D19"/>
    <w:rsid w:val="00955D88"/>
    <w:rsid w:val="00955FC3"/>
    <w:rsid w:val="00956FB3"/>
    <w:rsid w:val="009571C8"/>
    <w:rsid w:val="009574C1"/>
    <w:rsid w:val="00957CBC"/>
    <w:rsid w:val="00957FA0"/>
    <w:rsid w:val="0096084D"/>
    <w:rsid w:val="00960877"/>
    <w:rsid w:val="00961F0A"/>
    <w:rsid w:val="009621CA"/>
    <w:rsid w:val="00962467"/>
    <w:rsid w:val="009627EF"/>
    <w:rsid w:val="00963715"/>
    <w:rsid w:val="0096428A"/>
    <w:rsid w:val="009642D0"/>
    <w:rsid w:val="00964433"/>
    <w:rsid w:val="009645AF"/>
    <w:rsid w:val="00965BE1"/>
    <w:rsid w:val="00966A19"/>
    <w:rsid w:val="009674A3"/>
    <w:rsid w:val="00971933"/>
    <w:rsid w:val="00971D7D"/>
    <w:rsid w:val="00971FF3"/>
    <w:rsid w:val="00972809"/>
    <w:rsid w:val="00972935"/>
    <w:rsid w:val="00976F3C"/>
    <w:rsid w:val="00976FCA"/>
    <w:rsid w:val="0097739D"/>
    <w:rsid w:val="00977725"/>
    <w:rsid w:val="00977C77"/>
    <w:rsid w:val="00980C86"/>
    <w:rsid w:val="0098114E"/>
    <w:rsid w:val="0098126F"/>
    <w:rsid w:val="009821DE"/>
    <w:rsid w:val="00982852"/>
    <w:rsid w:val="00982C27"/>
    <w:rsid w:val="00982C42"/>
    <w:rsid w:val="00982D89"/>
    <w:rsid w:val="00982D99"/>
    <w:rsid w:val="00982E85"/>
    <w:rsid w:val="009832EC"/>
    <w:rsid w:val="0098394F"/>
    <w:rsid w:val="00984385"/>
    <w:rsid w:val="0098444C"/>
    <w:rsid w:val="00984D33"/>
    <w:rsid w:val="00985126"/>
    <w:rsid w:val="00985131"/>
    <w:rsid w:val="00985146"/>
    <w:rsid w:val="00986723"/>
    <w:rsid w:val="00986BD6"/>
    <w:rsid w:val="00987733"/>
    <w:rsid w:val="0098776C"/>
    <w:rsid w:val="009901F5"/>
    <w:rsid w:val="009918B8"/>
    <w:rsid w:val="00991D87"/>
    <w:rsid w:val="00991DD7"/>
    <w:rsid w:val="0099200A"/>
    <w:rsid w:val="00992617"/>
    <w:rsid w:val="00993006"/>
    <w:rsid w:val="009951F3"/>
    <w:rsid w:val="00995205"/>
    <w:rsid w:val="00995324"/>
    <w:rsid w:val="0099549A"/>
    <w:rsid w:val="0099680F"/>
    <w:rsid w:val="00997046"/>
    <w:rsid w:val="009970C6"/>
    <w:rsid w:val="00997125"/>
    <w:rsid w:val="00997192"/>
    <w:rsid w:val="00997E5A"/>
    <w:rsid w:val="009A090B"/>
    <w:rsid w:val="009A0AAC"/>
    <w:rsid w:val="009A1691"/>
    <w:rsid w:val="009A1D4A"/>
    <w:rsid w:val="009A2C9E"/>
    <w:rsid w:val="009A2DF8"/>
    <w:rsid w:val="009A324F"/>
    <w:rsid w:val="009A32DA"/>
    <w:rsid w:val="009A33B1"/>
    <w:rsid w:val="009A35EA"/>
    <w:rsid w:val="009A37F9"/>
    <w:rsid w:val="009A42CA"/>
    <w:rsid w:val="009A592E"/>
    <w:rsid w:val="009A5E6B"/>
    <w:rsid w:val="009A7429"/>
    <w:rsid w:val="009A7692"/>
    <w:rsid w:val="009A7717"/>
    <w:rsid w:val="009B0190"/>
    <w:rsid w:val="009B0B8E"/>
    <w:rsid w:val="009B20DE"/>
    <w:rsid w:val="009B2526"/>
    <w:rsid w:val="009B305A"/>
    <w:rsid w:val="009B31DF"/>
    <w:rsid w:val="009B380A"/>
    <w:rsid w:val="009B3D40"/>
    <w:rsid w:val="009B3DBF"/>
    <w:rsid w:val="009B456C"/>
    <w:rsid w:val="009B4725"/>
    <w:rsid w:val="009B513F"/>
    <w:rsid w:val="009B525C"/>
    <w:rsid w:val="009B58C9"/>
    <w:rsid w:val="009B68E6"/>
    <w:rsid w:val="009B6BB5"/>
    <w:rsid w:val="009B722B"/>
    <w:rsid w:val="009B7E3A"/>
    <w:rsid w:val="009C0623"/>
    <w:rsid w:val="009C1752"/>
    <w:rsid w:val="009C302F"/>
    <w:rsid w:val="009C3D18"/>
    <w:rsid w:val="009C4193"/>
    <w:rsid w:val="009C4362"/>
    <w:rsid w:val="009C474B"/>
    <w:rsid w:val="009C56F5"/>
    <w:rsid w:val="009C57E0"/>
    <w:rsid w:val="009C5BBE"/>
    <w:rsid w:val="009C6183"/>
    <w:rsid w:val="009C663E"/>
    <w:rsid w:val="009C7297"/>
    <w:rsid w:val="009D0203"/>
    <w:rsid w:val="009D0BD6"/>
    <w:rsid w:val="009D0E0D"/>
    <w:rsid w:val="009D2DF3"/>
    <w:rsid w:val="009D3C86"/>
    <w:rsid w:val="009D3D3A"/>
    <w:rsid w:val="009D4367"/>
    <w:rsid w:val="009D45F6"/>
    <w:rsid w:val="009D4EB0"/>
    <w:rsid w:val="009D59C4"/>
    <w:rsid w:val="009D5B62"/>
    <w:rsid w:val="009D5E89"/>
    <w:rsid w:val="009D660F"/>
    <w:rsid w:val="009D699C"/>
    <w:rsid w:val="009E011C"/>
    <w:rsid w:val="009E15E5"/>
    <w:rsid w:val="009E2536"/>
    <w:rsid w:val="009E2C7D"/>
    <w:rsid w:val="009E2F39"/>
    <w:rsid w:val="009E2F76"/>
    <w:rsid w:val="009E38CF"/>
    <w:rsid w:val="009E476E"/>
    <w:rsid w:val="009E4EB4"/>
    <w:rsid w:val="009E5326"/>
    <w:rsid w:val="009E573C"/>
    <w:rsid w:val="009E63B5"/>
    <w:rsid w:val="009E7F7F"/>
    <w:rsid w:val="009F018D"/>
    <w:rsid w:val="009F02AD"/>
    <w:rsid w:val="009F072C"/>
    <w:rsid w:val="009F102B"/>
    <w:rsid w:val="009F22B6"/>
    <w:rsid w:val="009F46AC"/>
    <w:rsid w:val="009F5000"/>
    <w:rsid w:val="009F577B"/>
    <w:rsid w:val="009F5A14"/>
    <w:rsid w:val="009F6837"/>
    <w:rsid w:val="009F71B4"/>
    <w:rsid w:val="009F71C0"/>
    <w:rsid w:val="009F7348"/>
    <w:rsid w:val="009F76A7"/>
    <w:rsid w:val="009F7F74"/>
    <w:rsid w:val="00A0017C"/>
    <w:rsid w:val="00A016C3"/>
    <w:rsid w:val="00A01707"/>
    <w:rsid w:val="00A02931"/>
    <w:rsid w:val="00A036C0"/>
    <w:rsid w:val="00A0532B"/>
    <w:rsid w:val="00A05AA1"/>
    <w:rsid w:val="00A06E71"/>
    <w:rsid w:val="00A127C1"/>
    <w:rsid w:val="00A129C7"/>
    <w:rsid w:val="00A12E11"/>
    <w:rsid w:val="00A131F0"/>
    <w:rsid w:val="00A13C13"/>
    <w:rsid w:val="00A14548"/>
    <w:rsid w:val="00A14893"/>
    <w:rsid w:val="00A14DB4"/>
    <w:rsid w:val="00A1519F"/>
    <w:rsid w:val="00A15675"/>
    <w:rsid w:val="00A16492"/>
    <w:rsid w:val="00A16DD4"/>
    <w:rsid w:val="00A17A07"/>
    <w:rsid w:val="00A209DD"/>
    <w:rsid w:val="00A215F5"/>
    <w:rsid w:val="00A22230"/>
    <w:rsid w:val="00A22494"/>
    <w:rsid w:val="00A23345"/>
    <w:rsid w:val="00A23CAD"/>
    <w:rsid w:val="00A23ECC"/>
    <w:rsid w:val="00A2403B"/>
    <w:rsid w:val="00A24B2D"/>
    <w:rsid w:val="00A250BD"/>
    <w:rsid w:val="00A25467"/>
    <w:rsid w:val="00A259E0"/>
    <w:rsid w:val="00A26F81"/>
    <w:rsid w:val="00A271B9"/>
    <w:rsid w:val="00A27CBA"/>
    <w:rsid w:val="00A3009A"/>
    <w:rsid w:val="00A300CC"/>
    <w:rsid w:val="00A302F7"/>
    <w:rsid w:val="00A30501"/>
    <w:rsid w:val="00A30D4B"/>
    <w:rsid w:val="00A31249"/>
    <w:rsid w:val="00A3145E"/>
    <w:rsid w:val="00A318E3"/>
    <w:rsid w:val="00A31CCE"/>
    <w:rsid w:val="00A31D46"/>
    <w:rsid w:val="00A328BE"/>
    <w:rsid w:val="00A32FB1"/>
    <w:rsid w:val="00A3323A"/>
    <w:rsid w:val="00A339CF"/>
    <w:rsid w:val="00A35103"/>
    <w:rsid w:val="00A354A0"/>
    <w:rsid w:val="00A36165"/>
    <w:rsid w:val="00A37DC1"/>
    <w:rsid w:val="00A40154"/>
    <w:rsid w:val="00A40609"/>
    <w:rsid w:val="00A410B7"/>
    <w:rsid w:val="00A411FF"/>
    <w:rsid w:val="00A41901"/>
    <w:rsid w:val="00A41A01"/>
    <w:rsid w:val="00A41BF0"/>
    <w:rsid w:val="00A41D2C"/>
    <w:rsid w:val="00A42561"/>
    <w:rsid w:val="00A4260E"/>
    <w:rsid w:val="00A42AF4"/>
    <w:rsid w:val="00A43F01"/>
    <w:rsid w:val="00A44232"/>
    <w:rsid w:val="00A44646"/>
    <w:rsid w:val="00A446F4"/>
    <w:rsid w:val="00A45C7A"/>
    <w:rsid w:val="00A4644E"/>
    <w:rsid w:val="00A46512"/>
    <w:rsid w:val="00A4763F"/>
    <w:rsid w:val="00A47969"/>
    <w:rsid w:val="00A47F53"/>
    <w:rsid w:val="00A50044"/>
    <w:rsid w:val="00A500BA"/>
    <w:rsid w:val="00A50BBE"/>
    <w:rsid w:val="00A50D0E"/>
    <w:rsid w:val="00A51038"/>
    <w:rsid w:val="00A512BE"/>
    <w:rsid w:val="00A513C6"/>
    <w:rsid w:val="00A51572"/>
    <w:rsid w:val="00A52339"/>
    <w:rsid w:val="00A53436"/>
    <w:rsid w:val="00A5413C"/>
    <w:rsid w:val="00A54258"/>
    <w:rsid w:val="00A5444A"/>
    <w:rsid w:val="00A54ED0"/>
    <w:rsid w:val="00A55108"/>
    <w:rsid w:val="00A554AB"/>
    <w:rsid w:val="00A55A7E"/>
    <w:rsid w:val="00A55BB8"/>
    <w:rsid w:val="00A57244"/>
    <w:rsid w:val="00A5724B"/>
    <w:rsid w:val="00A60017"/>
    <w:rsid w:val="00A6035E"/>
    <w:rsid w:val="00A605FA"/>
    <w:rsid w:val="00A617A9"/>
    <w:rsid w:val="00A61D9E"/>
    <w:rsid w:val="00A6291E"/>
    <w:rsid w:val="00A62CFA"/>
    <w:rsid w:val="00A63DE6"/>
    <w:rsid w:val="00A64B3E"/>
    <w:rsid w:val="00A64E55"/>
    <w:rsid w:val="00A64F74"/>
    <w:rsid w:val="00A652BE"/>
    <w:rsid w:val="00A65360"/>
    <w:rsid w:val="00A6581B"/>
    <w:rsid w:val="00A65E07"/>
    <w:rsid w:val="00A669D0"/>
    <w:rsid w:val="00A66DBB"/>
    <w:rsid w:val="00A70384"/>
    <w:rsid w:val="00A70F82"/>
    <w:rsid w:val="00A71653"/>
    <w:rsid w:val="00A716E1"/>
    <w:rsid w:val="00A71C71"/>
    <w:rsid w:val="00A72A6B"/>
    <w:rsid w:val="00A72ACF"/>
    <w:rsid w:val="00A74E44"/>
    <w:rsid w:val="00A75A08"/>
    <w:rsid w:val="00A75B78"/>
    <w:rsid w:val="00A7617F"/>
    <w:rsid w:val="00A76941"/>
    <w:rsid w:val="00A7765F"/>
    <w:rsid w:val="00A80A17"/>
    <w:rsid w:val="00A80B36"/>
    <w:rsid w:val="00A82164"/>
    <w:rsid w:val="00A832BF"/>
    <w:rsid w:val="00A8356F"/>
    <w:rsid w:val="00A84AFC"/>
    <w:rsid w:val="00A84ECC"/>
    <w:rsid w:val="00A857C5"/>
    <w:rsid w:val="00A85F55"/>
    <w:rsid w:val="00A8684E"/>
    <w:rsid w:val="00A86ADC"/>
    <w:rsid w:val="00A86BC4"/>
    <w:rsid w:val="00A86BCA"/>
    <w:rsid w:val="00A86FE6"/>
    <w:rsid w:val="00A8783A"/>
    <w:rsid w:val="00A87ADC"/>
    <w:rsid w:val="00A905F0"/>
    <w:rsid w:val="00A906C6"/>
    <w:rsid w:val="00A90701"/>
    <w:rsid w:val="00A90B71"/>
    <w:rsid w:val="00A920F6"/>
    <w:rsid w:val="00A9455C"/>
    <w:rsid w:val="00A94792"/>
    <w:rsid w:val="00A95733"/>
    <w:rsid w:val="00A96502"/>
    <w:rsid w:val="00A96907"/>
    <w:rsid w:val="00A97059"/>
    <w:rsid w:val="00A97CD5"/>
    <w:rsid w:val="00A97D09"/>
    <w:rsid w:val="00AA0170"/>
    <w:rsid w:val="00AA0405"/>
    <w:rsid w:val="00AA11DA"/>
    <w:rsid w:val="00AA1A33"/>
    <w:rsid w:val="00AA1BDB"/>
    <w:rsid w:val="00AA26E3"/>
    <w:rsid w:val="00AA37C3"/>
    <w:rsid w:val="00AA3BD3"/>
    <w:rsid w:val="00AA3D2D"/>
    <w:rsid w:val="00AA42FA"/>
    <w:rsid w:val="00AA4734"/>
    <w:rsid w:val="00AA5A89"/>
    <w:rsid w:val="00AA63DF"/>
    <w:rsid w:val="00AA6560"/>
    <w:rsid w:val="00AA66CE"/>
    <w:rsid w:val="00AA6A54"/>
    <w:rsid w:val="00AA7145"/>
    <w:rsid w:val="00AB0AA0"/>
    <w:rsid w:val="00AB118F"/>
    <w:rsid w:val="00AB3103"/>
    <w:rsid w:val="00AB36F4"/>
    <w:rsid w:val="00AB38BE"/>
    <w:rsid w:val="00AB3FF3"/>
    <w:rsid w:val="00AB4C11"/>
    <w:rsid w:val="00AB61A2"/>
    <w:rsid w:val="00AB6C48"/>
    <w:rsid w:val="00AB6F3F"/>
    <w:rsid w:val="00AB7797"/>
    <w:rsid w:val="00AC0436"/>
    <w:rsid w:val="00AC0ACB"/>
    <w:rsid w:val="00AC0B95"/>
    <w:rsid w:val="00AC0BC5"/>
    <w:rsid w:val="00AC0C9D"/>
    <w:rsid w:val="00AC1615"/>
    <w:rsid w:val="00AC1965"/>
    <w:rsid w:val="00AC225D"/>
    <w:rsid w:val="00AC351E"/>
    <w:rsid w:val="00AC3BE0"/>
    <w:rsid w:val="00AC3E7D"/>
    <w:rsid w:val="00AC53A7"/>
    <w:rsid w:val="00AC591D"/>
    <w:rsid w:val="00AC5BEB"/>
    <w:rsid w:val="00AC6114"/>
    <w:rsid w:val="00AC6670"/>
    <w:rsid w:val="00AC7366"/>
    <w:rsid w:val="00AC7B2C"/>
    <w:rsid w:val="00AD058C"/>
    <w:rsid w:val="00AD1907"/>
    <w:rsid w:val="00AD2A2F"/>
    <w:rsid w:val="00AD2C45"/>
    <w:rsid w:val="00AD3FD4"/>
    <w:rsid w:val="00AD47F5"/>
    <w:rsid w:val="00AD528F"/>
    <w:rsid w:val="00AD55B7"/>
    <w:rsid w:val="00AD59F3"/>
    <w:rsid w:val="00AD654E"/>
    <w:rsid w:val="00AD6F57"/>
    <w:rsid w:val="00AD72AF"/>
    <w:rsid w:val="00AD73DE"/>
    <w:rsid w:val="00AD7752"/>
    <w:rsid w:val="00AD7867"/>
    <w:rsid w:val="00AE0414"/>
    <w:rsid w:val="00AE3DB6"/>
    <w:rsid w:val="00AE4E45"/>
    <w:rsid w:val="00AE54D9"/>
    <w:rsid w:val="00AE57A8"/>
    <w:rsid w:val="00AE57C0"/>
    <w:rsid w:val="00AE5E31"/>
    <w:rsid w:val="00AE6D17"/>
    <w:rsid w:val="00AE75A7"/>
    <w:rsid w:val="00AE7991"/>
    <w:rsid w:val="00AF0713"/>
    <w:rsid w:val="00AF090B"/>
    <w:rsid w:val="00AF0CC0"/>
    <w:rsid w:val="00AF1033"/>
    <w:rsid w:val="00AF1762"/>
    <w:rsid w:val="00AF2AE3"/>
    <w:rsid w:val="00AF2BFF"/>
    <w:rsid w:val="00AF307A"/>
    <w:rsid w:val="00AF3874"/>
    <w:rsid w:val="00AF399C"/>
    <w:rsid w:val="00AF3EE8"/>
    <w:rsid w:val="00AF4124"/>
    <w:rsid w:val="00AF42A1"/>
    <w:rsid w:val="00AF4666"/>
    <w:rsid w:val="00AF46BF"/>
    <w:rsid w:val="00AF4754"/>
    <w:rsid w:val="00AF4B30"/>
    <w:rsid w:val="00AF50E8"/>
    <w:rsid w:val="00AF530D"/>
    <w:rsid w:val="00AF5E80"/>
    <w:rsid w:val="00AF5FB4"/>
    <w:rsid w:val="00AF6F9A"/>
    <w:rsid w:val="00B00838"/>
    <w:rsid w:val="00B00EC2"/>
    <w:rsid w:val="00B01339"/>
    <w:rsid w:val="00B02ADB"/>
    <w:rsid w:val="00B02B66"/>
    <w:rsid w:val="00B03147"/>
    <w:rsid w:val="00B04134"/>
    <w:rsid w:val="00B0430D"/>
    <w:rsid w:val="00B04440"/>
    <w:rsid w:val="00B04590"/>
    <w:rsid w:val="00B04DB8"/>
    <w:rsid w:val="00B05A98"/>
    <w:rsid w:val="00B06875"/>
    <w:rsid w:val="00B06F04"/>
    <w:rsid w:val="00B07089"/>
    <w:rsid w:val="00B0741C"/>
    <w:rsid w:val="00B0766E"/>
    <w:rsid w:val="00B10C45"/>
    <w:rsid w:val="00B10D8A"/>
    <w:rsid w:val="00B11259"/>
    <w:rsid w:val="00B1137B"/>
    <w:rsid w:val="00B125E5"/>
    <w:rsid w:val="00B130EF"/>
    <w:rsid w:val="00B130F1"/>
    <w:rsid w:val="00B1318A"/>
    <w:rsid w:val="00B13232"/>
    <w:rsid w:val="00B1327D"/>
    <w:rsid w:val="00B13642"/>
    <w:rsid w:val="00B13DF8"/>
    <w:rsid w:val="00B1412B"/>
    <w:rsid w:val="00B146D4"/>
    <w:rsid w:val="00B147B4"/>
    <w:rsid w:val="00B1560A"/>
    <w:rsid w:val="00B15944"/>
    <w:rsid w:val="00B15FFA"/>
    <w:rsid w:val="00B160C4"/>
    <w:rsid w:val="00B16770"/>
    <w:rsid w:val="00B16779"/>
    <w:rsid w:val="00B171DC"/>
    <w:rsid w:val="00B20915"/>
    <w:rsid w:val="00B22781"/>
    <w:rsid w:val="00B23217"/>
    <w:rsid w:val="00B23765"/>
    <w:rsid w:val="00B23C8A"/>
    <w:rsid w:val="00B24A22"/>
    <w:rsid w:val="00B24B24"/>
    <w:rsid w:val="00B24C0B"/>
    <w:rsid w:val="00B25D01"/>
    <w:rsid w:val="00B25E0D"/>
    <w:rsid w:val="00B26006"/>
    <w:rsid w:val="00B26DA2"/>
    <w:rsid w:val="00B26DCA"/>
    <w:rsid w:val="00B27034"/>
    <w:rsid w:val="00B2794F"/>
    <w:rsid w:val="00B27A85"/>
    <w:rsid w:val="00B308C5"/>
    <w:rsid w:val="00B317CD"/>
    <w:rsid w:val="00B31F8B"/>
    <w:rsid w:val="00B322B0"/>
    <w:rsid w:val="00B32309"/>
    <w:rsid w:val="00B32B04"/>
    <w:rsid w:val="00B33374"/>
    <w:rsid w:val="00B3346A"/>
    <w:rsid w:val="00B3451D"/>
    <w:rsid w:val="00B3576B"/>
    <w:rsid w:val="00B3684A"/>
    <w:rsid w:val="00B36F28"/>
    <w:rsid w:val="00B406E6"/>
    <w:rsid w:val="00B425EF"/>
    <w:rsid w:val="00B43388"/>
    <w:rsid w:val="00B43726"/>
    <w:rsid w:val="00B43A4E"/>
    <w:rsid w:val="00B43C45"/>
    <w:rsid w:val="00B443D0"/>
    <w:rsid w:val="00B4455E"/>
    <w:rsid w:val="00B4533F"/>
    <w:rsid w:val="00B4552B"/>
    <w:rsid w:val="00B4566F"/>
    <w:rsid w:val="00B456E7"/>
    <w:rsid w:val="00B45770"/>
    <w:rsid w:val="00B45CFF"/>
    <w:rsid w:val="00B46E01"/>
    <w:rsid w:val="00B470BD"/>
    <w:rsid w:val="00B476D0"/>
    <w:rsid w:val="00B4787A"/>
    <w:rsid w:val="00B50138"/>
    <w:rsid w:val="00B50474"/>
    <w:rsid w:val="00B50627"/>
    <w:rsid w:val="00B50945"/>
    <w:rsid w:val="00B50983"/>
    <w:rsid w:val="00B509A3"/>
    <w:rsid w:val="00B50CF3"/>
    <w:rsid w:val="00B51503"/>
    <w:rsid w:val="00B515C1"/>
    <w:rsid w:val="00B52371"/>
    <w:rsid w:val="00B52AD2"/>
    <w:rsid w:val="00B52DB6"/>
    <w:rsid w:val="00B53B05"/>
    <w:rsid w:val="00B53CFD"/>
    <w:rsid w:val="00B5404E"/>
    <w:rsid w:val="00B54C00"/>
    <w:rsid w:val="00B55D51"/>
    <w:rsid w:val="00B57D52"/>
    <w:rsid w:val="00B6075D"/>
    <w:rsid w:val="00B6291A"/>
    <w:rsid w:val="00B62CC0"/>
    <w:rsid w:val="00B63743"/>
    <w:rsid w:val="00B64973"/>
    <w:rsid w:val="00B6567C"/>
    <w:rsid w:val="00B658B4"/>
    <w:rsid w:val="00B66D0F"/>
    <w:rsid w:val="00B67B4B"/>
    <w:rsid w:val="00B67D22"/>
    <w:rsid w:val="00B67EDF"/>
    <w:rsid w:val="00B7013B"/>
    <w:rsid w:val="00B7063B"/>
    <w:rsid w:val="00B72A32"/>
    <w:rsid w:val="00B7439B"/>
    <w:rsid w:val="00B74976"/>
    <w:rsid w:val="00B753AF"/>
    <w:rsid w:val="00B768AE"/>
    <w:rsid w:val="00B76B3F"/>
    <w:rsid w:val="00B770B7"/>
    <w:rsid w:val="00B772F2"/>
    <w:rsid w:val="00B77436"/>
    <w:rsid w:val="00B777C7"/>
    <w:rsid w:val="00B81107"/>
    <w:rsid w:val="00B811AA"/>
    <w:rsid w:val="00B811D6"/>
    <w:rsid w:val="00B813EF"/>
    <w:rsid w:val="00B8152C"/>
    <w:rsid w:val="00B81C53"/>
    <w:rsid w:val="00B82588"/>
    <w:rsid w:val="00B825A5"/>
    <w:rsid w:val="00B82F36"/>
    <w:rsid w:val="00B8328F"/>
    <w:rsid w:val="00B83678"/>
    <w:rsid w:val="00B83ACC"/>
    <w:rsid w:val="00B8470A"/>
    <w:rsid w:val="00B84E74"/>
    <w:rsid w:val="00B851B1"/>
    <w:rsid w:val="00B85481"/>
    <w:rsid w:val="00B8555F"/>
    <w:rsid w:val="00B8599D"/>
    <w:rsid w:val="00B859F8"/>
    <w:rsid w:val="00B861F7"/>
    <w:rsid w:val="00B8621F"/>
    <w:rsid w:val="00B86CA0"/>
    <w:rsid w:val="00B8727F"/>
    <w:rsid w:val="00B90097"/>
    <w:rsid w:val="00B90DEA"/>
    <w:rsid w:val="00B9140D"/>
    <w:rsid w:val="00B91862"/>
    <w:rsid w:val="00B919A1"/>
    <w:rsid w:val="00B91C29"/>
    <w:rsid w:val="00B92F26"/>
    <w:rsid w:val="00B933DB"/>
    <w:rsid w:val="00B934AF"/>
    <w:rsid w:val="00B93B58"/>
    <w:rsid w:val="00B9432A"/>
    <w:rsid w:val="00B94D82"/>
    <w:rsid w:val="00B95431"/>
    <w:rsid w:val="00B956FC"/>
    <w:rsid w:val="00B958E3"/>
    <w:rsid w:val="00B97A25"/>
    <w:rsid w:val="00B97D2F"/>
    <w:rsid w:val="00BA000B"/>
    <w:rsid w:val="00BA15A3"/>
    <w:rsid w:val="00BA2672"/>
    <w:rsid w:val="00BA26BB"/>
    <w:rsid w:val="00BA285B"/>
    <w:rsid w:val="00BA29FF"/>
    <w:rsid w:val="00BA3BEB"/>
    <w:rsid w:val="00BA4252"/>
    <w:rsid w:val="00BA442A"/>
    <w:rsid w:val="00BA6816"/>
    <w:rsid w:val="00BB0728"/>
    <w:rsid w:val="00BB15BF"/>
    <w:rsid w:val="00BB1BE0"/>
    <w:rsid w:val="00BB1E9D"/>
    <w:rsid w:val="00BB2164"/>
    <w:rsid w:val="00BB23B7"/>
    <w:rsid w:val="00BB29E4"/>
    <w:rsid w:val="00BB2CF4"/>
    <w:rsid w:val="00BB3D4D"/>
    <w:rsid w:val="00BB3D92"/>
    <w:rsid w:val="00BB4057"/>
    <w:rsid w:val="00BB4D8D"/>
    <w:rsid w:val="00BB4FB0"/>
    <w:rsid w:val="00BB52CD"/>
    <w:rsid w:val="00BB685D"/>
    <w:rsid w:val="00BB6BF9"/>
    <w:rsid w:val="00BB77C0"/>
    <w:rsid w:val="00BB79F9"/>
    <w:rsid w:val="00BC02E0"/>
    <w:rsid w:val="00BC0354"/>
    <w:rsid w:val="00BC03B6"/>
    <w:rsid w:val="00BC119D"/>
    <w:rsid w:val="00BC1467"/>
    <w:rsid w:val="00BC1BC0"/>
    <w:rsid w:val="00BC220F"/>
    <w:rsid w:val="00BC3450"/>
    <w:rsid w:val="00BC3722"/>
    <w:rsid w:val="00BC4EB4"/>
    <w:rsid w:val="00BC5044"/>
    <w:rsid w:val="00BC5090"/>
    <w:rsid w:val="00BC51D5"/>
    <w:rsid w:val="00BC5920"/>
    <w:rsid w:val="00BC5AB6"/>
    <w:rsid w:val="00BC5AB9"/>
    <w:rsid w:val="00BC618C"/>
    <w:rsid w:val="00BC62E8"/>
    <w:rsid w:val="00BC66F8"/>
    <w:rsid w:val="00BC6DE3"/>
    <w:rsid w:val="00BC7661"/>
    <w:rsid w:val="00BC781B"/>
    <w:rsid w:val="00BC78AA"/>
    <w:rsid w:val="00BC7B69"/>
    <w:rsid w:val="00BD0BA1"/>
    <w:rsid w:val="00BD12F1"/>
    <w:rsid w:val="00BD161A"/>
    <w:rsid w:val="00BD1E74"/>
    <w:rsid w:val="00BD2060"/>
    <w:rsid w:val="00BD266A"/>
    <w:rsid w:val="00BD318E"/>
    <w:rsid w:val="00BD3428"/>
    <w:rsid w:val="00BD3BA4"/>
    <w:rsid w:val="00BD46A1"/>
    <w:rsid w:val="00BD4D6E"/>
    <w:rsid w:val="00BD60F1"/>
    <w:rsid w:val="00BD71A7"/>
    <w:rsid w:val="00BD73B2"/>
    <w:rsid w:val="00BD73E9"/>
    <w:rsid w:val="00BD7B83"/>
    <w:rsid w:val="00BE066C"/>
    <w:rsid w:val="00BE0CE9"/>
    <w:rsid w:val="00BE16BE"/>
    <w:rsid w:val="00BE1E3B"/>
    <w:rsid w:val="00BE35E6"/>
    <w:rsid w:val="00BE3FE7"/>
    <w:rsid w:val="00BE4BDA"/>
    <w:rsid w:val="00BE4C8E"/>
    <w:rsid w:val="00BE52F2"/>
    <w:rsid w:val="00BE5F7B"/>
    <w:rsid w:val="00BE6575"/>
    <w:rsid w:val="00BE6DBF"/>
    <w:rsid w:val="00BE78A9"/>
    <w:rsid w:val="00BF0B35"/>
    <w:rsid w:val="00BF0FC6"/>
    <w:rsid w:val="00BF1F26"/>
    <w:rsid w:val="00BF210A"/>
    <w:rsid w:val="00BF22A5"/>
    <w:rsid w:val="00BF24FA"/>
    <w:rsid w:val="00BF2C18"/>
    <w:rsid w:val="00BF3A0E"/>
    <w:rsid w:val="00BF4816"/>
    <w:rsid w:val="00BF4D1E"/>
    <w:rsid w:val="00BF521A"/>
    <w:rsid w:val="00BF5A83"/>
    <w:rsid w:val="00BF619A"/>
    <w:rsid w:val="00BF6A63"/>
    <w:rsid w:val="00BF6EF7"/>
    <w:rsid w:val="00BF742E"/>
    <w:rsid w:val="00BF7C2F"/>
    <w:rsid w:val="00BF7EF5"/>
    <w:rsid w:val="00C00172"/>
    <w:rsid w:val="00C014E2"/>
    <w:rsid w:val="00C01D15"/>
    <w:rsid w:val="00C02B11"/>
    <w:rsid w:val="00C0477A"/>
    <w:rsid w:val="00C048D9"/>
    <w:rsid w:val="00C05053"/>
    <w:rsid w:val="00C05323"/>
    <w:rsid w:val="00C053D9"/>
    <w:rsid w:val="00C05DFF"/>
    <w:rsid w:val="00C068AE"/>
    <w:rsid w:val="00C07053"/>
    <w:rsid w:val="00C0769C"/>
    <w:rsid w:val="00C10250"/>
    <w:rsid w:val="00C11ABB"/>
    <w:rsid w:val="00C11CD5"/>
    <w:rsid w:val="00C11F76"/>
    <w:rsid w:val="00C1202A"/>
    <w:rsid w:val="00C1204C"/>
    <w:rsid w:val="00C12842"/>
    <w:rsid w:val="00C12FC0"/>
    <w:rsid w:val="00C13290"/>
    <w:rsid w:val="00C14C91"/>
    <w:rsid w:val="00C150B3"/>
    <w:rsid w:val="00C1590F"/>
    <w:rsid w:val="00C17ED7"/>
    <w:rsid w:val="00C2081B"/>
    <w:rsid w:val="00C21174"/>
    <w:rsid w:val="00C223C4"/>
    <w:rsid w:val="00C232CD"/>
    <w:rsid w:val="00C2369B"/>
    <w:rsid w:val="00C236E4"/>
    <w:rsid w:val="00C23A46"/>
    <w:rsid w:val="00C24DF4"/>
    <w:rsid w:val="00C25275"/>
    <w:rsid w:val="00C25559"/>
    <w:rsid w:val="00C258D8"/>
    <w:rsid w:val="00C25B79"/>
    <w:rsid w:val="00C25FA3"/>
    <w:rsid w:val="00C261D5"/>
    <w:rsid w:val="00C263DC"/>
    <w:rsid w:val="00C27369"/>
    <w:rsid w:val="00C274C8"/>
    <w:rsid w:val="00C31258"/>
    <w:rsid w:val="00C31428"/>
    <w:rsid w:val="00C31756"/>
    <w:rsid w:val="00C31B2F"/>
    <w:rsid w:val="00C320DE"/>
    <w:rsid w:val="00C32502"/>
    <w:rsid w:val="00C3310C"/>
    <w:rsid w:val="00C3404E"/>
    <w:rsid w:val="00C3431A"/>
    <w:rsid w:val="00C35847"/>
    <w:rsid w:val="00C3770A"/>
    <w:rsid w:val="00C37CB8"/>
    <w:rsid w:val="00C40069"/>
    <w:rsid w:val="00C402E2"/>
    <w:rsid w:val="00C40FA1"/>
    <w:rsid w:val="00C4115E"/>
    <w:rsid w:val="00C411CF"/>
    <w:rsid w:val="00C44626"/>
    <w:rsid w:val="00C44DE2"/>
    <w:rsid w:val="00C45667"/>
    <w:rsid w:val="00C45903"/>
    <w:rsid w:val="00C45AC9"/>
    <w:rsid w:val="00C45EB1"/>
    <w:rsid w:val="00C4684E"/>
    <w:rsid w:val="00C46B77"/>
    <w:rsid w:val="00C47C37"/>
    <w:rsid w:val="00C47D11"/>
    <w:rsid w:val="00C47E3D"/>
    <w:rsid w:val="00C502DB"/>
    <w:rsid w:val="00C505ED"/>
    <w:rsid w:val="00C50CD5"/>
    <w:rsid w:val="00C51B9C"/>
    <w:rsid w:val="00C526B6"/>
    <w:rsid w:val="00C541C0"/>
    <w:rsid w:val="00C541DC"/>
    <w:rsid w:val="00C54704"/>
    <w:rsid w:val="00C547BD"/>
    <w:rsid w:val="00C5524A"/>
    <w:rsid w:val="00C555F1"/>
    <w:rsid w:val="00C55848"/>
    <w:rsid w:val="00C55A13"/>
    <w:rsid w:val="00C565EF"/>
    <w:rsid w:val="00C5733F"/>
    <w:rsid w:val="00C57A4A"/>
    <w:rsid w:val="00C57E6D"/>
    <w:rsid w:val="00C60140"/>
    <w:rsid w:val="00C6063B"/>
    <w:rsid w:val="00C60E43"/>
    <w:rsid w:val="00C6123B"/>
    <w:rsid w:val="00C61742"/>
    <w:rsid w:val="00C61EF0"/>
    <w:rsid w:val="00C6391A"/>
    <w:rsid w:val="00C63BB1"/>
    <w:rsid w:val="00C649FA"/>
    <w:rsid w:val="00C65149"/>
    <w:rsid w:val="00C65AF8"/>
    <w:rsid w:val="00C65E1A"/>
    <w:rsid w:val="00C66D34"/>
    <w:rsid w:val="00C66D9A"/>
    <w:rsid w:val="00C67029"/>
    <w:rsid w:val="00C67E94"/>
    <w:rsid w:val="00C67FB7"/>
    <w:rsid w:val="00C70220"/>
    <w:rsid w:val="00C702D4"/>
    <w:rsid w:val="00C70CFA"/>
    <w:rsid w:val="00C7144E"/>
    <w:rsid w:val="00C71B8B"/>
    <w:rsid w:val="00C71DA8"/>
    <w:rsid w:val="00C725F1"/>
    <w:rsid w:val="00C72A00"/>
    <w:rsid w:val="00C72CCF"/>
    <w:rsid w:val="00C72CD0"/>
    <w:rsid w:val="00C740AA"/>
    <w:rsid w:val="00C74515"/>
    <w:rsid w:val="00C74795"/>
    <w:rsid w:val="00C75C98"/>
    <w:rsid w:val="00C75F97"/>
    <w:rsid w:val="00C7623E"/>
    <w:rsid w:val="00C7644C"/>
    <w:rsid w:val="00C80389"/>
    <w:rsid w:val="00C8105A"/>
    <w:rsid w:val="00C81E26"/>
    <w:rsid w:val="00C8208A"/>
    <w:rsid w:val="00C82275"/>
    <w:rsid w:val="00C8283E"/>
    <w:rsid w:val="00C829C0"/>
    <w:rsid w:val="00C83CC0"/>
    <w:rsid w:val="00C85BE7"/>
    <w:rsid w:val="00C86732"/>
    <w:rsid w:val="00C86F6E"/>
    <w:rsid w:val="00C87F38"/>
    <w:rsid w:val="00C91280"/>
    <w:rsid w:val="00C91B1D"/>
    <w:rsid w:val="00C9272D"/>
    <w:rsid w:val="00C92D7B"/>
    <w:rsid w:val="00C93218"/>
    <w:rsid w:val="00C93D10"/>
    <w:rsid w:val="00C940BE"/>
    <w:rsid w:val="00C9413E"/>
    <w:rsid w:val="00C95002"/>
    <w:rsid w:val="00C953CC"/>
    <w:rsid w:val="00C956B9"/>
    <w:rsid w:val="00C95BE8"/>
    <w:rsid w:val="00C95DAC"/>
    <w:rsid w:val="00C96071"/>
    <w:rsid w:val="00C96491"/>
    <w:rsid w:val="00C967CE"/>
    <w:rsid w:val="00C96CA5"/>
    <w:rsid w:val="00CA05D7"/>
    <w:rsid w:val="00CA12F2"/>
    <w:rsid w:val="00CA2797"/>
    <w:rsid w:val="00CA7B58"/>
    <w:rsid w:val="00CB05E9"/>
    <w:rsid w:val="00CB08AE"/>
    <w:rsid w:val="00CB1BFA"/>
    <w:rsid w:val="00CB22B9"/>
    <w:rsid w:val="00CB283A"/>
    <w:rsid w:val="00CB2AE9"/>
    <w:rsid w:val="00CB2BE0"/>
    <w:rsid w:val="00CB2EBD"/>
    <w:rsid w:val="00CB2EF6"/>
    <w:rsid w:val="00CB390A"/>
    <w:rsid w:val="00CB3B11"/>
    <w:rsid w:val="00CB3F40"/>
    <w:rsid w:val="00CB3F6A"/>
    <w:rsid w:val="00CB4828"/>
    <w:rsid w:val="00CB4F31"/>
    <w:rsid w:val="00CB55B4"/>
    <w:rsid w:val="00CB5756"/>
    <w:rsid w:val="00CB6558"/>
    <w:rsid w:val="00CB6916"/>
    <w:rsid w:val="00CB72C2"/>
    <w:rsid w:val="00CB7E5A"/>
    <w:rsid w:val="00CC04E8"/>
    <w:rsid w:val="00CC08E1"/>
    <w:rsid w:val="00CC1127"/>
    <w:rsid w:val="00CC1B28"/>
    <w:rsid w:val="00CC2202"/>
    <w:rsid w:val="00CC2382"/>
    <w:rsid w:val="00CC2DBA"/>
    <w:rsid w:val="00CC4DAB"/>
    <w:rsid w:val="00CC5143"/>
    <w:rsid w:val="00CC5827"/>
    <w:rsid w:val="00CC6697"/>
    <w:rsid w:val="00CC6945"/>
    <w:rsid w:val="00CC7EC3"/>
    <w:rsid w:val="00CD0215"/>
    <w:rsid w:val="00CD0283"/>
    <w:rsid w:val="00CD02B4"/>
    <w:rsid w:val="00CD069E"/>
    <w:rsid w:val="00CD191B"/>
    <w:rsid w:val="00CD201A"/>
    <w:rsid w:val="00CD2DD3"/>
    <w:rsid w:val="00CD3342"/>
    <w:rsid w:val="00CD356B"/>
    <w:rsid w:val="00CD37CA"/>
    <w:rsid w:val="00CD3B7A"/>
    <w:rsid w:val="00CD404F"/>
    <w:rsid w:val="00CD5408"/>
    <w:rsid w:val="00CD5BBF"/>
    <w:rsid w:val="00CD7538"/>
    <w:rsid w:val="00CE1856"/>
    <w:rsid w:val="00CE18CB"/>
    <w:rsid w:val="00CE1B20"/>
    <w:rsid w:val="00CE20C1"/>
    <w:rsid w:val="00CE20E3"/>
    <w:rsid w:val="00CE2255"/>
    <w:rsid w:val="00CE2479"/>
    <w:rsid w:val="00CE2F59"/>
    <w:rsid w:val="00CE2FDC"/>
    <w:rsid w:val="00CE35B2"/>
    <w:rsid w:val="00CE375B"/>
    <w:rsid w:val="00CE475C"/>
    <w:rsid w:val="00CE5353"/>
    <w:rsid w:val="00CE6180"/>
    <w:rsid w:val="00CE6880"/>
    <w:rsid w:val="00CE6FE9"/>
    <w:rsid w:val="00CE74E4"/>
    <w:rsid w:val="00CF05F9"/>
    <w:rsid w:val="00CF0882"/>
    <w:rsid w:val="00CF0B41"/>
    <w:rsid w:val="00CF0E34"/>
    <w:rsid w:val="00CF0EFF"/>
    <w:rsid w:val="00CF1EF5"/>
    <w:rsid w:val="00CF1FC8"/>
    <w:rsid w:val="00CF28CD"/>
    <w:rsid w:val="00CF2A6C"/>
    <w:rsid w:val="00CF2A95"/>
    <w:rsid w:val="00CF3F55"/>
    <w:rsid w:val="00CF442D"/>
    <w:rsid w:val="00CF4755"/>
    <w:rsid w:val="00CF47E9"/>
    <w:rsid w:val="00CF51A2"/>
    <w:rsid w:val="00CF59DD"/>
    <w:rsid w:val="00CF75ED"/>
    <w:rsid w:val="00CF78FF"/>
    <w:rsid w:val="00D00C80"/>
    <w:rsid w:val="00D01E2A"/>
    <w:rsid w:val="00D0229D"/>
    <w:rsid w:val="00D027C3"/>
    <w:rsid w:val="00D02F00"/>
    <w:rsid w:val="00D0390A"/>
    <w:rsid w:val="00D03DBC"/>
    <w:rsid w:val="00D04117"/>
    <w:rsid w:val="00D058BC"/>
    <w:rsid w:val="00D05FC2"/>
    <w:rsid w:val="00D07194"/>
    <w:rsid w:val="00D07244"/>
    <w:rsid w:val="00D105CA"/>
    <w:rsid w:val="00D10B49"/>
    <w:rsid w:val="00D1158A"/>
    <w:rsid w:val="00D11E3D"/>
    <w:rsid w:val="00D12108"/>
    <w:rsid w:val="00D126E7"/>
    <w:rsid w:val="00D127C0"/>
    <w:rsid w:val="00D129EF"/>
    <w:rsid w:val="00D12ED0"/>
    <w:rsid w:val="00D13715"/>
    <w:rsid w:val="00D16773"/>
    <w:rsid w:val="00D16A40"/>
    <w:rsid w:val="00D1720E"/>
    <w:rsid w:val="00D2021C"/>
    <w:rsid w:val="00D2070D"/>
    <w:rsid w:val="00D20AEA"/>
    <w:rsid w:val="00D20EC9"/>
    <w:rsid w:val="00D20F63"/>
    <w:rsid w:val="00D22429"/>
    <w:rsid w:val="00D23018"/>
    <w:rsid w:val="00D236D9"/>
    <w:rsid w:val="00D247F1"/>
    <w:rsid w:val="00D2502C"/>
    <w:rsid w:val="00D25BA4"/>
    <w:rsid w:val="00D2664B"/>
    <w:rsid w:val="00D2677F"/>
    <w:rsid w:val="00D26B96"/>
    <w:rsid w:val="00D27737"/>
    <w:rsid w:val="00D315E9"/>
    <w:rsid w:val="00D317D2"/>
    <w:rsid w:val="00D321F2"/>
    <w:rsid w:val="00D32EF4"/>
    <w:rsid w:val="00D3334C"/>
    <w:rsid w:val="00D33E54"/>
    <w:rsid w:val="00D345AF"/>
    <w:rsid w:val="00D355E9"/>
    <w:rsid w:val="00D3599E"/>
    <w:rsid w:val="00D36950"/>
    <w:rsid w:val="00D3709F"/>
    <w:rsid w:val="00D40B0F"/>
    <w:rsid w:val="00D42141"/>
    <w:rsid w:val="00D4311C"/>
    <w:rsid w:val="00D437DA"/>
    <w:rsid w:val="00D43D9C"/>
    <w:rsid w:val="00D44178"/>
    <w:rsid w:val="00D44448"/>
    <w:rsid w:val="00D44B68"/>
    <w:rsid w:val="00D4566C"/>
    <w:rsid w:val="00D45D68"/>
    <w:rsid w:val="00D46C18"/>
    <w:rsid w:val="00D47004"/>
    <w:rsid w:val="00D5090A"/>
    <w:rsid w:val="00D50BAA"/>
    <w:rsid w:val="00D50BEC"/>
    <w:rsid w:val="00D525CA"/>
    <w:rsid w:val="00D530C4"/>
    <w:rsid w:val="00D5360C"/>
    <w:rsid w:val="00D5367F"/>
    <w:rsid w:val="00D53CBF"/>
    <w:rsid w:val="00D542BC"/>
    <w:rsid w:val="00D5434D"/>
    <w:rsid w:val="00D55535"/>
    <w:rsid w:val="00D56354"/>
    <w:rsid w:val="00D5701C"/>
    <w:rsid w:val="00D57FA2"/>
    <w:rsid w:val="00D609C6"/>
    <w:rsid w:val="00D60D03"/>
    <w:rsid w:val="00D61126"/>
    <w:rsid w:val="00D612FE"/>
    <w:rsid w:val="00D613F2"/>
    <w:rsid w:val="00D6150D"/>
    <w:rsid w:val="00D61DAB"/>
    <w:rsid w:val="00D6248A"/>
    <w:rsid w:val="00D635B7"/>
    <w:rsid w:val="00D63D0E"/>
    <w:rsid w:val="00D63FEB"/>
    <w:rsid w:val="00D640A3"/>
    <w:rsid w:val="00D65E98"/>
    <w:rsid w:val="00D665FA"/>
    <w:rsid w:val="00D66A99"/>
    <w:rsid w:val="00D66EB6"/>
    <w:rsid w:val="00D6790A"/>
    <w:rsid w:val="00D67CBC"/>
    <w:rsid w:val="00D702F7"/>
    <w:rsid w:val="00D70841"/>
    <w:rsid w:val="00D70A8A"/>
    <w:rsid w:val="00D7176A"/>
    <w:rsid w:val="00D71A70"/>
    <w:rsid w:val="00D727AE"/>
    <w:rsid w:val="00D732ED"/>
    <w:rsid w:val="00D73DB4"/>
    <w:rsid w:val="00D75396"/>
    <w:rsid w:val="00D76AE4"/>
    <w:rsid w:val="00D770CC"/>
    <w:rsid w:val="00D77D00"/>
    <w:rsid w:val="00D80713"/>
    <w:rsid w:val="00D80990"/>
    <w:rsid w:val="00D8197C"/>
    <w:rsid w:val="00D81B3F"/>
    <w:rsid w:val="00D81C37"/>
    <w:rsid w:val="00D836D3"/>
    <w:rsid w:val="00D83D7F"/>
    <w:rsid w:val="00D84375"/>
    <w:rsid w:val="00D85B53"/>
    <w:rsid w:val="00D8716E"/>
    <w:rsid w:val="00D874DE"/>
    <w:rsid w:val="00D87CAA"/>
    <w:rsid w:val="00D87EF3"/>
    <w:rsid w:val="00D90247"/>
    <w:rsid w:val="00D90884"/>
    <w:rsid w:val="00D90968"/>
    <w:rsid w:val="00D90E8D"/>
    <w:rsid w:val="00D9126B"/>
    <w:rsid w:val="00D91925"/>
    <w:rsid w:val="00D91B43"/>
    <w:rsid w:val="00D91E62"/>
    <w:rsid w:val="00D92B07"/>
    <w:rsid w:val="00D92D32"/>
    <w:rsid w:val="00D92E1B"/>
    <w:rsid w:val="00D93934"/>
    <w:rsid w:val="00D93F5A"/>
    <w:rsid w:val="00D943D7"/>
    <w:rsid w:val="00D94588"/>
    <w:rsid w:val="00D94739"/>
    <w:rsid w:val="00D94C73"/>
    <w:rsid w:val="00D956E9"/>
    <w:rsid w:val="00D9583D"/>
    <w:rsid w:val="00D95BA1"/>
    <w:rsid w:val="00D96AE6"/>
    <w:rsid w:val="00D975CF"/>
    <w:rsid w:val="00DA0FD9"/>
    <w:rsid w:val="00DA1600"/>
    <w:rsid w:val="00DA17D5"/>
    <w:rsid w:val="00DA18D9"/>
    <w:rsid w:val="00DA1F39"/>
    <w:rsid w:val="00DA2783"/>
    <w:rsid w:val="00DA2E30"/>
    <w:rsid w:val="00DA4161"/>
    <w:rsid w:val="00DA4312"/>
    <w:rsid w:val="00DA544C"/>
    <w:rsid w:val="00DA5522"/>
    <w:rsid w:val="00DA5558"/>
    <w:rsid w:val="00DA5ADF"/>
    <w:rsid w:val="00DA5B0E"/>
    <w:rsid w:val="00DA5F20"/>
    <w:rsid w:val="00DA6F05"/>
    <w:rsid w:val="00DA731E"/>
    <w:rsid w:val="00DA73F4"/>
    <w:rsid w:val="00DA7F77"/>
    <w:rsid w:val="00DB001E"/>
    <w:rsid w:val="00DB09F4"/>
    <w:rsid w:val="00DB1079"/>
    <w:rsid w:val="00DB24B5"/>
    <w:rsid w:val="00DB2841"/>
    <w:rsid w:val="00DB3D3B"/>
    <w:rsid w:val="00DB5DE6"/>
    <w:rsid w:val="00DB5EB5"/>
    <w:rsid w:val="00DB6616"/>
    <w:rsid w:val="00DB6711"/>
    <w:rsid w:val="00DB682B"/>
    <w:rsid w:val="00DB6DFC"/>
    <w:rsid w:val="00DB76E0"/>
    <w:rsid w:val="00DB798A"/>
    <w:rsid w:val="00DC0502"/>
    <w:rsid w:val="00DC0674"/>
    <w:rsid w:val="00DC0BB7"/>
    <w:rsid w:val="00DC1261"/>
    <w:rsid w:val="00DC2292"/>
    <w:rsid w:val="00DC2C9B"/>
    <w:rsid w:val="00DC3439"/>
    <w:rsid w:val="00DC5C44"/>
    <w:rsid w:val="00DC5EF5"/>
    <w:rsid w:val="00DC5FA7"/>
    <w:rsid w:val="00DC7411"/>
    <w:rsid w:val="00DC7C0D"/>
    <w:rsid w:val="00DD04AC"/>
    <w:rsid w:val="00DD068B"/>
    <w:rsid w:val="00DD1479"/>
    <w:rsid w:val="00DD187B"/>
    <w:rsid w:val="00DD19F7"/>
    <w:rsid w:val="00DD271F"/>
    <w:rsid w:val="00DD4B57"/>
    <w:rsid w:val="00DD4CD5"/>
    <w:rsid w:val="00DD4EDA"/>
    <w:rsid w:val="00DD5371"/>
    <w:rsid w:val="00DD5BED"/>
    <w:rsid w:val="00DD5C59"/>
    <w:rsid w:val="00DD5F6A"/>
    <w:rsid w:val="00DD793D"/>
    <w:rsid w:val="00DD7BEB"/>
    <w:rsid w:val="00DD7CDD"/>
    <w:rsid w:val="00DE16C2"/>
    <w:rsid w:val="00DE18B4"/>
    <w:rsid w:val="00DE25AE"/>
    <w:rsid w:val="00DE2870"/>
    <w:rsid w:val="00DE2999"/>
    <w:rsid w:val="00DE31A6"/>
    <w:rsid w:val="00DE33C7"/>
    <w:rsid w:val="00DE3682"/>
    <w:rsid w:val="00DE3C58"/>
    <w:rsid w:val="00DE4ACA"/>
    <w:rsid w:val="00DE4F42"/>
    <w:rsid w:val="00DE5672"/>
    <w:rsid w:val="00DE57B7"/>
    <w:rsid w:val="00DE59A6"/>
    <w:rsid w:val="00DE5C8D"/>
    <w:rsid w:val="00DE6223"/>
    <w:rsid w:val="00DE62E0"/>
    <w:rsid w:val="00DE6323"/>
    <w:rsid w:val="00DE6BD7"/>
    <w:rsid w:val="00DE7482"/>
    <w:rsid w:val="00DE7F63"/>
    <w:rsid w:val="00DF0994"/>
    <w:rsid w:val="00DF1DDC"/>
    <w:rsid w:val="00DF2A11"/>
    <w:rsid w:val="00DF349E"/>
    <w:rsid w:val="00DF35E4"/>
    <w:rsid w:val="00DF36CE"/>
    <w:rsid w:val="00DF3C8F"/>
    <w:rsid w:val="00DF4477"/>
    <w:rsid w:val="00DF5139"/>
    <w:rsid w:val="00DF53D0"/>
    <w:rsid w:val="00DF546C"/>
    <w:rsid w:val="00DF5513"/>
    <w:rsid w:val="00DF591B"/>
    <w:rsid w:val="00E000E0"/>
    <w:rsid w:val="00E006D6"/>
    <w:rsid w:val="00E008CB"/>
    <w:rsid w:val="00E00A15"/>
    <w:rsid w:val="00E00F2B"/>
    <w:rsid w:val="00E01CFC"/>
    <w:rsid w:val="00E023B5"/>
    <w:rsid w:val="00E02AB4"/>
    <w:rsid w:val="00E037F7"/>
    <w:rsid w:val="00E03E70"/>
    <w:rsid w:val="00E03EAB"/>
    <w:rsid w:val="00E05107"/>
    <w:rsid w:val="00E0565F"/>
    <w:rsid w:val="00E061D3"/>
    <w:rsid w:val="00E06FC5"/>
    <w:rsid w:val="00E11C21"/>
    <w:rsid w:val="00E11D7C"/>
    <w:rsid w:val="00E11F7B"/>
    <w:rsid w:val="00E128D8"/>
    <w:rsid w:val="00E130E6"/>
    <w:rsid w:val="00E13886"/>
    <w:rsid w:val="00E13918"/>
    <w:rsid w:val="00E147B9"/>
    <w:rsid w:val="00E14D32"/>
    <w:rsid w:val="00E159EC"/>
    <w:rsid w:val="00E15DDA"/>
    <w:rsid w:val="00E15DF8"/>
    <w:rsid w:val="00E15E2E"/>
    <w:rsid w:val="00E16F39"/>
    <w:rsid w:val="00E16F57"/>
    <w:rsid w:val="00E1753F"/>
    <w:rsid w:val="00E205EF"/>
    <w:rsid w:val="00E208D9"/>
    <w:rsid w:val="00E21510"/>
    <w:rsid w:val="00E2188D"/>
    <w:rsid w:val="00E21E3D"/>
    <w:rsid w:val="00E224F4"/>
    <w:rsid w:val="00E231D8"/>
    <w:rsid w:val="00E23D22"/>
    <w:rsid w:val="00E24B68"/>
    <w:rsid w:val="00E24E7E"/>
    <w:rsid w:val="00E25163"/>
    <w:rsid w:val="00E261D4"/>
    <w:rsid w:val="00E2621C"/>
    <w:rsid w:val="00E2684A"/>
    <w:rsid w:val="00E30180"/>
    <w:rsid w:val="00E31DE8"/>
    <w:rsid w:val="00E321F7"/>
    <w:rsid w:val="00E32354"/>
    <w:rsid w:val="00E32487"/>
    <w:rsid w:val="00E32A68"/>
    <w:rsid w:val="00E32DC9"/>
    <w:rsid w:val="00E3318D"/>
    <w:rsid w:val="00E33307"/>
    <w:rsid w:val="00E335FD"/>
    <w:rsid w:val="00E33B08"/>
    <w:rsid w:val="00E344FE"/>
    <w:rsid w:val="00E40717"/>
    <w:rsid w:val="00E40EDB"/>
    <w:rsid w:val="00E41C58"/>
    <w:rsid w:val="00E42913"/>
    <w:rsid w:val="00E42D1D"/>
    <w:rsid w:val="00E431CE"/>
    <w:rsid w:val="00E4320F"/>
    <w:rsid w:val="00E453F2"/>
    <w:rsid w:val="00E46537"/>
    <w:rsid w:val="00E46D55"/>
    <w:rsid w:val="00E47D3E"/>
    <w:rsid w:val="00E51A20"/>
    <w:rsid w:val="00E51D18"/>
    <w:rsid w:val="00E51E80"/>
    <w:rsid w:val="00E524C6"/>
    <w:rsid w:val="00E534FC"/>
    <w:rsid w:val="00E54685"/>
    <w:rsid w:val="00E55031"/>
    <w:rsid w:val="00E5528D"/>
    <w:rsid w:val="00E5626F"/>
    <w:rsid w:val="00E57927"/>
    <w:rsid w:val="00E60182"/>
    <w:rsid w:val="00E606F6"/>
    <w:rsid w:val="00E6073F"/>
    <w:rsid w:val="00E609DC"/>
    <w:rsid w:val="00E60BEC"/>
    <w:rsid w:val="00E60EF7"/>
    <w:rsid w:val="00E61267"/>
    <w:rsid w:val="00E62467"/>
    <w:rsid w:val="00E62F6D"/>
    <w:rsid w:val="00E63671"/>
    <w:rsid w:val="00E64C20"/>
    <w:rsid w:val="00E65135"/>
    <w:rsid w:val="00E65B76"/>
    <w:rsid w:val="00E66259"/>
    <w:rsid w:val="00E6714E"/>
    <w:rsid w:val="00E70832"/>
    <w:rsid w:val="00E708DD"/>
    <w:rsid w:val="00E72B6F"/>
    <w:rsid w:val="00E7314A"/>
    <w:rsid w:val="00E7440C"/>
    <w:rsid w:val="00E800BA"/>
    <w:rsid w:val="00E805FE"/>
    <w:rsid w:val="00E80D15"/>
    <w:rsid w:val="00E80F2E"/>
    <w:rsid w:val="00E820A0"/>
    <w:rsid w:val="00E823CF"/>
    <w:rsid w:val="00E84FA3"/>
    <w:rsid w:val="00E85138"/>
    <w:rsid w:val="00E852EA"/>
    <w:rsid w:val="00E85890"/>
    <w:rsid w:val="00E86143"/>
    <w:rsid w:val="00E868F4"/>
    <w:rsid w:val="00E91CFB"/>
    <w:rsid w:val="00E91DB9"/>
    <w:rsid w:val="00E93610"/>
    <w:rsid w:val="00E93756"/>
    <w:rsid w:val="00E93BB3"/>
    <w:rsid w:val="00E940B8"/>
    <w:rsid w:val="00E94570"/>
    <w:rsid w:val="00E95447"/>
    <w:rsid w:val="00E960E9"/>
    <w:rsid w:val="00E965BB"/>
    <w:rsid w:val="00E966B2"/>
    <w:rsid w:val="00E96A1D"/>
    <w:rsid w:val="00E9724A"/>
    <w:rsid w:val="00EA17DF"/>
    <w:rsid w:val="00EA1B04"/>
    <w:rsid w:val="00EA2CFB"/>
    <w:rsid w:val="00EA3484"/>
    <w:rsid w:val="00EA3A44"/>
    <w:rsid w:val="00EA5D4F"/>
    <w:rsid w:val="00EB0450"/>
    <w:rsid w:val="00EB0EEF"/>
    <w:rsid w:val="00EB1578"/>
    <w:rsid w:val="00EB1DCF"/>
    <w:rsid w:val="00EB1F40"/>
    <w:rsid w:val="00EB246A"/>
    <w:rsid w:val="00EB2DF1"/>
    <w:rsid w:val="00EB2FD7"/>
    <w:rsid w:val="00EB344F"/>
    <w:rsid w:val="00EB36E6"/>
    <w:rsid w:val="00EB3CE6"/>
    <w:rsid w:val="00EB41BE"/>
    <w:rsid w:val="00EB4B06"/>
    <w:rsid w:val="00EB57AE"/>
    <w:rsid w:val="00EB6F51"/>
    <w:rsid w:val="00EC0D66"/>
    <w:rsid w:val="00EC1339"/>
    <w:rsid w:val="00EC1521"/>
    <w:rsid w:val="00EC3BA3"/>
    <w:rsid w:val="00EC40FD"/>
    <w:rsid w:val="00EC6070"/>
    <w:rsid w:val="00EC675C"/>
    <w:rsid w:val="00EC782F"/>
    <w:rsid w:val="00EC7D12"/>
    <w:rsid w:val="00EC7D99"/>
    <w:rsid w:val="00ED231B"/>
    <w:rsid w:val="00ED25C8"/>
    <w:rsid w:val="00ED2F91"/>
    <w:rsid w:val="00ED34BB"/>
    <w:rsid w:val="00ED42D4"/>
    <w:rsid w:val="00ED444C"/>
    <w:rsid w:val="00ED5155"/>
    <w:rsid w:val="00ED5420"/>
    <w:rsid w:val="00ED6482"/>
    <w:rsid w:val="00ED7655"/>
    <w:rsid w:val="00ED78A3"/>
    <w:rsid w:val="00EE0768"/>
    <w:rsid w:val="00EE0AA0"/>
    <w:rsid w:val="00EE122D"/>
    <w:rsid w:val="00EE13F7"/>
    <w:rsid w:val="00EE1CCB"/>
    <w:rsid w:val="00EE2E10"/>
    <w:rsid w:val="00EE36FA"/>
    <w:rsid w:val="00EE3C29"/>
    <w:rsid w:val="00EE3EEA"/>
    <w:rsid w:val="00EE4497"/>
    <w:rsid w:val="00EE4C9E"/>
    <w:rsid w:val="00EE523D"/>
    <w:rsid w:val="00EE5646"/>
    <w:rsid w:val="00EE58C2"/>
    <w:rsid w:val="00EE60B8"/>
    <w:rsid w:val="00EE63CC"/>
    <w:rsid w:val="00EE6F8E"/>
    <w:rsid w:val="00EE7185"/>
    <w:rsid w:val="00EF04E2"/>
    <w:rsid w:val="00EF2298"/>
    <w:rsid w:val="00EF22D3"/>
    <w:rsid w:val="00EF264A"/>
    <w:rsid w:val="00EF326B"/>
    <w:rsid w:val="00EF3753"/>
    <w:rsid w:val="00EF3D85"/>
    <w:rsid w:val="00EF3FAB"/>
    <w:rsid w:val="00EF3FF2"/>
    <w:rsid w:val="00EF4615"/>
    <w:rsid w:val="00EF4957"/>
    <w:rsid w:val="00EF4A9C"/>
    <w:rsid w:val="00EF5057"/>
    <w:rsid w:val="00EF5113"/>
    <w:rsid w:val="00EF57CE"/>
    <w:rsid w:val="00EF5D3A"/>
    <w:rsid w:val="00EF61D8"/>
    <w:rsid w:val="00EF6938"/>
    <w:rsid w:val="00EF7895"/>
    <w:rsid w:val="00EF7925"/>
    <w:rsid w:val="00F00509"/>
    <w:rsid w:val="00F00738"/>
    <w:rsid w:val="00F02D2C"/>
    <w:rsid w:val="00F039AC"/>
    <w:rsid w:val="00F03E91"/>
    <w:rsid w:val="00F0412C"/>
    <w:rsid w:val="00F042D3"/>
    <w:rsid w:val="00F04690"/>
    <w:rsid w:val="00F06187"/>
    <w:rsid w:val="00F06E7A"/>
    <w:rsid w:val="00F06ED7"/>
    <w:rsid w:val="00F071E1"/>
    <w:rsid w:val="00F07EA1"/>
    <w:rsid w:val="00F101BC"/>
    <w:rsid w:val="00F113D9"/>
    <w:rsid w:val="00F1184E"/>
    <w:rsid w:val="00F12017"/>
    <w:rsid w:val="00F125A8"/>
    <w:rsid w:val="00F129CF"/>
    <w:rsid w:val="00F12B84"/>
    <w:rsid w:val="00F12CE6"/>
    <w:rsid w:val="00F14D7F"/>
    <w:rsid w:val="00F15E2A"/>
    <w:rsid w:val="00F16476"/>
    <w:rsid w:val="00F17793"/>
    <w:rsid w:val="00F17AAB"/>
    <w:rsid w:val="00F20113"/>
    <w:rsid w:val="00F201C9"/>
    <w:rsid w:val="00F20B37"/>
    <w:rsid w:val="00F20FDA"/>
    <w:rsid w:val="00F21347"/>
    <w:rsid w:val="00F21608"/>
    <w:rsid w:val="00F22174"/>
    <w:rsid w:val="00F22365"/>
    <w:rsid w:val="00F223F2"/>
    <w:rsid w:val="00F23ED1"/>
    <w:rsid w:val="00F23F63"/>
    <w:rsid w:val="00F23F72"/>
    <w:rsid w:val="00F24458"/>
    <w:rsid w:val="00F24735"/>
    <w:rsid w:val="00F25BA0"/>
    <w:rsid w:val="00F26E52"/>
    <w:rsid w:val="00F26FB3"/>
    <w:rsid w:val="00F27B5C"/>
    <w:rsid w:val="00F30BC9"/>
    <w:rsid w:val="00F30CA3"/>
    <w:rsid w:val="00F30F0E"/>
    <w:rsid w:val="00F32A71"/>
    <w:rsid w:val="00F32C97"/>
    <w:rsid w:val="00F32F13"/>
    <w:rsid w:val="00F33054"/>
    <w:rsid w:val="00F331B3"/>
    <w:rsid w:val="00F332D7"/>
    <w:rsid w:val="00F334FE"/>
    <w:rsid w:val="00F33715"/>
    <w:rsid w:val="00F33896"/>
    <w:rsid w:val="00F34CF5"/>
    <w:rsid w:val="00F35B36"/>
    <w:rsid w:val="00F35CD6"/>
    <w:rsid w:val="00F35DA6"/>
    <w:rsid w:val="00F365F7"/>
    <w:rsid w:val="00F368E4"/>
    <w:rsid w:val="00F37C4D"/>
    <w:rsid w:val="00F424B5"/>
    <w:rsid w:val="00F426DF"/>
    <w:rsid w:val="00F42D65"/>
    <w:rsid w:val="00F42F20"/>
    <w:rsid w:val="00F42F29"/>
    <w:rsid w:val="00F43026"/>
    <w:rsid w:val="00F43287"/>
    <w:rsid w:val="00F432C2"/>
    <w:rsid w:val="00F44463"/>
    <w:rsid w:val="00F44F44"/>
    <w:rsid w:val="00F451BD"/>
    <w:rsid w:val="00F4673F"/>
    <w:rsid w:val="00F470D5"/>
    <w:rsid w:val="00F477FA"/>
    <w:rsid w:val="00F47C18"/>
    <w:rsid w:val="00F47DED"/>
    <w:rsid w:val="00F50443"/>
    <w:rsid w:val="00F51AC3"/>
    <w:rsid w:val="00F529DC"/>
    <w:rsid w:val="00F52A5B"/>
    <w:rsid w:val="00F53239"/>
    <w:rsid w:val="00F54247"/>
    <w:rsid w:val="00F54977"/>
    <w:rsid w:val="00F54D73"/>
    <w:rsid w:val="00F550F9"/>
    <w:rsid w:val="00F55258"/>
    <w:rsid w:val="00F5533A"/>
    <w:rsid w:val="00F55402"/>
    <w:rsid w:val="00F5766A"/>
    <w:rsid w:val="00F57ADB"/>
    <w:rsid w:val="00F60B28"/>
    <w:rsid w:val="00F60C8E"/>
    <w:rsid w:val="00F610B7"/>
    <w:rsid w:val="00F62B38"/>
    <w:rsid w:val="00F6591F"/>
    <w:rsid w:val="00F65A2B"/>
    <w:rsid w:val="00F6629A"/>
    <w:rsid w:val="00F671D8"/>
    <w:rsid w:val="00F67A60"/>
    <w:rsid w:val="00F703E3"/>
    <w:rsid w:val="00F70C05"/>
    <w:rsid w:val="00F729C4"/>
    <w:rsid w:val="00F729EB"/>
    <w:rsid w:val="00F73285"/>
    <w:rsid w:val="00F73591"/>
    <w:rsid w:val="00F745EE"/>
    <w:rsid w:val="00F7483B"/>
    <w:rsid w:val="00F75CB1"/>
    <w:rsid w:val="00F760DF"/>
    <w:rsid w:val="00F7634D"/>
    <w:rsid w:val="00F767B2"/>
    <w:rsid w:val="00F768B2"/>
    <w:rsid w:val="00F778B9"/>
    <w:rsid w:val="00F80059"/>
    <w:rsid w:val="00F82601"/>
    <w:rsid w:val="00F82626"/>
    <w:rsid w:val="00F826B5"/>
    <w:rsid w:val="00F830B1"/>
    <w:rsid w:val="00F8363B"/>
    <w:rsid w:val="00F84583"/>
    <w:rsid w:val="00F86233"/>
    <w:rsid w:val="00F86C2B"/>
    <w:rsid w:val="00F8762C"/>
    <w:rsid w:val="00F879E7"/>
    <w:rsid w:val="00F87C65"/>
    <w:rsid w:val="00F909EF"/>
    <w:rsid w:val="00F91367"/>
    <w:rsid w:val="00F92FFD"/>
    <w:rsid w:val="00F93CD0"/>
    <w:rsid w:val="00F94140"/>
    <w:rsid w:val="00F94741"/>
    <w:rsid w:val="00F94EE4"/>
    <w:rsid w:val="00F9520F"/>
    <w:rsid w:val="00F95BCB"/>
    <w:rsid w:val="00F97B53"/>
    <w:rsid w:val="00FA0E78"/>
    <w:rsid w:val="00FA35C8"/>
    <w:rsid w:val="00FA3618"/>
    <w:rsid w:val="00FA3EC8"/>
    <w:rsid w:val="00FA4E95"/>
    <w:rsid w:val="00FA4F48"/>
    <w:rsid w:val="00FA5393"/>
    <w:rsid w:val="00FA59CA"/>
    <w:rsid w:val="00FA704D"/>
    <w:rsid w:val="00FB00E9"/>
    <w:rsid w:val="00FB0B76"/>
    <w:rsid w:val="00FB16AF"/>
    <w:rsid w:val="00FB2743"/>
    <w:rsid w:val="00FB31E3"/>
    <w:rsid w:val="00FB344A"/>
    <w:rsid w:val="00FB351C"/>
    <w:rsid w:val="00FB5180"/>
    <w:rsid w:val="00FB536E"/>
    <w:rsid w:val="00FB55EC"/>
    <w:rsid w:val="00FB586B"/>
    <w:rsid w:val="00FB5C73"/>
    <w:rsid w:val="00FB649E"/>
    <w:rsid w:val="00FB7520"/>
    <w:rsid w:val="00FB7EFE"/>
    <w:rsid w:val="00FB7F19"/>
    <w:rsid w:val="00FC03F3"/>
    <w:rsid w:val="00FC2EA1"/>
    <w:rsid w:val="00FC32B8"/>
    <w:rsid w:val="00FC3FF7"/>
    <w:rsid w:val="00FC4499"/>
    <w:rsid w:val="00FC4BA7"/>
    <w:rsid w:val="00FC4BB4"/>
    <w:rsid w:val="00FC5489"/>
    <w:rsid w:val="00FC5916"/>
    <w:rsid w:val="00FC5C95"/>
    <w:rsid w:val="00FC7CB0"/>
    <w:rsid w:val="00FC7F7F"/>
    <w:rsid w:val="00FD0609"/>
    <w:rsid w:val="00FD09B3"/>
    <w:rsid w:val="00FD0FB6"/>
    <w:rsid w:val="00FD1E8F"/>
    <w:rsid w:val="00FD20DE"/>
    <w:rsid w:val="00FD35C4"/>
    <w:rsid w:val="00FD3906"/>
    <w:rsid w:val="00FD3D25"/>
    <w:rsid w:val="00FD3F98"/>
    <w:rsid w:val="00FD463A"/>
    <w:rsid w:val="00FD4A7D"/>
    <w:rsid w:val="00FD5281"/>
    <w:rsid w:val="00FD5E1E"/>
    <w:rsid w:val="00FD669C"/>
    <w:rsid w:val="00FD6C00"/>
    <w:rsid w:val="00FE081C"/>
    <w:rsid w:val="00FE0972"/>
    <w:rsid w:val="00FE0DE9"/>
    <w:rsid w:val="00FE1213"/>
    <w:rsid w:val="00FE13D6"/>
    <w:rsid w:val="00FE16D3"/>
    <w:rsid w:val="00FE1EC1"/>
    <w:rsid w:val="00FE2BB1"/>
    <w:rsid w:val="00FE2FE6"/>
    <w:rsid w:val="00FE37AB"/>
    <w:rsid w:val="00FE3B17"/>
    <w:rsid w:val="00FE42BC"/>
    <w:rsid w:val="00FE4A57"/>
    <w:rsid w:val="00FE4DC5"/>
    <w:rsid w:val="00FE5F30"/>
    <w:rsid w:val="00FE6E65"/>
    <w:rsid w:val="00FE755B"/>
    <w:rsid w:val="00FE7DEA"/>
    <w:rsid w:val="00FF0476"/>
    <w:rsid w:val="00FF0A4C"/>
    <w:rsid w:val="00FF0E14"/>
    <w:rsid w:val="00FF0FEB"/>
    <w:rsid w:val="00FF1EB5"/>
    <w:rsid w:val="00FF217A"/>
    <w:rsid w:val="00FF3360"/>
    <w:rsid w:val="00FF3D6C"/>
    <w:rsid w:val="00FF45E1"/>
    <w:rsid w:val="00FF5FA4"/>
    <w:rsid w:val="00FF6460"/>
    <w:rsid w:val="00FF6E74"/>
    <w:rsid w:val="00FF7258"/>
    <w:rsid w:val="00FF7E5E"/>
  </w:rsids>
  <m:mathPr>
    <m:mathFont m:val="Cambria Math"/>
    <m:brkBin m:val="before"/>
    <m:brkBinSub m:val="--"/>
    <m:smallFrac m:val="0"/>
    <m:dispDef/>
    <m:lMargin m:val="0"/>
    <m:rMargin m:val="0"/>
    <m:defJc m:val="centerGroup"/>
    <m:wrapIndent m:val="1440"/>
    <m:intLim m:val="subSup"/>
    <m:naryLim m:val="undOvr"/>
  </m:mathPr>
  <w:themeFontLang w:val="en-GB"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86BF6D"/>
  <w15:docId w15:val="{18751422-D440-4357-AAAD-16C45450B5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Arial" w:hAnsiTheme="minorHAnsi" w:cstheme="minorBidi"/>
        <w:sz w:val="22"/>
        <w:szCs w:val="22"/>
        <w:lang w:val="en-GB" w:eastAsia="en-GB" w:bidi="ar-SA"/>
      </w:rPr>
    </w:rPrDefault>
    <w:pPrDefault/>
  </w:docDefaults>
  <w:latentStyles w:defLockedState="0" w:defUIPriority="59" w:defSemiHidden="0" w:defUnhideWhenUsed="0" w:defQFormat="0" w:count="376">
    <w:lsdException w:name="Normal" w:uiPriority="0"/>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1" w:unhideWhenUsed="1" w:qFormat="1"/>
    <w:lsdException w:name="heading 6" w:semiHidden="1" w:uiPriority="1" w:unhideWhenUsed="1" w:qFormat="1"/>
    <w:lsdException w:name="heading 7" w:semiHidden="1" w:uiPriority="1" w:qFormat="1"/>
    <w:lsdException w:name="heading 8" w:semiHidden="1" w:uiPriority="1" w:qFormat="1"/>
    <w:lsdException w:name="heading 9" w:semiHidden="1" w:uiPriority="1" w:qFormat="1"/>
    <w:lsdException w:name="index 1" w:semiHidden="1" w:uiPriority="49" w:unhideWhenUsed="1"/>
    <w:lsdException w:name="index 2" w:semiHidden="1" w:uiPriority="49" w:unhideWhenUsed="1"/>
    <w:lsdException w:name="index 3" w:semiHidden="1" w:uiPriority="49" w:unhideWhenUsed="1"/>
    <w:lsdException w:name="index 4" w:semiHidden="1" w:uiPriority="49" w:unhideWhenUsed="1"/>
    <w:lsdException w:name="index 5" w:semiHidden="1" w:uiPriority="49" w:unhideWhenUsed="1"/>
    <w:lsdException w:name="index 6" w:semiHidden="1" w:uiPriority="49" w:unhideWhenUsed="1"/>
    <w:lsdException w:name="index 7" w:semiHidden="1" w:uiPriority="49" w:unhideWhenUsed="1"/>
    <w:lsdException w:name="index 8" w:semiHidden="1" w:uiPriority="49" w:unhideWhenUsed="1"/>
    <w:lsdException w:name="index 9" w:semiHidden="1" w:uiPriority="49" w:unhideWhenUsed="1"/>
    <w:lsdException w:name="toc 1" w:semiHidden="1" w:uiPriority="12" w:unhideWhenUsed="1"/>
    <w:lsdException w:name="toc 2" w:semiHidden="1" w:uiPriority="12" w:unhideWhenUsed="1"/>
    <w:lsdException w:name="toc 3" w:semiHidden="1" w:uiPriority="12" w:unhideWhenUsed="1"/>
    <w:lsdException w:name="toc 4" w:semiHidden="1" w:uiPriority="12" w:unhideWhenUsed="1"/>
    <w:lsdException w:name="toc 5" w:semiHidden="1" w:uiPriority="12"/>
    <w:lsdException w:name="toc 6" w:semiHidden="1"/>
    <w:lsdException w:name="toc 7" w:semiHidden="1"/>
    <w:lsdException w:name="toc 8" w:semiHidden="1"/>
    <w:lsdException w:name="toc 9" w:semiHidden="1"/>
    <w:lsdException w:name="Normal Indent" w:semiHidden="1"/>
    <w:lsdException w:name="footnote text" w:semiHidden="1" w:uiPriority="13" w:unhideWhenUsed="1"/>
    <w:lsdException w:name="annotation text" w:semiHidden="1" w:uiPriority="99"/>
    <w:lsdException w:name="header" w:semiHidden="1" w:uiPriority="49" w:unhideWhenUsed="1"/>
    <w:lsdException w:name="footer" w:semiHidden="1" w:uiPriority="19" w:unhideWhenUsed="1"/>
    <w:lsdException w:name="index heading" w:semiHidden="1" w:uiPriority="49" w:unhideWhenUsed="1"/>
    <w:lsdException w:name="caption" w:semiHidden="1" w:qFormat="1"/>
    <w:lsdException w:name="table of figures" w:semiHidden="1"/>
    <w:lsdException w:name="envelope address" w:semiHidden="1"/>
    <w:lsdException w:name="envelope return" w:semiHidden="1"/>
    <w:lsdException w:name="footnote reference" w:semiHidden="1" w:uiPriority="13" w:unhideWhenUsed="1"/>
    <w:lsdException w:name="annotation reference" w:semiHidden="1" w:uiPriority="99"/>
    <w:lsdException w:name="line number" w:semiHidden="1"/>
    <w:lsdException w:name="page number" w:semiHidden="1" w:uiPriority="19"/>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qFormat="1"/>
    <w:lsdException w:name="Closing" w:semiHidden="1"/>
    <w:lsdException w:name="Signature" w:semiHidden="1"/>
    <w:lsdException w:name="Default Paragraph Font" w:semiHidden="1" w:uiPriority="1" w:unhideWhenUsed="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uiPriority="13" w:unhideWhenUsed="1"/>
    <w:lsdException w:name="FollowedHyperlink" w:semiHidden="1"/>
    <w:lsdException w:name="Strong" w:semiHidden="1" w:qFormat="1"/>
    <w:lsdException w:name="Emphasis" w:semiHidden="1" w:qFormat="1"/>
    <w:lsdException w:name="Document Map" w:semiHidden="1"/>
    <w:lsdException w:name="Plain Text" w:semiHidden="1"/>
    <w:lsdException w:name="E-mail Signature" w:semiHidden="1"/>
    <w:lsdException w:name="HTML Top of Form" w:semiHidden="1" w:uiPriority="99" w:unhideWhenUsed="1"/>
    <w:lsdException w:name="HTML Bottom of Form" w:semiHidden="1" w:uiPriority="99" w:unhideWhenUsed="1"/>
    <w:lsdException w:name="Normal (Web)" w:semiHidden="1" w:uiPriority="99"/>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iPriority="99" w:unhideWhenUsed="1"/>
    <w:lsdException w:name="annotation subject"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lsdException w:name="Table Grid" w:uiPriority="0"/>
    <w:lsdException w:name="Table Theme" w:semiHidden="1" w:uiPriority="99" w:unhideWhenUsed="1"/>
    <w:lsdException w:name="Placeholder Text" w:semiHidden="1" w:uiPriority="99"/>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semiHidden="1" w:uiPriority="34" w:qFormat="1"/>
    <w:lsdException w:name="Quote" w:semiHidden="1" w:qFormat="1"/>
    <w:lsdException w:name="Intense Quote" w:semiHidden="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qFormat="1"/>
    <w:lsdException w:name="Intense Emphasis" w:semiHidden="1" w:qFormat="1"/>
    <w:lsdException w:name="Subtle Reference" w:semiHidden="1" w:qFormat="1"/>
    <w:lsdException w:name="Intense Reference" w:semiHidden="1" w:qFormat="1"/>
    <w:lsdException w:name="Book Title" w:semiHidden="1" w:qFormat="1"/>
    <w:lsdException w:name="Bibliography" w:semiHidden="1"/>
    <w:lsdException w:name="TOC Heading" w:semiHidden="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lsdException w:name="Smart Hyperlink" w:semiHidden="1"/>
    <w:lsdException w:name="Hashtag" w:semiHidden="1"/>
    <w:lsdException w:name="Unresolved Mention" w:semiHidden="1" w:uiPriority="99"/>
    <w:lsdException w:name="Smart Link" w:semiHidden="1"/>
  </w:latentStyles>
  <w:style w:type="paragraph" w:default="1" w:styleId="Normal">
    <w:name w:val="Normal"/>
    <w:rsid w:val="00762842"/>
    <w:rPr>
      <w:rFonts w:ascii="Arial" w:eastAsiaTheme="minorHAnsi" w:hAnsi="Arial"/>
      <w:lang w:eastAsia="en-US"/>
    </w:rPr>
  </w:style>
  <w:style w:type="paragraph" w:styleId="Heading1">
    <w:name w:val="heading 1"/>
    <w:basedOn w:val="Normal"/>
    <w:next w:val="ssPara1"/>
    <w:link w:val="Heading1Char"/>
    <w:uiPriority w:val="1"/>
    <w:qFormat/>
    <w:rsid w:val="00762842"/>
    <w:pPr>
      <w:keepNext/>
      <w:keepLines/>
      <w:numPr>
        <w:ilvl w:val="1"/>
        <w:numId w:val="43"/>
      </w:numPr>
      <w:spacing w:after="260"/>
      <w:outlineLvl w:val="0"/>
    </w:pPr>
    <w:rPr>
      <w:rFonts w:eastAsia="MingLiU" w:cstheme="majorBidi"/>
      <w:b/>
      <w:bCs/>
      <w:kern w:val="32"/>
      <w:szCs w:val="28"/>
      <w:u w:val="single"/>
    </w:rPr>
  </w:style>
  <w:style w:type="paragraph" w:styleId="Heading2">
    <w:name w:val="heading 2"/>
    <w:basedOn w:val="Normal"/>
    <w:next w:val="ssPara2"/>
    <w:uiPriority w:val="1"/>
    <w:qFormat/>
    <w:rsid w:val="00762842"/>
    <w:pPr>
      <w:keepNext/>
      <w:keepLines/>
      <w:numPr>
        <w:ilvl w:val="2"/>
        <w:numId w:val="43"/>
      </w:numPr>
      <w:spacing w:after="260"/>
      <w:outlineLvl w:val="1"/>
    </w:pPr>
    <w:rPr>
      <w:rFonts w:eastAsia="MingLiU" w:cstheme="majorBidi"/>
      <w:b/>
      <w:bCs/>
      <w:szCs w:val="26"/>
    </w:rPr>
  </w:style>
  <w:style w:type="paragraph" w:styleId="Heading3">
    <w:name w:val="heading 3"/>
    <w:basedOn w:val="Normal"/>
    <w:next w:val="ssPara3"/>
    <w:uiPriority w:val="1"/>
    <w:qFormat/>
    <w:rsid w:val="00762842"/>
    <w:pPr>
      <w:keepNext/>
      <w:keepLines/>
      <w:numPr>
        <w:ilvl w:val="3"/>
        <w:numId w:val="43"/>
      </w:numPr>
      <w:spacing w:after="260"/>
      <w:outlineLvl w:val="2"/>
    </w:pPr>
    <w:rPr>
      <w:rFonts w:eastAsia="MingLiU" w:cstheme="majorBidi"/>
      <w:b/>
      <w:bCs/>
    </w:rPr>
  </w:style>
  <w:style w:type="paragraph" w:styleId="Heading4">
    <w:name w:val="heading 4"/>
    <w:basedOn w:val="Normal"/>
    <w:next w:val="ssPara4"/>
    <w:uiPriority w:val="1"/>
    <w:qFormat/>
    <w:rsid w:val="00762842"/>
    <w:pPr>
      <w:keepNext/>
      <w:keepLines/>
      <w:numPr>
        <w:ilvl w:val="4"/>
        <w:numId w:val="43"/>
      </w:numPr>
      <w:spacing w:after="260"/>
      <w:outlineLvl w:val="3"/>
    </w:pPr>
    <w:rPr>
      <w:rFonts w:eastAsia="MingLiU" w:cstheme="majorBidi"/>
      <w:b/>
      <w:bCs/>
      <w:iCs/>
    </w:rPr>
  </w:style>
  <w:style w:type="paragraph" w:styleId="Heading5">
    <w:name w:val="heading 5"/>
    <w:basedOn w:val="Normal"/>
    <w:next w:val="ssPara5"/>
    <w:uiPriority w:val="1"/>
    <w:qFormat/>
    <w:rsid w:val="00762842"/>
    <w:pPr>
      <w:keepNext/>
      <w:keepLines/>
      <w:numPr>
        <w:ilvl w:val="5"/>
        <w:numId w:val="43"/>
      </w:numPr>
      <w:spacing w:after="260"/>
      <w:outlineLvl w:val="4"/>
    </w:pPr>
    <w:rPr>
      <w:rFonts w:eastAsia="MingLiU" w:cstheme="majorBidi"/>
      <w:b/>
    </w:rPr>
  </w:style>
  <w:style w:type="paragraph" w:styleId="Heading6">
    <w:name w:val="heading 6"/>
    <w:basedOn w:val="Normal"/>
    <w:next w:val="ssPara6"/>
    <w:uiPriority w:val="1"/>
    <w:qFormat/>
    <w:rsid w:val="00762842"/>
    <w:pPr>
      <w:keepNext/>
      <w:keepLines/>
      <w:numPr>
        <w:ilvl w:val="6"/>
        <w:numId w:val="43"/>
      </w:numPr>
      <w:spacing w:after="260"/>
      <w:outlineLvl w:val="5"/>
    </w:pPr>
    <w:rPr>
      <w:rFonts w:eastAsia="MingLiU" w:cstheme="majorBidi"/>
      <w:b/>
      <w:iCs/>
    </w:rPr>
  </w:style>
  <w:style w:type="paragraph" w:styleId="Heading7">
    <w:name w:val="heading 7"/>
    <w:basedOn w:val="Normal"/>
    <w:next w:val="Normal"/>
    <w:uiPriority w:val="1"/>
    <w:semiHidden/>
    <w:qFormat/>
    <w:rsid w:val="00762842"/>
    <w:pPr>
      <w:numPr>
        <w:ilvl w:val="7"/>
        <w:numId w:val="42"/>
      </w:numPr>
      <w:outlineLvl w:val="6"/>
    </w:pPr>
    <w:rPr>
      <w:rFonts w:asciiTheme="minorHAnsi" w:eastAsia="MingLiU" w:hAnsiTheme="minorHAnsi" w:cs="Times New Roman"/>
      <w:szCs w:val="24"/>
      <w:lang w:eastAsia="en-GB"/>
    </w:rPr>
  </w:style>
  <w:style w:type="paragraph" w:styleId="Heading8">
    <w:name w:val="heading 8"/>
    <w:basedOn w:val="Normal"/>
    <w:next w:val="Normal"/>
    <w:uiPriority w:val="1"/>
    <w:semiHidden/>
    <w:qFormat/>
    <w:rsid w:val="00762842"/>
    <w:pPr>
      <w:numPr>
        <w:ilvl w:val="8"/>
        <w:numId w:val="42"/>
      </w:numPr>
      <w:outlineLvl w:val="7"/>
    </w:pPr>
    <w:rPr>
      <w:rFonts w:asciiTheme="minorHAnsi" w:eastAsia="MingLiU" w:hAnsiTheme="minorHAnsi" w:cs="Times New Roman"/>
      <w:iCs/>
      <w:szCs w:val="24"/>
      <w:lang w:eastAsia="en-GB"/>
    </w:rPr>
  </w:style>
  <w:style w:type="paragraph" w:styleId="Heading9">
    <w:name w:val="heading 9"/>
    <w:basedOn w:val="Normal"/>
    <w:next w:val="Normal"/>
    <w:uiPriority w:val="1"/>
    <w:semiHidden/>
    <w:qFormat/>
    <w:rsid w:val="00762842"/>
    <w:pPr>
      <w:outlineLvl w:val="8"/>
    </w:pPr>
    <w:rPr>
      <w:rFonts w:asciiTheme="minorHAnsi" w:eastAsia="MingLiU" w:hAnsiTheme="minorHAnsi" w:cs="Arial"/>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sqAppendix">
    <w:name w:val="ssqAppendix"/>
    <w:basedOn w:val="ssPara"/>
    <w:next w:val="ssPara"/>
    <w:uiPriority w:val="6"/>
    <w:qFormat/>
    <w:rsid w:val="00D0229D"/>
    <w:pPr>
      <w:pageBreakBefore/>
      <w:numPr>
        <w:ilvl w:val="1"/>
        <w:numId w:val="72"/>
      </w:numPr>
      <w:jc w:val="center"/>
    </w:pPr>
    <w:rPr>
      <w:rFonts w:eastAsia="MingLiU"/>
      <w:b/>
      <w:caps/>
    </w:rPr>
  </w:style>
  <w:style w:type="paragraph" w:customStyle="1" w:styleId="Definitions">
    <w:name w:val="Definitions"/>
    <w:basedOn w:val="Normal"/>
    <w:rsid w:val="00762842"/>
    <w:pPr>
      <w:numPr>
        <w:numId w:val="70"/>
      </w:numPr>
      <w:spacing w:after="260"/>
    </w:pPr>
  </w:style>
  <w:style w:type="paragraph" w:customStyle="1" w:styleId="Definitions1">
    <w:name w:val="Definitions 1"/>
    <w:basedOn w:val="Normal"/>
    <w:rsid w:val="00762842"/>
    <w:pPr>
      <w:numPr>
        <w:ilvl w:val="1"/>
        <w:numId w:val="70"/>
      </w:numPr>
      <w:spacing w:after="260"/>
      <w:outlineLvl w:val="1"/>
    </w:pPr>
  </w:style>
  <w:style w:type="paragraph" w:customStyle="1" w:styleId="Definitions2">
    <w:name w:val="Definitions 2"/>
    <w:basedOn w:val="Normal"/>
    <w:rsid w:val="00762842"/>
    <w:pPr>
      <w:numPr>
        <w:ilvl w:val="2"/>
        <w:numId w:val="70"/>
      </w:numPr>
      <w:spacing w:after="260"/>
      <w:jc w:val="both"/>
      <w:outlineLvl w:val="2"/>
    </w:pPr>
  </w:style>
  <w:style w:type="paragraph" w:customStyle="1" w:styleId="ssqExhibit">
    <w:name w:val="ssqExhibit"/>
    <w:basedOn w:val="ssPara"/>
    <w:next w:val="ssPara"/>
    <w:uiPriority w:val="7"/>
    <w:qFormat/>
    <w:rsid w:val="00D0229D"/>
    <w:pPr>
      <w:pageBreakBefore/>
      <w:numPr>
        <w:ilvl w:val="1"/>
        <w:numId w:val="73"/>
      </w:numPr>
      <w:jc w:val="center"/>
    </w:pPr>
    <w:rPr>
      <w:rFonts w:eastAsia="MingLiU"/>
      <w:b/>
      <w:caps/>
    </w:rPr>
  </w:style>
  <w:style w:type="paragraph" w:styleId="Footer">
    <w:name w:val="footer"/>
    <w:basedOn w:val="Normal"/>
    <w:link w:val="FooterChar"/>
    <w:uiPriority w:val="19"/>
    <w:rsid w:val="00762842"/>
    <w:pPr>
      <w:tabs>
        <w:tab w:val="center" w:pos="4763"/>
        <w:tab w:val="right" w:pos="9497"/>
      </w:tabs>
      <w:spacing w:line="260" w:lineRule="atLeast"/>
    </w:pPr>
    <w:rPr>
      <w:rFonts w:eastAsia="SimSun"/>
      <w:sz w:val="12"/>
      <w:szCs w:val="20"/>
      <w:lang w:eastAsia="zh-CN"/>
    </w:rPr>
  </w:style>
  <w:style w:type="character" w:styleId="FootnoteReference">
    <w:name w:val="footnote reference"/>
    <w:basedOn w:val="DefaultParagraphFont"/>
    <w:uiPriority w:val="13"/>
    <w:rsid w:val="00762842"/>
    <w:rPr>
      <w:vertAlign w:val="superscript"/>
    </w:rPr>
  </w:style>
  <w:style w:type="paragraph" w:styleId="FootnoteText">
    <w:name w:val="footnote text"/>
    <w:basedOn w:val="Normal"/>
    <w:uiPriority w:val="13"/>
    <w:rsid w:val="00762842"/>
    <w:rPr>
      <w:sz w:val="20"/>
      <w:szCs w:val="20"/>
    </w:rPr>
  </w:style>
  <w:style w:type="paragraph" w:styleId="Header">
    <w:name w:val="header"/>
    <w:basedOn w:val="Normal"/>
    <w:uiPriority w:val="59"/>
    <w:semiHidden/>
    <w:rsid w:val="00762842"/>
    <w:pPr>
      <w:tabs>
        <w:tab w:val="center" w:pos="4513"/>
        <w:tab w:val="right" w:pos="9026"/>
      </w:tabs>
    </w:pPr>
  </w:style>
  <w:style w:type="paragraph" w:customStyle="1" w:styleId="ssNoHeading1">
    <w:name w:val="ssNoHeading1"/>
    <w:basedOn w:val="Heading1"/>
    <w:uiPriority w:val="2"/>
    <w:qFormat/>
    <w:rsid w:val="00762842"/>
    <w:pPr>
      <w:keepNext w:val="0"/>
      <w:keepLines w:val="0"/>
    </w:pPr>
    <w:rPr>
      <w:b w:val="0"/>
      <w:u w:val="none"/>
    </w:rPr>
  </w:style>
  <w:style w:type="paragraph" w:customStyle="1" w:styleId="ssNoHeading2">
    <w:name w:val="ssNoHeading2"/>
    <w:basedOn w:val="Heading2"/>
    <w:uiPriority w:val="2"/>
    <w:qFormat/>
    <w:rsid w:val="00762842"/>
    <w:pPr>
      <w:keepNext w:val="0"/>
      <w:keepLines w:val="0"/>
    </w:pPr>
    <w:rPr>
      <w:b w:val="0"/>
    </w:rPr>
  </w:style>
  <w:style w:type="paragraph" w:customStyle="1" w:styleId="ssNoHeading3">
    <w:name w:val="ssNoHeading3"/>
    <w:basedOn w:val="Heading3"/>
    <w:uiPriority w:val="2"/>
    <w:qFormat/>
    <w:rsid w:val="00762842"/>
    <w:pPr>
      <w:keepNext w:val="0"/>
      <w:keepLines w:val="0"/>
    </w:pPr>
    <w:rPr>
      <w:b w:val="0"/>
    </w:rPr>
  </w:style>
  <w:style w:type="paragraph" w:customStyle="1" w:styleId="ssNoHeading4">
    <w:name w:val="ssNoHeading4"/>
    <w:basedOn w:val="Heading4"/>
    <w:uiPriority w:val="2"/>
    <w:qFormat/>
    <w:rsid w:val="00762842"/>
    <w:pPr>
      <w:keepNext w:val="0"/>
      <w:keepLines w:val="0"/>
    </w:pPr>
    <w:rPr>
      <w:b w:val="0"/>
    </w:rPr>
  </w:style>
  <w:style w:type="paragraph" w:customStyle="1" w:styleId="ssNoHeading5">
    <w:name w:val="ssNoHeading5"/>
    <w:basedOn w:val="Heading5"/>
    <w:uiPriority w:val="2"/>
    <w:qFormat/>
    <w:rsid w:val="00762842"/>
    <w:pPr>
      <w:keepNext w:val="0"/>
      <w:keepLines w:val="0"/>
    </w:pPr>
    <w:rPr>
      <w:b w:val="0"/>
    </w:rPr>
  </w:style>
  <w:style w:type="paragraph" w:customStyle="1" w:styleId="ssNoHeading6">
    <w:name w:val="ssNoHeading6"/>
    <w:basedOn w:val="Heading6"/>
    <w:uiPriority w:val="2"/>
    <w:qFormat/>
    <w:rsid w:val="00762842"/>
    <w:pPr>
      <w:keepNext w:val="0"/>
      <w:keepLines w:val="0"/>
    </w:pPr>
    <w:rPr>
      <w:b w:val="0"/>
    </w:rPr>
  </w:style>
  <w:style w:type="character" w:styleId="Hyperlink">
    <w:name w:val="Hyperlink"/>
    <w:basedOn w:val="DefaultParagraphFont"/>
    <w:uiPriority w:val="13"/>
    <w:rsid w:val="00762842"/>
    <w:rPr>
      <w:color w:val="0563C1" w:themeColor="hyperlink"/>
      <w:u w:val="single"/>
    </w:rPr>
  </w:style>
  <w:style w:type="paragraph" w:styleId="Index1">
    <w:name w:val="index 1"/>
    <w:basedOn w:val="Normal"/>
    <w:next w:val="Normal"/>
    <w:autoRedefine/>
    <w:uiPriority w:val="59"/>
    <w:semiHidden/>
    <w:rsid w:val="00762842"/>
    <w:pPr>
      <w:spacing w:after="120"/>
      <w:ind w:left="221" w:hanging="221"/>
    </w:pPr>
    <w:rPr>
      <w:rFonts w:eastAsia="Times New Roman"/>
    </w:rPr>
  </w:style>
  <w:style w:type="paragraph" w:styleId="Index2">
    <w:name w:val="index 2"/>
    <w:basedOn w:val="Normal"/>
    <w:next w:val="Normal"/>
    <w:autoRedefine/>
    <w:uiPriority w:val="59"/>
    <w:semiHidden/>
    <w:rsid w:val="00762842"/>
    <w:pPr>
      <w:spacing w:after="120"/>
      <w:ind w:left="442" w:hanging="221"/>
    </w:pPr>
    <w:rPr>
      <w:rFonts w:eastAsia="Times New Roman"/>
    </w:rPr>
  </w:style>
  <w:style w:type="paragraph" w:styleId="Index3">
    <w:name w:val="index 3"/>
    <w:basedOn w:val="Normal"/>
    <w:next w:val="Normal"/>
    <w:autoRedefine/>
    <w:uiPriority w:val="59"/>
    <w:semiHidden/>
    <w:rsid w:val="00762842"/>
    <w:pPr>
      <w:spacing w:after="120"/>
      <w:ind w:left="663" w:hanging="221"/>
    </w:pPr>
    <w:rPr>
      <w:rFonts w:eastAsia="Times New Roman"/>
    </w:rPr>
  </w:style>
  <w:style w:type="paragraph" w:styleId="Index4">
    <w:name w:val="index 4"/>
    <w:basedOn w:val="Normal"/>
    <w:next w:val="Normal"/>
    <w:autoRedefine/>
    <w:uiPriority w:val="59"/>
    <w:semiHidden/>
    <w:rsid w:val="00762842"/>
    <w:pPr>
      <w:spacing w:after="120"/>
      <w:ind w:left="879" w:hanging="221"/>
    </w:pPr>
    <w:rPr>
      <w:rFonts w:eastAsia="Times New Roman"/>
    </w:rPr>
  </w:style>
  <w:style w:type="paragraph" w:styleId="Index5">
    <w:name w:val="index 5"/>
    <w:basedOn w:val="Normal"/>
    <w:next w:val="Normal"/>
    <w:autoRedefine/>
    <w:uiPriority w:val="59"/>
    <w:semiHidden/>
    <w:rsid w:val="00762842"/>
    <w:pPr>
      <w:spacing w:after="120"/>
      <w:ind w:left="1100" w:hanging="221"/>
    </w:pPr>
    <w:rPr>
      <w:rFonts w:eastAsia="Times New Roman"/>
    </w:rPr>
  </w:style>
  <w:style w:type="paragraph" w:styleId="Index6">
    <w:name w:val="index 6"/>
    <w:basedOn w:val="Normal"/>
    <w:next w:val="Normal"/>
    <w:autoRedefine/>
    <w:uiPriority w:val="59"/>
    <w:semiHidden/>
    <w:rsid w:val="00762842"/>
    <w:pPr>
      <w:spacing w:after="120"/>
      <w:ind w:left="1321" w:hanging="221"/>
    </w:pPr>
    <w:rPr>
      <w:rFonts w:eastAsia="Times New Roman"/>
    </w:rPr>
  </w:style>
  <w:style w:type="paragraph" w:styleId="Index7">
    <w:name w:val="index 7"/>
    <w:basedOn w:val="Normal"/>
    <w:next w:val="Normal"/>
    <w:autoRedefine/>
    <w:uiPriority w:val="59"/>
    <w:semiHidden/>
    <w:rsid w:val="00762842"/>
    <w:pPr>
      <w:spacing w:after="120"/>
      <w:ind w:left="1542" w:hanging="221"/>
    </w:pPr>
    <w:rPr>
      <w:rFonts w:eastAsia="Times New Roman"/>
    </w:rPr>
  </w:style>
  <w:style w:type="paragraph" w:styleId="Index8">
    <w:name w:val="index 8"/>
    <w:basedOn w:val="Normal"/>
    <w:next w:val="Normal"/>
    <w:autoRedefine/>
    <w:uiPriority w:val="59"/>
    <w:semiHidden/>
    <w:rsid w:val="00762842"/>
    <w:pPr>
      <w:spacing w:after="120"/>
      <w:ind w:left="1763" w:hanging="221"/>
    </w:pPr>
    <w:rPr>
      <w:rFonts w:eastAsia="Times New Roman"/>
    </w:rPr>
  </w:style>
  <w:style w:type="paragraph" w:styleId="Index9">
    <w:name w:val="index 9"/>
    <w:basedOn w:val="Normal"/>
    <w:next w:val="Normal"/>
    <w:autoRedefine/>
    <w:uiPriority w:val="59"/>
    <w:semiHidden/>
    <w:rsid w:val="00762842"/>
    <w:pPr>
      <w:spacing w:after="120"/>
      <w:ind w:left="1979" w:hanging="221"/>
    </w:pPr>
    <w:rPr>
      <w:rFonts w:eastAsia="Times New Roman"/>
    </w:rPr>
  </w:style>
  <w:style w:type="paragraph" w:styleId="IndexHeading">
    <w:name w:val="index heading"/>
    <w:basedOn w:val="Normal"/>
    <w:next w:val="Index1"/>
    <w:uiPriority w:val="59"/>
    <w:semiHidden/>
    <w:rsid w:val="00762842"/>
    <w:rPr>
      <w:rFonts w:asciiTheme="majorHAnsi" w:eastAsiaTheme="majorEastAsia" w:hAnsiTheme="majorHAnsi" w:cstheme="majorBidi"/>
      <w:b/>
      <w:bCs/>
    </w:rPr>
  </w:style>
  <w:style w:type="paragraph" w:customStyle="1" w:styleId="ssqPart">
    <w:name w:val="ssqPart"/>
    <w:basedOn w:val="ssPara"/>
    <w:next w:val="ssPara"/>
    <w:uiPriority w:val="10"/>
    <w:qFormat/>
    <w:rsid w:val="00D0229D"/>
    <w:pPr>
      <w:numPr>
        <w:ilvl w:val="1"/>
        <w:numId w:val="74"/>
      </w:numPr>
      <w:jc w:val="center"/>
    </w:pPr>
    <w:rPr>
      <w:rFonts w:eastAsia="MingLiU"/>
      <w:b/>
      <w:caps/>
    </w:rPr>
  </w:style>
  <w:style w:type="paragraph" w:customStyle="1" w:styleId="Parties">
    <w:name w:val="Parties"/>
    <w:basedOn w:val="Normal"/>
    <w:rsid w:val="00762842"/>
    <w:pPr>
      <w:numPr>
        <w:numId w:val="38"/>
      </w:numPr>
      <w:spacing w:after="260"/>
    </w:pPr>
  </w:style>
  <w:style w:type="paragraph" w:customStyle="1" w:styleId="Recitals">
    <w:name w:val="Recitals"/>
    <w:basedOn w:val="Normal"/>
    <w:rsid w:val="00762842"/>
    <w:pPr>
      <w:numPr>
        <w:numId w:val="39"/>
      </w:numPr>
      <w:spacing w:after="260"/>
    </w:pPr>
  </w:style>
  <w:style w:type="paragraph" w:customStyle="1" w:styleId="SchLevel1">
    <w:name w:val="Sch Level 1"/>
    <w:basedOn w:val="Heading1"/>
    <w:uiPriority w:val="59"/>
    <w:semiHidden/>
    <w:rsid w:val="0001706C"/>
    <w:pPr>
      <w:outlineLvl w:val="1"/>
    </w:pPr>
    <w:rPr>
      <w:b w:val="0"/>
      <w:u w:val="none"/>
    </w:rPr>
  </w:style>
  <w:style w:type="paragraph" w:customStyle="1" w:styleId="SchHead1">
    <w:name w:val="Sch Head 1"/>
    <w:basedOn w:val="SchLevel1"/>
    <w:next w:val="ssPara1"/>
    <w:uiPriority w:val="59"/>
    <w:semiHidden/>
    <w:rsid w:val="0001706C"/>
    <w:rPr>
      <w:b/>
      <w:u w:val="single"/>
    </w:rPr>
  </w:style>
  <w:style w:type="paragraph" w:customStyle="1" w:styleId="SchLevel2">
    <w:name w:val="Sch Level 2"/>
    <w:basedOn w:val="Heading2"/>
    <w:uiPriority w:val="59"/>
    <w:semiHidden/>
    <w:rsid w:val="0001706C"/>
    <w:pPr>
      <w:outlineLvl w:val="2"/>
    </w:pPr>
    <w:rPr>
      <w:b w:val="0"/>
    </w:rPr>
  </w:style>
  <w:style w:type="paragraph" w:customStyle="1" w:styleId="SchHead2">
    <w:name w:val="Sch Head 2"/>
    <w:basedOn w:val="SchLevel2"/>
    <w:next w:val="ssPara2"/>
    <w:uiPriority w:val="59"/>
    <w:semiHidden/>
    <w:rsid w:val="0001706C"/>
    <w:rPr>
      <w:b/>
    </w:rPr>
  </w:style>
  <w:style w:type="paragraph" w:customStyle="1" w:styleId="SchLevel3">
    <w:name w:val="Sch Level 3"/>
    <w:basedOn w:val="Heading3"/>
    <w:uiPriority w:val="59"/>
    <w:semiHidden/>
    <w:rsid w:val="0001706C"/>
    <w:pPr>
      <w:outlineLvl w:val="3"/>
    </w:pPr>
    <w:rPr>
      <w:b w:val="0"/>
    </w:rPr>
  </w:style>
  <w:style w:type="paragraph" w:customStyle="1" w:styleId="SchHead3">
    <w:name w:val="Sch Head 3"/>
    <w:basedOn w:val="SchLevel3"/>
    <w:next w:val="ssPara3"/>
    <w:uiPriority w:val="59"/>
    <w:semiHidden/>
    <w:rsid w:val="0001706C"/>
    <w:rPr>
      <w:b/>
    </w:rPr>
  </w:style>
  <w:style w:type="paragraph" w:customStyle="1" w:styleId="SchLevel4">
    <w:name w:val="Sch Level 4"/>
    <w:basedOn w:val="Heading4"/>
    <w:uiPriority w:val="59"/>
    <w:semiHidden/>
    <w:rsid w:val="0001706C"/>
    <w:pPr>
      <w:outlineLvl w:val="4"/>
    </w:pPr>
    <w:rPr>
      <w:b w:val="0"/>
    </w:rPr>
  </w:style>
  <w:style w:type="paragraph" w:customStyle="1" w:styleId="SchHead4">
    <w:name w:val="Sch Head 4"/>
    <w:basedOn w:val="SchLevel4"/>
    <w:next w:val="ssPara4"/>
    <w:uiPriority w:val="59"/>
    <w:semiHidden/>
    <w:rsid w:val="0001706C"/>
    <w:rPr>
      <w:b/>
    </w:rPr>
  </w:style>
  <w:style w:type="paragraph" w:customStyle="1" w:styleId="SchLevel5">
    <w:name w:val="Sch Level 5"/>
    <w:basedOn w:val="Heading5"/>
    <w:uiPriority w:val="59"/>
    <w:semiHidden/>
    <w:rsid w:val="0001706C"/>
    <w:pPr>
      <w:outlineLvl w:val="5"/>
    </w:pPr>
    <w:rPr>
      <w:b w:val="0"/>
    </w:rPr>
  </w:style>
  <w:style w:type="paragraph" w:customStyle="1" w:styleId="SchHead5">
    <w:name w:val="Sch Head 5"/>
    <w:basedOn w:val="SchLevel5"/>
    <w:next w:val="ssPara5"/>
    <w:uiPriority w:val="59"/>
    <w:semiHidden/>
    <w:rsid w:val="0001706C"/>
    <w:rPr>
      <w:b/>
    </w:rPr>
  </w:style>
  <w:style w:type="paragraph" w:customStyle="1" w:styleId="SchLevel6">
    <w:name w:val="Sch Level 6"/>
    <w:basedOn w:val="Heading6"/>
    <w:uiPriority w:val="59"/>
    <w:semiHidden/>
    <w:rsid w:val="0001706C"/>
    <w:pPr>
      <w:outlineLvl w:val="6"/>
    </w:pPr>
    <w:rPr>
      <w:b w:val="0"/>
    </w:rPr>
  </w:style>
  <w:style w:type="paragraph" w:customStyle="1" w:styleId="SchHead6">
    <w:name w:val="Sch Head 6"/>
    <w:basedOn w:val="SchLevel6"/>
    <w:next w:val="ssPara6"/>
    <w:uiPriority w:val="59"/>
    <w:semiHidden/>
    <w:rsid w:val="0001706C"/>
    <w:rPr>
      <w:b/>
    </w:rPr>
  </w:style>
  <w:style w:type="paragraph" w:customStyle="1" w:styleId="ssqSchedule">
    <w:name w:val="ssqSchedule"/>
    <w:basedOn w:val="ssPara"/>
    <w:next w:val="ssPara"/>
    <w:uiPriority w:val="5"/>
    <w:qFormat/>
    <w:rsid w:val="00D0229D"/>
    <w:pPr>
      <w:pageBreakBefore/>
      <w:numPr>
        <w:ilvl w:val="1"/>
        <w:numId w:val="75"/>
      </w:numPr>
      <w:jc w:val="center"/>
    </w:pPr>
    <w:rPr>
      <w:rFonts w:eastAsia="MingLiU"/>
      <w:b/>
      <w:caps/>
    </w:rPr>
  </w:style>
  <w:style w:type="paragraph" w:customStyle="1" w:styleId="ssSection">
    <w:name w:val="ssSection"/>
    <w:basedOn w:val="Normal"/>
    <w:next w:val="ssPara"/>
    <w:uiPriority w:val="59"/>
    <w:semiHidden/>
    <w:rsid w:val="00762842"/>
    <w:pPr>
      <w:keepNext/>
      <w:pageBreakBefore/>
      <w:spacing w:after="260"/>
      <w:jc w:val="center"/>
      <w:outlineLvl w:val="0"/>
    </w:pPr>
    <w:rPr>
      <w:b/>
      <w:caps/>
    </w:rPr>
  </w:style>
  <w:style w:type="paragraph" w:customStyle="1" w:styleId="ssPara">
    <w:name w:val="ssPara"/>
    <w:basedOn w:val="Normal"/>
    <w:uiPriority w:val="34"/>
    <w:qFormat/>
    <w:rsid w:val="00762842"/>
    <w:pPr>
      <w:numPr>
        <w:numId w:val="45"/>
      </w:numPr>
      <w:spacing w:after="260"/>
    </w:pPr>
  </w:style>
  <w:style w:type="paragraph" w:customStyle="1" w:styleId="ssPara1">
    <w:name w:val="ssPara1"/>
    <w:basedOn w:val="Normal"/>
    <w:uiPriority w:val="3"/>
    <w:qFormat/>
    <w:rsid w:val="00762842"/>
    <w:pPr>
      <w:numPr>
        <w:ilvl w:val="1"/>
        <w:numId w:val="45"/>
      </w:numPr>
      <w:spacing w:after="260"/>
    </w:pPr>
  </w:style>
  <w:style w:type="paragraph" w:customStyle="1" w:styleId="ssPara2">
    <w:name w:val="ssPara2"/>
    <w:basedOn w:val="Normal"/>
    <w:uiPriority w:val="3"/>
    <w:qFormat/>
    <w:rsid w:val="00762842"/>
    <w:pPr>
      <w:numPr>
        <w:ilvl w:val="2"/>
        <w:numId w:val="45"/>
      </w:numPr>
      <w:spacing w:after="260"/>
    </w:pPr>
  </w:style>
  <w:style w:type="paragraph" w:customStyle="1" w:styleId="ssPara3">
    <w:name w:val="ssPara3"/>
    <w:basedOn w:val="Normal"/>
    <w:uiPriority w:val="3"/>
    <w:rsid w:val="00762842"/>
    <w:pPr>
      <w:numPr>
        <w:ilvl w:val="3"/>
        <w:numId w:val="45"/>
      </w:numPr>
      <w:spacing w:after="260"/>
    </w:pPr>
  </w:style>
  <w:style w:type="paragraph" w:customStyle="1" w:styleId="ssPara4">
    <w:name w:val="ssPara4"/>
    <w:basedOn w:val="Normal"/>
    <w:uiPriority w:val="3"/>
    <w:rsid w:val="00762842"/>
    <w:pPr>
      <w:numPr>
        <w:ilvl w:val="4"/>
        <w:numId w:val="45"/>
      </w:numPr>
      <w:spacing w:after="260"/>
    </w:pPr>
  </w:style>
  <w:style w:type="paragraph" w:customStyle="1" w:styleId="ssPara5">
    <w:name w:val="ssPara5"/>
    <w:basedOn w:val="Normal"/>
    <w:uiPriority w:val="3"/>
    <w:rsid w:val="00762842"/>
    <w:pPr>
      <w:numPr>
        <w:ilvl w:val="5"/>
        <w:numId w:val="45"/>
      </w:numPr>
      <w:spacing w:after="260"/>
    </w:pPr>
  </w:style>
  <w:style w:type="paragraph" w:customStyle="1" w:styleId="ssPara6">
    <w:name w:val="ssPara6"/>
    <w:basedOn w:val="Normal"/>
    <w:uiPriority w:val="3"/>
    <w:rsid w:val="00762842"/>
    <w:pPr>
      <w:numPr>
        <w:ilvl w:val="6"/>
        <w:numId w:val="45"/>
      </w:numPr>
      <w:spacing w:after="260"/>
    </w:pPr>
  </w:style>
  <w:style w:type="paragraph" w:styleId="TOC1">
    <w:name w:val="toc 1"/>
    <w:basedOn w:val="Normal"/>
    <w:next w:val="Normal"/>
    <w:autoRedefine/>
    <w:uiPriority w:val="12"/>
    <w:rsid w:val="00762842"/>
    <w:pPr>
      <w:tabs>
        <w:tab w:val="right" w:leader="dot" w:pos="9497"/>
      </w:tabs>
      <w:spacing w:before="260"/>
      <w:ind w:left="709" w:right="595" w:hanging="709"/>
    </w:pPr>
    <w:rPr>
      <w:rFonts w:eastAsia="Times New Roman"/>
    </w:rPr>
  </w:style>
  <w:style w:type="paragraph" w:styleId="TOC2">
    <w:name w:val="toc 2"/>
    <w:basedOn w:val="Normal"/>
    <w:next w:val="Normal"/>
    <w:autoRedefine/>
    <w:uiPriority w:val="12"/>
    <w:rsid w:val="00762842"/>
    <w:pPr>
      <w:tabs>
        <w:tab w:val="right" w:leader="dot" w:pos="9497"/>
      </w:tabs>
      <w:spacing w:before="260"/>
      <w:ind w:left="1418" w:right="595" w:hanging="709"/>
    </w:pPr>
    <w:rPr>
      <w:rFonts w:eastAsia="Times New Roman"/>
    </w:rPr>
  </w:style>
  <w:style w:type="paragraph" w:styleId="TOC3">
    <w:name w:val="toc 3"/>
    <w:basedOn w:val="Normal"/>
    <w:next w:val="Normal"/>
    <w:autoRedefine/>
    <w:uiPriority w:val="12"/>
    <w:rsid w:val="00762842"/>
    <w:pPr>
      <w:tabs>
        <w:tab w:val="right" w:leader="dot" w:pos="9497"/>
      </w:tabs>
      <w:spacing w:before="260"/>
      <w:ind w:left="2127" w:right="595" w:hanging="709"/>
    </w:pPr>
    <w:rPr>
      <w:rFonts w:eastAsia="Times New Roman"/>
    </w:rPr>
  </w:style>
  <w:style w:type="paragraph" w:styleId="TOC4">
    <w:name w:val="toc 4"/>
    <w:basedOn w:val="Normal"/>
    <w:next w:val="Normal"/>
    <w:autoRedefine/>
    <w:uiPriority w:val="12"/>
    <w:rsid w:val="00762842"/>
    <w:pPr>
      <w:tabs>
        <w:tab w:val="right" w:leader="dot" w:pos="9497"/>
      </w:tabs>
      <w:spacing w:before="260"/>
      <w:ind w:left="2694" w:right="595" w:hanging="709"/>
    </w:pPr>
    <w:rPr>
      <w:rFonts w:eastAsia="Times New Roman"/>
    </w:rPr>
  </w:style>
  <w:style w:type="table" w:customStyle="1" w:styleId="Training">
    <w:name w:val="Training"/>
    <w:basedOn w:val="TableNormal"/>
    <w:uiPriority w:val="99"/>
    <w:rsid w:val="00762842"/>
    <w:pPr>
      <w:spacing w:before="120" w:after="120"/>
    </w:pPr>
    <w:rPr>
      <w:rFonts w:ascii="Arial" w:hAnsi="Arial"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wordWrap/>
        <w:jc w:val="center"/>
      </w:pPr>
      <w:rPr>
        <w:rFonts w:ascii="Arial" w:hAnsi="Arial"/>
      </w:rPr>
    </w:tblStylePr>
  </w:style>
  <w:style w:type="character" w:styleId="PageNumber">
    <w:name w:val="page number"/>
    <w:uiPriority w:val="19"/>
    <w:rsid w:val="00762842"/>
    <w:rPr>
      <w:rFonts w:ascii="Arial" w:hAnsi="Arial"/>
      <w:sz w:val="20"/>
    </w:rPr>
  </w:style>
  <w:style w:type="paragraph" w:customStyle="1" w:styleId="ssContactDetails">
    <w:name w:val="ssContactDetails"/>
    <w:basedOn w:val="Normal"/>
    <w:uiPriority w:val="19"/>
    <w:rsid w:val="00762842"/>
    <w:pPr>
      <w:spacing w:line="260" w:lineRule="exact"/>
    </w:pPr>
    <w:rPr>
      <w:rFonts w:eastAsia="MingLiU" w:cs="Times New Roman"/>
      <w:sz w:val="16"/>
      <w:szCs w:val="16"/>
      <w:lang w:eastAsia="ja-JP"/>
    </w:rPr>
  </w:style>
  <w:style w:type="paragraph" w:customStyle="1" w:styleId="ssSpacingLine">
    <w:name w:val="ssSpacingLine"/>
    <w:basedOn w:val="Normal"/>
    <w:uiPriority w:val="19"/>
    <w:rsid w:val="00762842"/>
    <w:pPr>
      <w:spacing w:line="260" w:lineRule="atLeast"/>
    </w:pPr>
    <w:rPr>
      <w:rFonts w:eastAsia="MingLiU" w:cs="Times New Roman"/>
      <w:lang w:eastAsia="ja-JP"/>
    </w:rPr>
  </w:style>
  <w:style w:type="paragraph" w:customStyle="1" w:styleId="ssUserEntry">
    <w:name w:val="ssUserEntry"/>
    <w:basedOn w:val="Normal"/>
    <w:rsid w:val="00762842"/>
    <w:pPr>
      <w:spacing w:line="260" w:lineRule="exact"/>
    </w:pPr>
    <w:rPr>
      <w:rFonts w:eastAsia="MingLiU" w:cs="Times New Roman"/>
      <w:lang w:eastAsia="ja-JP"/>
    </w:rPr>
  </w:style>
  <w:style w:type="paragraph" w:customStyle="1" w:styleId="ssLegendsUnderlined">
    <w:name w:val="ssLegendsUnderlined"/>
    <w:basedOn w:val="Normal"/>
    <w:uiPriority w:val="59"/>
    <w:semiHidden/>
    <w:rsid w:val="00762842"/>
    <w:pPr>
      <w:spacing w:line="260" w:lineRule="exact"/>
      <w:jc w:val="right"/>
    </w:pPr>
    <w:rPr>
      <w:rFonts w:asciiTheme="minorHAnsi" w:eastAsia="MingLiU" w:hAnsiTheme="minorHAnsi" w:cs="Times New Roman"/>
      <w:b/>
      <w:u w:val="single"/>
      <w:lang w:eastAsia="ja-JP"/>
    </w:rPr>
  </w:style>
  <w:style w:type="paragraph" w:customStyle="1" w:styleId="ssDocName">
    <w:name w:val="ssDocName"/>
    <w:basedOn w:val="Normal"/>
    <w:uiPriority w:val="59"/>
    <w:semiHidden/>
    <w:rsid w:val="00762842"/>
    <w:pPr>
      <w:spacing w:before="120" w:after="800" w:line="260" w:lineRule="atLeast"/>
    </w:pPr>
    <w:rPr>
      <w:rFonts w:eastAsia="MingLiU" w:cs="Times New Roman"/>
      <w:sz w:val="54"/>
      <w:szCs w:val="54"/>
    </w:rPr>
  </w:style>
  <w:style w:type="paragraph" w:customStyle="1" w:styleId="ssRole">
    <w:name w:val="ssRole"/>
    <w:basedOn w:val="Normal"/>
    <w:uiPriority w:val="59"/>
    <w:semiHidden/>
    <w:rsid w:val="00762842"/>
    <w:pPr>
      <w:spacing w:line="260" w:lineRule="atLeast"/>
    </w:pPr>
    <w:rPr>
      <w:rFonts w:eastAsia="MingLiU" w:cs="Times New Roman"/>
      <w:sz w:val="18"/>
      <w:szCs w:val="18"/>
    </w:rPr>
  </w:style>
  <w:style w:type="paragraph" w:customStyle="1" w:styleId="ssParty">
    <w:name w:val="ssParty"/>
    <w:basedOn w:val="Normal"/>
    <w:uiPriority w:val="59"/>
    <w:semiHidden/>
    <w:rsid w:val="00762842"/>
    <w:pPr>
      <w:spacing w:line="260" w:lineRule="atLeast"/>
    </w:pPr>
    <w:rPr>
      <w:rFonts w:asciiTheme="minorHAnsi" w:eastAsia="MingLiU" w:hAnsiTheme="minorHAnsi" w:cs="Times New Roman"/>
      <w:sz w:val="28"/>
      <w:szCs w:val="28"/>
      <w:lang w:eastAsia="en-GB"/>
    </w:rPr>
  </w:style>
  <w:style w:type="paragraph" w:customStyle="1" w:styleId="ssContents">
    <w:name w:val="ssContents"/>
    <w:basedOn w:val="Normal"/>
    <w:uiPriority w:val="59"/>
    <w:semiHidden/>
    <w:rsid w:val="00762842"/>
    <w:pPr>
      <w:spacing w:before="20"/>
      <w:jc w:val="center"/>
    </w:pPr>
    <w:rPr>
      <w:rFonts w:eastAsia="MingLiU" w:cs="Times New Roman"/>
      <w:b/>
      <w:caps/>
    </w:rPr>
  </w:style>
  <w:style w:type="paragraph" w:customStyle="1" w:styleId="ssAgrTypeText">
    <w:name w:val="ssAgrTypeText"/>
    <w:basedOn w:val="Normal"/>
    <w:uiPriority w:val="59"/>
    <w:semiHidden/>
    <w:rsid w:val="00762842"/>
    <w:pPr>
      <w:keepNext/>
      <w:spacing w:after="260"/>
      <w:outlineLvl w:val="0"/>
    </w:pPr>
    <w:rPr>
      <w:rFonts w:cs="Arial"/>
      <w:b/>
      <w:bCs/>
      <w:caps/>
    </w:rPr>
  </w:style>
  <w:style w:type="table" w:styleId="TableGrid">
    <w:name w:val="Table Grid"/>
    <w:basedOn w:val="TableNormal"/>
    <w:rsid w:val="00762842"/>
    <w:rPr>
      <w:rFonts w:ascii="Arial" w:eastAsia="SimSun" w:hAnsi="Arial" w:cs="Times New Roman"/>
      <w:szCs w:val="20"/>
    </w:rPr>
    <w:tblPr/>
  </w:style>
  <w:style w:type="paragraph" w:customStyle="1" w:styleId="ssAsiaLogo">
    <w:name w:val="ssAsiaLogo"/>
    <w:basedOn w:val="Normal"/>
    <w:uiPriority w:val="59"/>
    <w:semiHidden/>
    <w:rsid w:val="00762842"/>
    <w:pPr>
      <w:spacing w:before="240"/>
    </w:pPr>
    <w:rPr>
      <w:rFonts w:ascii="DFKai-SB" w:eastAsia="DFKai-SB" w:hAnsi="DFKai-SB"/>
      <w:sz w:val="40"/>
      <w:szCs w:val="40"/>
    </w:rPr>
  </w:style>
  <w:style w:type="paragraph" w:customStyle="1" w:styleId="ssAuthor">
    <w:name w:val="ssAuthor"/>
    <w:basedOn w:val="Normal"/>
    <w:next w:val="ssPara"/>
    <w:rsid w:val="00762842"/>
    <w:pPr>
      <w:spacing w:line="260" w:lineRule="atLeast"/>
    </w:pPr>
    <w:rPr>
      <w:rFonts w:eastAsia="MingLiU" w:cs="Times New Roman"/>
      <w:b/>
      <w:lang w:eastAsia="zh-CN"/>
    </w:rPr>
  </w:style>
  <w:style w:type="paragraph" w:customStyle="1" w:styleId="ssDate">
    <w:name w:val="ssDate"/>
    <w:basedOn w:val="Normal"/>
    <w:uiPriority w:val="59"/>
    <w:semiHidden/>
    <w:rsid w:val="00762842"/>
    <w:pPr>
      <w:spacing w:line="260" w:lineRule="exact"/>
      <w:jc w:val="right"/>
    </w:pPr>
    <w:rPr>
      <w:rFonts w:eastAsia="MingLiU" w:cs="Times New Roman"/>
      <w:lang w:eastAsia="ja-JP"/>
    </w:rPr>
  </w:style>
  <w:style w:type="paragraph" w:customStyle="1" w:styleId="ssLegends">
    <w:name w:val="ssLegends"/>
    <w:basedOn w:val="Normal"/>
    <w:uiPriority w:val="19"/>
    <w:rsid w:val="006A69B6"/>
    <w:pPr>
      <w:spacing w:line="260" w:lineRule="exact"/>
      <w:jc w:val="right"/>
    </w:pPr>
    <w:rPr>
      <w:rFonts w:eastAsia="MingLiU" w:cs="Times New Roman"/>
      <w:b/>
      <w:lang w:eastAsia="ja-JP"/>
    </w:rPr>
  </w:style>
  <w:style w:type="paragraph" w:customStyle="1" w:styleId="ssSubject">
    <w:name w:val="ssSubject"/>
    <w:basedOn w:val="Normal"/>
    <w:rsid w:val="00762842"/>
    <w:pPr>
      <w:spacing w:line="260" w:lineRule="exact"/>
    </w:pPr>
    <w:rPr>
      <w:rFonts w:eastAsia="MingLiU" w:cs="Times New Roman"/>
      <w:b/>
      <w:lang w:eastAsia="ja-JP"/>
    </w:rPr>
  </w:style>
  <w:style w:type="table" w:customStyle="1" w:styleId="ssTable">
    <w:name w:val="ssTable"/>
    <w:basedOn w:val="TableNormal"/>
    <w:rsid w:val="00762842"/>
    <w:rPr>
      <w:rFonts w:eastAsia="SimSun"/>
      <w:szCs w:val="20"/>
    </w:rPr>
    <w:tblPr/>
    <w:tcPr>
      <w:tcMar>
        <w:left w:w="0" w:type="dxa"/>
        <w:right w:w="0" w:type="dxa"/>
      </w:tcMar>
    </w:tcPr>
  </w:style>
  <w:style w:type="paragraph" w:customStyle="1" w:styleId="AddressBody">
    <w:name w:val="Address Body"/>
    <w:uiPriority w:val="59"/>
    <w:semiHidden/>
    <w:qFormat/>
    <w:rsid w:val="00E321F7"/>
    <w:pPr>
      <w:spacing w:after="220"/>
      <w:contextualSpacing/>
    </w:pPr>
    <w:rPr>
      <w:rFonts w:eastAsia="MingLiU"/>
      <w:lang w:eastAsia="ja-JP"/>
    </w:rPr>
  </w:style>
  <w:style w:type="paragraph" w:customStyle="1" w:styleId="RecipientTypeLabel">
    <w:name w:val="Recipient Type Label"/>
    <w:basedOn w:val="AddressBody"/>
    <w:uiPriority w:val="19"/>
    <w:qFormat/>
    <w:rsid w:val="00E321F7"/>
    <w:pPr>
      <w:spacing w:before="220" w:after="80"/>
    </w:pPr>
    <w:rPr>
      <w:i/>
      <w:sz w:val="17"/>
    </w:rPr>
  </w:style>
  <w:style w:type="character" w:styleId="UnresolvedMention">
    <w:name w:val="Unresolved Mention"/>
    <w:basedOn w:val="DefaultParagraphFont"/>
    <w:uiPriority w:val="59"/>
    <w:semiHidden/>
    <w:rsid w:val="00E321F7"/>
    <w:rPr>
      <w:color w:val="808080"/>
      <w:shd w:val="clear" w:color="auto" w:fill="E6E6E6"/>
    </w:rPr>
  </w:style>
  <w:style w:type="numbering" w:customStyle="1" w:styleId="NumDefinitions">
    <w:name w:val="NumDefinitions"/>
    <w:uiPriority w:val="99"/>
    <w:rsid w:val="00762842"/>
    <w:pPr>
      <w:numPr>
        <w:numId w:val="32"/>
      </w:numPr>
    </w:pPr>
  </w:style>
  <w:style w:type="numbering" w:customStyle="1" w:styleId="NumMain">
    <w:name w:val="NumMain"/>
    <w:uiPriority w:val="99"/>
    <w:rsid w:val="00762842"/>
    <w:pPr>
      <w:numPr>
        <w:numId w:val="33"/>
      </w:numPr>
    </w:pPr>
  </w:style>
  <w:style w:type="numbering" w:customStyle="1" w:styleId="NumPara">
    <w:name w:val="NumPara"/>
    <w:uiPriority w:val="99"/>
    <w:rsid w:val="00762842"/>
    <w:pPr>
      <w:numPr>
        <w:numId w:val="34"/>
      </w:numPr>
    </w:pPr>
  </w:style>
  <w:style w:type="numbering" w:customStyle="1" w:styleId="NumParties">
    <w:name w:val="NumParties"/>
    <w:uiPriority w:val="99"/>
    <w:rsid w:val="00762842"/>
    <w:pPr>
      <w:numPr>
        <w:numId w:val="35"/>
      </w:numPr>
    </w:pPr>
  </w:style>
  <w:style w:type="numbering" w:customStyle="1" w:styleId="NumRecitals">
    <w:name w:val="NumRecitals"/>
    <w:uiPriority w:val="99"/>
    <w:rsid w:val="00762842"/>
    <w:pPr>
      <w:numPr>
        <w:numId w:val="36"/>
      </w:numPr>
    </w:pPr>
  </w:style>
  <w:style w:type="numbering" w:customStyle="1" w:styleId="NumSch">
    <w:name w:val="NumSch"/>
    <w:uiPriority w:val="99"/>
    <w:rsid w:val="00762842"/>
    <w:pPr>
      <w:numPr>
        <w:numId w:val="37"/>
      </w:numPr>
    </w:pPr>
  </w:style>
  <w:style w:type="character" w:styleId="PlaceholderText">
    <w:name w:val="Placeholder Text"/>
    <w:basedOn w:val="DefaultParagraphFont"/>
    <w:uiPriority w:val="59"/>
    <w:semiHidden/>
    <w:rsid w:val="00762842"/>
    <w:rPr>
      <w:color w:val="808080"/>
    </w:rPr>
  </w:style>
  <w:style w:type="paragraph" w:customStyle="1" w:styleId="Notes">
    <w:name w:val="Notes"/>
    <w:basedOn w:val="Normal"/>
    <w:rsid w:val="00762842"/>
    <w:pPr>
      <w:pBdr>
        <w:top w:val="single" w:sz="12" w:space="1" w:color="auto"/>
        <w:left w:val="single" w:sz="12" w:space="4" w:color="auto"/>
        <w:bottom w:val="single" w:sz="12" w:space="1" w:color="auto"/>
        <w:right w:val="single" w:sz="12" w:space="4" w:color="auto"/>
      </w:pBdr>
      <w:spacing w:after="260"/>
    </w:pPr>
    <w:rPr>
      <w:b/>
      <w:i/>
      <w:color w:val="FF0000"/>
      <w:sz w:val="18"/>
    </w:rPr>
  </w:style>
  <w:style w:type="paragraph" w:customStyle="1" w:styleId="ssqAgendar">
    <w:name w:val="ssqAgendar"/>
    <w:basedOn w:val="ssPara1"/>
    <w:next w:val="ssPara1"/>
    <w:uiPriority w:val="10"/>
    <w:semiHidden/>
    <w:rsid w:val="0001706C"/>
    <w:pPr>
      <w:pageBreakBefore/>
      <w:numPr>
        <w:ilvl w:val="0"/>
        <w:numId w:val="1"/>
      </w:numPr>
      <w:jc w:val="center"/>
    </w:pPr>
    <w:rPr>
      <w:rFonts w:eastAsia="MingLiU"/>
      <w:b/>
      <w:caps/>
    </w:rPr>
  </w:style>
  <w:style w:type="paragraph" w:customStyle="1" w:styleId="ssqAllegato">
    <w:name w:val="ssqAllegato"/>
    <w:basedOn w:val="ssPara1"/>
    <w:next w:val="ssPara1"/>
    <w:uiPriority w:val="10"/>
    <w:semiHidden/>
    <w:rsid w:val="0001706C"/>
    <w:pPr>
      <w:numPr>
        <w:ilvl w:val="0"/>
        <w:numId w:val="2"/>
      </w:numPr>
      <w:jc w:val="center"/>
    </w:pPr>
    <w:rPr>
      <w:rFonts w:eastAsia="MingLiU"/>
      <w:b/>
      <w:caps/>
    </w:rPr>
  </w:style>
  <w:style w:type="paragraph" w:customStyle="1" w:styleId="ssqAnexo">
    <w:name w:val="ssqAnexo"/>
    <w:basedOn w:val="ssPara1"/>
    <w:next w:val="ssPara1"/>
    <w:uiPriority w:val="10"/>
    <w:semiHidden/>
    <w:rsid w:val="0001706C"/>
    <w:pPr>
      <w:pageBreakBefore/>
      <w:numPr>
        <w:ilvl w:val="0"/>
        <w:numId w:val="3"/>
      </w:numPr>
      <w:jc w:val="center"/>
    </w:pPr>
    <w:rPr>
      <w:rFonts w:eastAsia="MingLiU"/>
      <w:b/>
      <w:caps/>
    </w:rPr>
  </w:style>
  <w:style w:type="paragraph" w:customStyle="1" w:styleId="ssqAnhang">
    <w:name w:val="ssqAnhang"/>
    <w:basedOn w:val="ssPara1"/>
    <w:next w:val="ssPara1"/>
    <w:uiPriority w:val="10"/>
    <w:semiHidden/>
    <w:rsid w:val="0001706C"/>
    <w:pPr>
      <w:pageBreakBefore/>
      <w:numPr>
        <w:ilvl w:val="0"/>
        <w:numId w:val="4"/>
      </w:numPr>
      <w:jc w:val="center"/>
    </w:pPr>
    <w:rPr>
      <w:rFonts w:eastAsia="MingLiU"/>
      <w:b/>
      <w:caps/>
    </w:rPr>
  </w:style>
  <w:style w:type="paragraph" w:customStyle="1" w:styleId="ssqAnlage">
    <w:name w:val="ssqAnlage"/>
    <w:basedOn w:val="ssPara1"/>
    <w:next w:val="ssPara1"/>
    <w:uiPriority w:val="10"/>
    <w:semiHidden/>
    <w:rsid w:val="0001706C"/>
    <w:pPr>
      <w:pageBreakBefore/>
      <w:numPr>
        <w:ilvl w:val="0"/>
        <w:numId w:val="44"/>
      </w:numPr>
      <w:jc w:val="center"/>
    </w:pPr>
    <w:rPr>
      <w:rFonts w:eastAsia="MingLiU"/>
      <w:b/>
      <w:caps/>
    </w:rPr>
  </w:style>
  <w:style w:type="paragraph" w:customStyle="1" w:styleId="ssqAnnex">
    <w:name w:val="ssqAnnex"/>
    <w:basedOn w:val="ssPara"/>
    <w:next w:val="ssPara"/>
    <w:uiPriority w:val="9"/>
    <w:rsid w:val="00D0229D"/>
    <w:pPr>
      <w:pageBreakBefore/>
      <w:numPr>
        <w:ilvl w:val="1"/>
        <w:numId w:val="71"/>
      </w:numPr>
      <w:jc w:val="center"/>
    </w:pPr>
    <w:rPr>
      <w:rFonts w:eastAsia="MingLiU"/>
      <w:b/>
      <w:caps/>
    </w:rPr>
  </w:style>
  <w:style w:type="paragraph" w:customStyle="1" w:styleId="ssqAnnexe">
    <w:name w:val="ssqAnnexe"/>
    <w:basedOn w:val="Normal"/>
    <w:next w:val="ssPara1"/>
    <w:uiPriority w:val="10"/>
    <w:semiHidden/>
    <w:rsid w:val="0001706C"/>
    <w:pPr>
      <w:pageBreakBefore/>
      <w:numPr>
        <w:numId w:val="5"/>
      </w:numPr>
      <w:spacing w:after="260"/>
      <w:jc w:val="center"/>
    </w:pPr>
    <w:rPr>
      <w:rFonts w:asciiTheme="minorHAnsi" w:eastAsia="MingLiU" w:hAnsiTheme="minorHAnsi" w:cs="Times New Roman"/>
      <w:b/>
      <w:caps/>
      <w:lang w:eastAsia="en-GB"/>
    </w:rPr>
  </w:style>
  <w:style w:type="paragraph" w:customStyle="1" w:styleId="ssqApndice">
    <w:name w:val="ssqApéndice"/>
    <w:basedOn w:val="ssPara1"/>
    <w:next w:val="ssPara1"/>
    <w:uiPriority w:val="10"/>
    <w:semiHidden/>
    <w:rsid w:val="0001706C"/>
    <w:pPr>
      <w:pageBreakBefore/>
      <w:numPr>
        <w:ilvl w:val="0"/>
        <w:numId w:val="6"/>
      </w:numPr>
      <w:jc w:val="center"/>
    </w:pPr>
    <w:rPr>
      <w:rFonts w:eastAsia="MingLiU"/>
      <w:b/>
      <w:caps/>
    </w:rPr>
  </w:style>
  <w:style w:type="paragraph" w:customStyle="1" w:styleId="ssqAppendice">
    <w:name w:val="ssqAppendice"/>
    <w:basedOn w:val="ssPara1"/>
    <w:next w:val="ssPara1"/>
    <w:uiPriority w:val="10"/>
    <w:semiHidden/>
    <w:rsid w:val="0001706C"/>
    <w:pPr>
      <w:pageBreakBefore/>
      <w:numPr>
        <w:ilvl w:val="0"/>
        <w:numId w:val="7"/>
      </w:numPr>
      <w:jc w:val="center"/>
    </w:pPr>
    <w:rPr>
      <w:rFonts w:eastAsia="MingLiU"/>
      <w:b/>
      <w:caps/>
    </w:rPr>
  </w:style>
  <w:style w:type="paragraph" w:customStyle="1" w:styleId="ssqApresentar">
    <w:name w:val="ssqApresentar"/>
    <w:basedOn w:val="ssPara1"/>
    <w:next w:val="ssPara1"/>
    <w:uiPriority w:val="10"/>
    <w:semiHidden/>
    <w:rsid w:val="0001706C"/>
    <w:pPr>
      <w:pageBreakBefore/>
      <w:numPr>
        <w:ilvl w:val="0"/>
        <w:numId w:val="8"/>
      </w:numPr>
      <w:jc w:val="center"/>
    </w:pPr>
    <w:rPr>
      <w:rFonts w:eastAsia="MingLiU"/>
      <w:b/>
      <w:caps/>
    </w:rPr>
  </w:style>
  <w:style w:type="paragraph" w:customStyle="1" w:styleId="ssqCalendario">
    <w:name w:val="ssqCalendario"/>
    <w:basedOn w:val="ssPara1"/>
    <w:next w:val="ssPara1"/>
    <w:uiPriority w:val="10"/>
    <w:semiHidden/>
    <w:rsid w:val="0001706C"/>
    <w:pPr>
      <w:pageBreakBefore/>
      <w:numPr>
        <w:ilvl w:val="0"/>
        <w:numId w:val="11"/>
      </w:numPr>
      <w:jc w:val="center"/>
    </w:pPr>
    <w:rPr>
      <w:rFonts w:eastAsia="MingLiU"/>
      <w:b/>
      <w:caps/>
    </w:rPr>
  </w:style>
  <w:style w:type="paragraph" w:customStyle="1" w:styleId="ssqExibir">
    <w:name w:val="ssqExibir"/>
    <w:basedOn w:val="ssPara1"/>
    <w:next w:val="ssPara1"/>
    <w:uiPriority w:val="10"/>
    <w:semiHidden/>
    <w:rsid w:val="0001706C"/>
    <w:pPr>
      <w:pageBreakBefore/>
      <w:numPr>
        <w:ilvl w:val="0"/>
        <w:numId w:val="13"/>
      </w:numPr>
      <w:jc w:val="center"/>
    </w:pPr>
    <w:rPr>
      <w:rFonts w:eastAsia="MingLiU"/>
      <w:b/>
      <w:caps/>
    </w:rPr>
  </w:style>
  <w:style w:type="paragraph" w:customStyle="1" w:styleId="ssqExposicin">
    <w:name w:val="ssqExposición"/>
    <w:basedOn w:val="ssPara1"/>
    <w:next w:val="ssPara1"/>
    <w:uiPriority w:val="10"/>
    <w:semiHidden/>
    <w:rsid w:val="0001706C"/>
    <w:pPr>
      <w:pageBreakBefore/>
      <w:numPr>
        <w:ilvl w:val="0"/>
        <w:numId w:val="50"/>
      </w:numPr>
      <w:jc w:val="center"/>
    </w:pPr>
    <w:rPr>
      <w:rFonts w:eastAsia="MingLiU"/>
      <w:b/>
      <w:caps/>
    </w:rPr>
  </w:style>
  <w:style w:type="paragraph" w:customStyle="1" w:styleId="ssqListe">
    <w:name w:val="ssqListe"/>
    <w:basedOn w:val="ssPara1"/>
    <w:next w:val="ssPara1"/>
    <w:uiPriority w:val="10"/>
    <w:semiHidden/>
    <w:rsid w:val="0001706C"/>
    <w:pPr>
      <w:pageBreakBefore/>
      <w:numPr>
        <w:ilvl w:val="0"/>
        <w:numId w:val="14"/>
      </w:numPr>
      <w:jc w:val="center"/>
    </w:pPr>
    <w:rPr>
      <w:rFonts w:eastAsia="MingLiU"/>
      <w:b/>
      <w:caps/>
    </w:rPr>
  </w:style>
  <w:style w:type="paragraph" w:customStyle="1" w:styleId="ssqMarcao">
    <w:name w:val="ssqMarcação"/>
    <w:basedOn w:val="ssPara1"/>
    <w:next w:val="ssPara1"/>
    <w:uiPriority w:val="10"/>
    <w:semiHidden/>
    <w:rsid w:val="0001706C"/>
    <w:pPr>
      <w:pageBreakBefore/>
      <w:numPr>
        <w:ilvl w:val="0"/>
        <w:numId w:val="15"/>
      </w:numPr>
      <w:jc w:val="center"/>
    </w:pPr>
    <w:rPr>
      <w:rFonts w:eastAsia="MingLiU"/>
      <w:b/>
      <w:caps/>
    </w:rPr>
  </w:style>
  <w:style w:type="paragraph" w:customStyle="1" w:styleId="ssqMarcar">
    <w:name w:val="ssqMarcar"/>
    <w:basedOn w:val="ssPara1"/>
    <w:next w:val="ssPara1"/>
    <w:uiPriority w:val="10"/>
    <w:semiHidden/>
    <w:rsid w:val="0001706C"/>
    <w:pPr>
      <w:pageBreakBefore/>
      <w:numPr>
        <w:ilvl w:val="0"/>
        <w:numId w:val="16"/>
      </w:numPr>
      <w:jc w:val="center"/>
    </w:pPr>
    <w:rPr>
      <w:rFonts w:eastAsia="MingLiU"/>
      <w:b/>
      <w:caps/>
    </w:rPr>
  </w:style>
  <w:style w:type="paragraph" w:customStyle="1" w:styleId="ssqMostrar">
    <w:name w:val="ssqMostrar"/>
    <w:basedOn w:val="ssPara1"/>
    <w:next w:val="ssPara1"/>
    <w:uiPriority w:val="10"/>
    <w:semiHidden/>
    <w:rsid w:val="0001706C"/>
    <w:pPr>
      <w:pageBreakBefore/>
      <w:numPr>
        <w:ilvl w:val="0"/>
        <w:numId w:val="17"/>
      </w:numPr>
      <w:jc w:val="center"/>
    </w:pPr>
    <w:rPr>
      <w:rFonts w:eastAsia="MingLiU"/>
      <w:b/>
      <w:caps/>
    </w:rPr>
  </w:style>
  <w:style w:type="paragraph" w:customStyle="1" w:styleId="ssqParte">
    <w:name w:val="ssqParte"/>
    <w:basedOn w:val="ssPara1"/>
    <w:next w:val="ssPara1"/>
    <w:uiPriority w:val="10"/>
    <w:semiHidden/>
    <w:rsid w:val="0001706C"/>
    <w:pPr>
      <w:numPr>
        <w:ilvl w:val="0"/>
        <w:numId w:val="18"/>
      </w:numPr>
      <w:jc w:val="center"/>
    </w:pPr>
    <w:rPr>
      <w:rFonts w:eastAsia="MingLiU"/>
      <w:b/>
      <w:caps/>
    </w:rPr>
  </w:style>
  <w:style w:type="paragraph" w:customStyle="1" w:styleId="ssqPartie">
    <w:name w:val="ssqPartie"/>
    <w:basedOn w:val="ssPara1"/>
    <w:next w:val="ssPara1"/>
    <w:uiPriority w:val="10"/>
    <w:semiHidden/>
    <w:rsid w:val="0001706C"/>
    <w:pPr>
      <w:numPr>
        <w:ilvl w:val="0"/>
        <w:numId w:val="19"/>
      </w:numPr>
      <w:jc w:val="center"/>
    </w:pPr>
    <w:rPr>
      <w:rFonts w:eastAsia="MingLiU"/>
      <w:b/>
      <w:caps/>
    </w:rPr>
  </w:style>
  <w:style w:type="paragraph" w:customStyle="1" w:styleId="ssqPrograma">
    <w:name w:val="ssqPrograma"/>
    <w:basedOn w:val="ssPara1"/>
    <w:next w:val="ssPara1"/>
    <w:uiPriority w:val="10"/>
    <w:semiHidden/>
    <w:rsid w:val="0001706C"/>
    <w:pPr>
      <w:pageBreakBefore/>
      <w:numPr>
        <w:ilvl w:val="0"/>
        <w:numId w:val="21"/>
      </w:numPr>
      <w:jc w:val="center"/>
    </w:pPr>
    <w:rPr>
      <w:rFonts w:eastAsia="MingLiU"/>
      <w:b/>
      <w:caps/>
    </w:rPr>
  </w:style>
  <w:style w:type="paragraph" w:customStyle="1" w:styleId="ssqScheda">
    <w:name w:val="ssqScheda"/>
    <w:basedOn w:val="ssPara1"/>
    <w:next w:val="ssPara1"/>
    <w:uiPriority w:val="10"/>
    <w:semiHidden/>
    <w:rsid w:val="0001706C"/>
    <w:pPr>
      <w:pageBreakBefore/>
      <w:numPr>
        <w:ilvl w:val="0"/>
        <w:numId w:val="51"/>
      </w:numPr>
      <w:jc w:val="center"/>
    </w:pPr>
    <w:rPr>
      <w:rFonts w:eastAsia="MingLiU"/>
      <w:b/>
      <w:caps/>
    </w:rPr>
  </w:style>
  <w:style w:type="paragraph" w:customStyle="1" w:styleId="ssqSeccin">
    <w:name w:val="ssqSección"/>
    <w:basedOn w:val="ssPara1"/>
    <w:next w:val="ssPara1"/>
    <w:uiPriority w:val="10"/>
    <w:semiHidden/>
    <w:rsid w:val="0001706C"/>
    <w:pPr>
      <w:pageBreakBefore/>
      <w:numPr>
        <w:ilvl w:val="0"/>
        <w:numId w:val="23"/>
      </w:numPr>
      <w:jc w:val="center"/>
    </w:pPr>
    <w:rPr>
      <w:rFonts w:eastAsia="MingLiU"/>
      <w:b/>
      <w:caps/>
    </w:rPr>
  </w:style>
  <w:style w:type="paragraph" w:customStyle="1" w:styleId="ssqSection">
    <w:name w:val="ssqSection"/>
    <w:basedOn w:val="ssPara"/>
    <w:next w:val="ssPara"/>
    <w:uiPriority w:val="8"/>
    <w:qFormat/>
    <w:rsid w:val="00D0229D"/>
    <w:pPr>
      <w:numPr>
        <w:ilvl w:val="1"/>
        <w:numId w:val="76"/>
      </w:numPr>
      <w:jc w:val="center"/>
    </w:pPr>
    <w:rPr>
      <w:b/>
      <w:caps/>
    </w:rPr>
  </w:style>
  <w:style w:type="paragraph" w:customStyle="1" w:styleId="ssqTeil">
    <w:name w:val="ssqTeil"/>
    <w:basedOn w:val="ssPara1"/>
    <w:next w:val="ssPara1"/>
    <w:uiPriority w:val="10"/>
    <w:semiHidden/>
    <w:rsid w:val="0001706C"/>
    <w:pPr>
      <w:numPr>
        <w:ilvl w:val="0"/>
        <w:numId w:val="24"/>
      </w:numPr>
      <w:jc w:val="center"/>
    </w:pPr>
    <w:rPr>
      <w:rFonts w:eastAsia="MingLiU"/>
      <w:b/>
      <w:caps/>
    </w:rPr>
  </w:style>
  <w:style w:type="paragraph" w:customStyle="1" w:styleId="ssqBewijsstuk">
    <w:name w:val="ssqBewijsstuk"/>
    <w:basedOn w:val="Normal"/>
    <w:next w:val="ssPara1"/>
    <w:uiPriority w:val="10"/>
    <w:semiHidden/>
    <w:rsid w:val="0001706C"/>
    <w:pPr>
      <w:pageBreakBefore/>
      <w:numPr>
        <w:numId w:val="9"/>
      </w:numPr>
      <w:spacing w:after="260"/>
      <w:jc w:val="center"/>
    </w:pPr>
    <w:rPr>
      <w:rFonts w:asciiTheme="minorHAnsi" w:eastAsia="SimSun" w:hAnsiTheme="minorHAnsi" w:cs="Times New Roman"/>
      <w:b/>
      <w:caps/>
      <w:lang w:eastAsia="en-GB"/>
    </w:rPr>
  </w:style>
  <w:style w:type="paragraph" w:customStyle="1" w:styleId="ssqBijlage">
    <w:name w:val="ssqBijlage"/>
    <w:basedOn w:val="Normal"/>
    <w:next w:val="ssPara1"/>
    <w:uiPriority w:val="10"/>
    <w:semiHidden/>
    <w:rsid w:val="0001706C"/>
    <w:pPr>
      <w:pageBreakBefore/>
      <w:numPr>
        <w:numId w:val="10"/>
      </w:numPr>
      <w:spacing w:after="260"/>
      <w:jc w:val="center"/>
    </w:pPr>
    <w:rPr>
      <w:rFonts w:asciiTheme="minorHAnsi" w:eastAsia="SimSun" w:hAnsiTheme="minorHAnsi" w:cs="Times New Roman"/>
      <w:b/>
      <w:caps/>
      <w:lang w:eastAsia="en-GB"/>
    </w:rPr>
  </w:style>
  <w:style w:type="paragraph" w:customStyle="1" w:styleId="ssqDeel">
    <w:name w:val="ssqDeel"/>
    <w:basedOn w:val="Normal"/>
    <w:next w:val="ssPara1"/>
    <w:uiPriority w:val="10"/>
    <w:semiHidden/>
    <w:rsid w:val="0001706C"/>
    <w:pPr>
      <w:pageBreakBefore/>
      <w:numPr>
        <w:numId w:val="12"/>
      </w:numPr>
      <w:spacing w:after="260"/>
      <w:jc w:val="center"/>
    </w:pPr>
    <w:rPr>
      <w:rFonts w:asciiTheme="minorHAnsi" w:eastAsia="SimSun" w:hAnsiTheme="minorHAnsi" w:cs="Times New Roman"/>
      <w:b/>
      <w:caps/>
      <w:lang w:eastAsia="en-GB"/>
    </w:rPr>
  </w:style>
  <w:style w:type="paragraph" w:customStyle="1" w:styleId="ssqProductie">
    <w:name w:val="ssqProductie"/>
    <w:basedOn w:val="Normal"/>
    <w:next w:val="ssPara1"/>
    <w:uiPriority w:val="10"/>
    <w:semiHidden/>
    <w:rsid w:val="0001706C"/>
    <w:pPr>
      <w:pageBreakBefore/>
      <w:numPr>
        <w:numId w:val="20"/>
      </w:numPr>
      <w:spacing w:after="260"/>
      <w:jc w:val="center"/>
    </w:pPr>
    <w:rPr>
      <w:rFonts w:asciiTheme="minorHAnsi" w:eastAsia="SimSun" w:hAnsiTheme="minorHAnsi" w:cs="Times New Roman"/>
      <w:b/>
      <w:caps/>
      <w:lang w:eastAsia="en-GB"/>
    </w:rPr>
  </w:style>
  <w:style w:type="paragraph" w:customStyle="1" w:styleId="ssqSchema">
    <w:name w:val="ssqSchema"/>
    <w:basedOn w:val="Normal"/>
    <w:next w:val="ssPara1"/>
    <w:uiPriority w:val="10"/>
    <w:semiHidden/>
    <w:rsid w:val="0001706C"/>
    <w:pPr>
      <w:pageBreakBefore/>
      <w:numPr>
        <w:numId w:val="22"/>
      </w:numPr>
      <w:spacing w:after="260"/>
      <w:jc w:val="center"/>
    </w:pPr>
    <w:rPr>
      <w:rFonts w:asciiTheme="minorHAnsi" w:eastAsia="SimSun" w:hAnsiTheme="minorHAnsi" w:cs="Times New Roman"/>
      <w:b/>
      <w:caps/>
      <w:lang w:eastAsia="en-GB"/>
    </w:rPr>
  </w:style>
  <w:style w:type="paragraph" w:customStyle="1" w:styleId="ssq2">
    <w:name w:val="ssqالجدول"/>
    <w:basedOn w:val="ssPara1"/>
    <w:next w:val="ssPara1"/>
    <w:uiPriority w:val="10"/>
    <w:semiHidden/>
    <w:rsid w:val="0001706C"/>
    <w:pPr>
      <w:pageBreakBefore/>
      <w:numPr>
        <w:ilvl w:val="0"/>
        <w:numId w:val="25"/>
      </w:numPr>
      <w:jc w:val="center"/>
    </w:pPr>
    <w:rPr>
      <w:rFonts w:eastAsia="SimSun"/>
      <w:b/>
      <w:caps/>
    </w:rPr>
  </w:style>
  <w:style w:type="paragraph" w:customStyle="1" w:styleId="ssq0">
    <w:name w:val="ssqالمرفق"/>
    <w:basedOn w:val="ssPara1"/>
    <w:next w:val="ssPara1"/>
    <w:uiPriority w:val="10"/>
    <w:semiHidden/>
    <w:rsid w:val="0001706C"/>
    <w:pPr>
      <w:pageBreakBefore/>
      <w:numPr>
        <w:ilvl w:val="0"/>
        <w:numId w:val="26"/>
      </w:numPr>
      <w:jc w:val="center"/>
    </w:pPr>
    <w:rPr>
      <w:rFonts w:eastAsia="SimSun"/>
      <w:b/>
      <w:caps/>
    </w:rPr>
  </w:style>
  <w:style w:type="paragraph" w:customStyle="1" w:styleId="ssq1">
    <w:name w:val="ssqالملحق"/>
    <w:basedOn w:val="ssPara1"/>
    <w:next w:val="ssPara1"/>
    <w:uiPriority w:val="10"/>
    <w:semiHidden/>
    <w:rsid w:val="0001706C"/>
    <w:pPr>
      <w:pageBreakBefore/>
      <w:numPr>
        <w:ilvl w:val="0"/>
        <w:numId w:val="27"/>
      </w:numPr>
      <w:jc w:val="center"/>
    </w:pPr>
    <w:rPr>
      <w:rFonts w:eastAsia="SimSun"/>
      <w:b/>
      <w:caps/>
    </w:rPr>
  </w:style>
  <w:style w:type="paragraph" w:customStyle="1" w:styleId="ssq5">
    <w:name w:val="ssqجدول"/>
    <w:basedOn w:val="ssPara1"/>
    <w:next w:val="ssPara1"/>
    <w:uiPriority w:val="10"/>
    <w:semiHidden/>
    <w:rsid w:val="0001706C"/>
    <w:pPr>
      <w:pageBreakBefore/>
      <w:numPr>
        <w:ilvl w:val="0"/>
        <w:numId w:val="28"/>
      </w:numPr>
      <w:jc w:val="center"/>
    </w:pPr>
    <w:rPr>
      <w:rFonts w:eastAsia="SimSun"/>
      <w:b/>
      <w:caps/>
    </w:rPr>
  </w:style>
  <w:style w:type="paragraph" w:customStyle="1" w:styleId="ssq4">
    <w:name w:val="ssqقسم"/>
    <w:basedOn w:val="Normal"/>
    <w:next w:val="ssPara1"/>
    <w:uiPriority w:val="10"/>
    <w:semiHidden/>
    <w:rsid w:val="0001706C"/>
    <w:pPr>
      <w:pageBreakBefore/>
      <w:numPr>
        <w:numId w:val="29"/>
      </w:numPr>
      <w:spacing w:after="260"/>
      <w:jc w:val="center"/>
    </w:pPr>
    <w:rPr>
      <w:rFonts w:asciiTheme="minorHAnsi" w:eastAsia="SimSun" w:hAnsiTheme="minorHAnsi" w:cs="Times New Roman"/>
      <w:b/>
      <w:caps/>
      <w:lang w:eastAsia="en-GB"/>
    </w:rPr>
  </w:style>
  <w:style w:type="paragraph" w:customStyle="1" w:styleId="ssq">
    <w:name w:val="ssqمبرز"/>
    <w:basedOn w:val="Normal"/>
    <w:next w:val="ssPara1"/>
    <w:uiPriority w:val="10"/>
    <w:semiHidden/>
    <w:rsid w:val="0001706C"/>
    <w:pPr>
      <w:pageBreakBefore/>
      <w:numPr>
        <w:numId w:val="30"/>
      </w:numPr>
      <w:spacing w:after="260"/>
      <w:jc w:val="center"/>
    </w:pPr>
    <w:rPr>
      <w:rFonts w:asciiTheme="minorHAnsi" w:eastAsia="SimSun" w:hAnsiTheme="minorHAnsi" w:cs="Times New Roman"/>
      <w:b/>
      <w:caps/>
      <w:lang w:eastAsia="en-GB"/>
    </w:rPr>
  </w:style>
  <w:style w:type="paragraph" w:customStyle="1" w:styleId="ssq3">
    <w:name w:val="ssqملحق"/>
    <w:basedOn w:val="Normal"/>
    <w:next w:val="ssPara1"/>
    <w:uiPriority w:val="10"/>
    <w:semiHidden/>
    <w:rsid w:val="0001706C"/>
    <w:pPr>
      <w:pageBreakBefore/>
      <w:numPr>
        <w:numId w:val="31"/>
      </w:numPr>
      <w:spacing w:after="260"/>
      <w:jc w:val="center"/>
    </w:pPr>
    <w:rPr>
      <w:rFonts w:asciiTheme="minorHAnsi" w:eastAsia="SimSun" w:hAnsiTheme="minorHAnsi" w:cs="Times New Roman"/>
      <w:b/>
      <w:caps/>
      <w:lang w:eastAsia="en-GB"/>
    </w:rPr>
  </w:style>
  <w:style w:type="paragraph" w:customStyle="1" w:styleId="SSOfficeDetails">
    <w:name w:val="SSOfficeDetails"/>
    <w:basedOn w:val="ssContactDetails"/>
    <w:uiPriority w:val="19"/>
    <w:rsid w:val="00762842"/>
    <w:pPr>
      <w:adjustRightInd w:val="0"/>
      <w:snapToGrid w:val="0"/>
      <w:spacing w:line="220" w:lineRule="exact"/>
    </w:pPr>
    <w:rPr>
      <w:rFonts w:asciiTheme="minorHAnsi" w:eastAsia="Real Text Light" w:hAnsiTheme="minorHAnsi" w:cs="Arial"/>
    </w:rPr>
  </w:style>
  <w:style w:type="paragraph" w:customStyle="1" w:styleId="SSOfficeEntity">
    <w:name w:val="SSOfficeEntity"/>
    <w:basedOn w:val="SSOfficeDetails"/>
    <w:uiPriority w:val="19"/>
    <w:rsid w:val="00762842"/>
    <w:rPr>
      <w:rFonts w:asciiTheme="majorHAnsi" w:hAnsiTheme="majorHAnsi"/>
      <w:b/>
      <w:bCs/>
    </w:rPr>
  </w:style>
  <w:style w:type="paragraph" w:customStyle="1" w:styleId="SSFooter">
    <w:name w:val="SSFooter"/>
    <w:basedOn w:val="Footer"/>
    <w:uiPriority w:val="19"/>
    <w:rsid w:val="00762842"/>
    <w:pPr>
      <w:spacing w:line="160" w:lineRule="atLeast"/>
    </w:pPr>
    <w:rPr>
      <w:rFonts w:asciiTheme="minorHAnsi" w:eastAsia="Arial" w:hAnsiTheme="minorHAnsi"/>
      <w:szCs w:val="16"/>
      <w:lang w:eastAsia="en-GB"/>
    </w:rPr>
  </w:style>
  <w:style w:type="paragraph" w:customStyle="1" w:styleId="SSFooterHeading">
    <w:name w:val="SSFooterHeading"/>
    <w:basedOn w:val="SSFooter"/>
    <w:uiPriority w:val="19"/>
    <w:rsid w:val="00762842"/>
    <w:pPr>
      <w:spacing w:after="120"/>
    </w:pPr>
    <w:rPr>
      <w:rFonts w:asciiTheme="majorHAnsi" w:hAnsiTheme="majorHAnsi"/>
      <w:sz w:val="16"/>
    </w:rPr>
  </w:style>
  <w:style w:type="paragraph" w:customStyle="1" w:styleId="ExhibitHeading">
    <w:name w:val="Exhibit Heading"/>
    <w:basedOn w:val="Normal"/>
    <w:next w:val="ssPara"/>
    <w:uiPriority w:val="59"/>
    <w:semiHidden/>
    <w:rsid w:val="0091701A"/>
    <w:pPr>
      <w:keepNext/>
      <w:pageBreakBefore/>
      <w:spacing w:after="260"/>
      <w:outlineLvl w:val="0"/>
    </w:pPr>
    <w:rPr>
      <w:rFonts w:asciiTheme="minorHAnsi" w:eastAsia="Arial" w:hAnsiTheme="minorHAnsi"/>
      <w:b/>
      <w:caps/>
      <w:lang w:eastAsia="en-GB"/>
    </w:rPr>
  </w:style>
  <w:style w:type="paragraph" w:customStyle="1" w:styleId="SSlegalDetails">
    <w:name w:val="SSlegalDetails"/>
    <w:basedOn w:val="Footer"/>
    <w:uiPriority w:val="59"/>
    <w:semiHidden/>
    <w:rsid w:val="00E321F7"/>
    <w:pPr>
      <w:spacing w:line="160" w:lineRule="atLeast"/>
    </w:pPr>
  </w:style>
  <w:style w:type="paragraph" w:customStyle="1" w:styleId="ssRestartAppendix">
    <w:name w:val="ssRestartAppendix"/>
    <w:basedOn w:val="Normal"/>
    <w:next w:val="ssPara1"/>
    <w:uiPriority w:val="6"/>
    <w:rsid w:val="0001706C"/>
    <w:pPr>
      <w:numPr>
        <w:numId w:val="72"/>
      </w:numPr>
    </w:pPr>
    <w:rPr>
      <w:rFonts w:asciiTheme="minorHAnsi" w:hAnsiTheme="minorHAnsi"/>
      <w:color w:val="FF0000"/>
    </w:rPr>
  </w:style>
  <w:style w:type="paragraph" w:customStyle="1" w:styleId="ssRestartExhibit">
    <w:name w:val="ssRestartExhibit"/>
    <w:basedOn w:val="Normal"/>
    <w:next w:val="ssPara1"/>
    <w:uiPriority w:val="7"/>
    <w:rsid w:val="0001706C"/>
    <w:pPr>
      <w:numPr>
        <w:numId w:val="73"/>
      </w:numPr>
    </w:pPr>
    <w:rPr>
      <w:rFonts w:asciiTheme="minorHAnsi" w:hAnsiTheme="minorHAnsi"/>
      <w:color w:val="FF0000"/>
    </w:rPr>
  </w:style>
  <w:style w:type="paragraph" w:customStyle="1" w:styleId="ssRestartNumber">
    <w:name w:val="ssRestartNumber"/>
    <w:basedOn w:val="Normal"/>
    <w:next w:val="ssPara1"/>
    <w:uiPriority w:val="4"/>
    <w:rsid w:val="00762842"/>
    <w:pPr>
      <w:numPr>
        <w:numId w:val="43"/>
      </w:numPr>
    </w:pPr>
    <w:rPr>
      <w:rFonts w:eastAsia="MingLiU" w:cs="Times New Roman"/>
      <w:color w:val="FF0000"/>
      <w:lang w:eastAsia="en-GB"/>
    </w:rPr>
  </w:style>
  <w:style w:type="paragraph" w:customStyle="1" w:styleId="ssRestartPart">
    <w:name w:val="ssRestartPart"/>
    <w:basedOn w:val="Normal"/>
    <w:next w:val="ssPara1"/>
    <w:uiPriority w:val="9"/>
    <w:rsid w:val="0001706C"/>
    <w:pPr>
      <w:numPr>
        <w:numId w:val="74"/>
      </w:numPr>
    </w:pPr>
    <w:rPr>
      <w:rFonts w:asciiTheme="minorHAnsi" w:hAnsiTheme="minorHAnsi"/>
      <w:color w:val="FF0000"/>
    </w:rPr>
  </w:style>
  <w:style w:type="paragraph" w:customStyle="1" w:styleId="ssRestartSchedule">
    <w:name w:val="ssRestartSchedule"/>
    <w:basedOn w:val="Normal"/>
    <w:next w:val="ssPara1"/>
    <w:uiPriority w:val="5"/>
    <w:rsid w:val="0001706C"/>
    <w:pPr>
      <w:numPr>
        <w:numId w:val="75"/>
      </w:numPr>
    </w:pPr>
    <w:rPr>
      <w:rFonts w:asciiTheme="minorHAnsi" w:hAnsiTheme="minorHAnsi"/>
      <w:color w:val="FF0000"/>
    </w:rPr>
  </w:style>
  <w:style w:type="paragraph" w:customStyle="1" w:styleId="ssRestartSection">
    <w:name w:val="ssRestartSection"/>
    <w:basedOn w:val="Normal"/>
    <w:next w:val="ssPara1"/>
    <w:uiPriority w:val="8"/>
    <w:rsid w:val="0001706C"/>
    <w:pPr>
      <w:numPr>
        <w:numId w:val="76"/>
      </w:numPr>
    </w:pPr>
    <w:rPr>
      <w:rFonts w:asciiTheme="minorHAnsi" w:hAnsiTheme="minorHAnsi"/>
      <w:color w:val="FF0000"/>
    </w:rPr>
  </w:style>
  <w:style w:type="numbering" w:customStyle="1" w:styleId="ScheduleNumbering">
    <w:name w:val="Schedule Numbering"/>
    <w:uiPriority w:val="99"/>
    <w:rsid w:val="00762842"/>
    <w:pPr>
      <w:numPr>
        <w:numId w:val="40"/>
      </w:numPr>
    </w:pPr>
  </w:style>
  <w:style w:type="numbering" w:customStyle="1" w:styleId="SectionNumbering">
    <w:name w:val="Section Numbering"/>
    <w:uiPriority w:val="99"/>
    <w:rsid w:val="00762842"/>
    <w:pPr>
      <w:numPr>
        <w:numId w:val="41"/>
      </w:numPr>
    </w:pPr>
  </w:style>
  <w:style w:type="paragraph" w:styleId="TOC5">
    <w:name w:val="toc 5"/>
    <w:basedOn w:val="TOC1"/>
    <w:next w:val="Normal"/>
    <w:autoRedefine/>
    <w:uiPriority w:val="12"/>
    <w:rsid w:val="00762842"/>
    <w:pPr>
      <w:spacing w:after="100"/>
    </w:pPr>
    <w:rPr>
      <w:caps/>
    </w:rPr>
  </w:style>
  <w:style w:type="paragraph" w:styleId="ListParagraph">
    <w:name w:val="List Paragraph"/>
    <w:basedOn w:val="Normal"/>
    <w:uiPriority w:val="59"/>
    <w:semiHidden/>
    <w:qFormat/>
    <w:rsid w:val="00762842"/>
    <w:pPr>
      <w:ind w:left="720"/>
      <w:contextualSpacing/>
    </w:pPr>
  </w:style>
  <w:style w:type="paragraph" w:customStyle="1" w:styleId="ssqToCAdd">
    <w:name w:val="ssqToCAdd"/>
    <w:basedOn w:val="ssPara"/>
    <w:uiPriority w:val="11"/>
    <w:rsid w:val="00762842"/>
    <w:rPr>
      <w:lang w:val="en-US"/>
    </w:rPr>
  </w:style>
  <w:style w:type="paragraph" w:customStyle="1" w:styleId="ssRestartAnnex">
    <w:name w:val="ssRestartAnnex"/>
    <w:basedOn w:val="ssUserEntry"/>
    <w:next w:val="ssPara1"/>
    <w:uiPriority w:val="10"/>
    <w:semiHidden/>
    <w:rsid w:val="0001706C"/>
    <w:pPr>
      <w:numPr>
        <w:numId w:val="71"/>
      </w:numPr>
    </w:pPr>
    <w:rPr>
      <w:b/>
      <w:color w:val="FF0000"/>
      <w:lang w:val="fr-FR"/>
    </w:rPr>
  </w:style>
  <w:style w:type="paragraph" w:customStyle="1" w:styleId="ssRestartExposicin">
    <w:name w:val="ssRestartExposición"/>
    <w:basedOn w:val="ssqScheda"/>
    <w:next w:val="ssPara1"/>
    <w:uiPriority w:val="10"/>
    <w:semiHidden/>
    <w:rsid w:val="0001706C"/>
    <w:pPr>
      <w:numPr>
        <w:numId w:val="46"/>
      </w:numPr>
    </w:pPr>
    <w:rPr>
      <w:color w:val="FF0000"/>
    </w:rPr>
  </w:style>
  <w:style w:type="paragraph" w:customStyle="1" w:styleId="ssRestartScheda">
    <w:name w:val="ssRestartScheda"/>
    <w:basedOn w:val="ssqAnnex"/>
    <w:next w:val="ssPara1"/>
    <w:uiPriority w:val="10"/>
    <w:semiHidden/>
    <w:rsid w:val="0001706C"/>
    <w:pPr>
      <w:numPr>
        <w:numId w:val="47"/>
      </w:numPr>
    </w:pPr>
    <w:rPr>
      <w:color w:val="FF0000"/>
    </w:rPr>
  </w:style>
  <w:style w:type="numbering" w:customStyle="1" w:styleId="AppendixNumbering">
    <w:name w:val="Appendix Numbering"/>
    <w:uiPriority w:val="99"/>
    <w:rsid w:val="00762842"/>
    <w:pPr>
      <w:numPr>
        <w:numId w:val="48"/>
      </w:numPr>
    </w:pPr>
  </w:style>
  <w:style w:type="numbering" w:customStyle="1" w:styleId="ExhibitNumbering">
    <w:name w:val="Exhibit Numbering"/>
    <w:uiPriority w:val="99"/>
    <w:rsid w:val="00762842"/>
    <w:pPr>
      <w:numPr>
        <w:numId w:val="49"/>
      </w:numPr>
    </w:pPr>
  </w:style>
  <w:style w:type="paragraph" w:customStyle="1" w:styleId="SSOfficeDetailsME">
    <w:name w:val="SSOfficeDetailsME"/>
    <w:basedOn w:val="SSOfficeDetails"/>
    <w:uiPriority w:val="59"/>
    <w:semiHidden/>
    <w:rsid w:val="00762842"/>
    <w:pPr>
      <w:spacing w:line="190" w:lineRule="exact"/>
      <w:jc w:val="right"/>
    </w:pPr>
    <w:rPr>
      <w:rFonts w:ascii="Cairo" w:hAnsi="Cairo"/>
      <w:noProof/>
    </w:rPr>
  </w:style>
  <w:style w:type="paragraph" w:customStyle="1" w:styleId="ssUserEntryLettered">
    <w:name w:val="ssUserEntryLettered"/>
    <w:basedOn w:val="ssUserEntry"/>
    <w:uiPriority w:val="59"/>
    <w:semiHidden/>
    <w:qFormat/>
    <w:rsid w:val="00762842"/>
    <w:pPr>
      <w:numPr>
        <w:numId w:val="52"/>
      </w:numPr>
    </w:pPr>
  </w:style>
  <w:style w:type="paragraph" w:customStyle="1" w:styleId="ssUserEntryNumbered">
    <w:name w:val="ssUserEntryNumbered"/>
    <w:basedOn w:val="ssUserEntry"/>
    <w:uiPriority w:val="59"/>
    <w:semiHidden/>
    <w:qFormat/>
    <w:rsid w:val="00762842"/>
    <w:pPr>
      <w:numPr>
        <w:numId w:val="53"/>
      </w:numPr>
    </w:pPr>
  </w:style>
  <w:style w:type="paragraph" w:customStyle="1" w:styleId="Style1">
    <w:name w:val="Style1"/>
    <w:basedOn w:val="Normal"/>
    <w:uiPriority w:val="59"/>
    <w:semiHidden/>
    <w:rsid w:val="00762842"/>
    <w:pPr>
      <w:adjustRightInd w:val="0"/>
      <w:snapToGrid w:val="0"/>
      <w:spacing w:line="240" w:lineRule="exact"/>
    </w:pPr>
    <w:rPr>
      <w:rFonts w:ascii="Noto Sans CJK SC Light" w:eastAsia="Real Text Light" w:hAnsi="Noto Sans CJK SC Light" w:cs="Arial"/>
      <w:noProof/>
      <w:sz w:val="16"/>
      <w:szCs w:val="16"/>
      <w:lang w:eastAsia="ja-JP"/>
    </w:rPr>
  </w:style>
  <w:style w:type="paragraph" w:customStyle="1" w:styleId="SummaryParties">
    <w:name w:val="Summary Parties"/>
    <w:basedOn w:val="ssPara"/>
    <w:uiPriority w:val="59"/>
    <w:semiHidden/>
    <w:rsid w:val="00762842"/>
    <w:pPr>
      <w:tabs>
        <w:tab w:val="left" w:pos="4536"/>
      </w:tabs>
    </w:pPr>
  </w:style>
  <w:style w:type="paragraph" w:customStyle="1" w:styleId="Definitions3">
    <w:name w:val="Definitions 3"/>
    <w:basedOn w:val="Normal"/>
    <w:rsid w:val="00762842"/>
    <w:pPr>
      <w:numPr>
        <w:ilvl w:val="3"/>
        <w:numId w:val="70"/>
      </w:numPr>
      <w:spacing w:after="260"/>
    </w:pPr>
  </w:style>
  <w:style w:type="paragraph" w:customStyle="1" w:styleId="Definitions4">
    <w:name w:val="Definitions 4"/>
    <w:basedOn w:val="Normal"/>
    <w:rsid w:val="00762842"/>
    <w:pPr>
      <w:numPr>
        <w:ilvl w:val="4"/>
        <w:numId w:val="70"/>
      </w:numPr>
      <w:spacing w:after="260"/>
    </w:pPr>
  </w:style>
  <w:style w:type="paragraph" w:customStyle="1" w:styleId="SSSpacingSmall">
    <w:name w:val="SSSpacingSmall"/>
    <w:basedOn w:val="ssSpacingLine"/>
    <w:uiPriority w:val="59"/>
    <w:rsid w:val="00BD3BA4"/>
    <w:pPr>
      <w:tabs>
        <w:tab w:val="left" w:pos="3013"/>
      </w:tabs>
      <w:spacing w:line="240" w:lineRule="auto"/>
    </w:pPr>
    <w:rPr>
      <w:sz w:val="2"/>
    </w:rPr>
  </w:style>
  <w:style w:type="paragraph" w:customStyle="1" w:styleId="AltHeading1">
    <w:name w:val="AltHeading 1"/>
    <w:basedOn w:val="Normal"/>
    <w:next w:val="ssPara1"/>
    <w:uiPriority w:val="19"/>
    <w:unhideWhenUsed/>
    <w:qFormat/>
    <w:rsid w:val="00762842"/>
    <w:pPr>
      <w:numPr>
        <w:ilvl w:val="1"/>
        <w:numId w:val="54"/>
      </w:numPr>
      <w:spacing w:after="260"/>
      <w:jc w:val="both"/>
      <w:outlineLvl w:val="0"/>
    </w:pPr>
    <w:rPr>
      <w:b/>
      <w:szCs w:val="20"/>
      <w:u w:val="single"/>
    </w:rPr>
  </w:style>
  <w:style w:type="paragraph" w:customStyle="1" w:styleId="AltHeading2">
    <w:name w:val="AltHeading 2"/>
    <w:basedOn w:val="Normal"/>
    <w:next w:val="ssPara2"/>
    <w:uiPriority w:val="19"/>
    <w:unhideWhenUsed/>
    <w:qFormat/>
    <w:rsid w:val="00762842"/>
    <w:pPr>
      <w:numPr>
        <w:ilvl w:val="2"/>
        <w:numId w:val="54"/>
      </w:numPr>
      <w:spacing w:after="260"/>
      <w:jc w:val="both"/>
      <w:outlineLvl w:val="1"/>
    </w:pPr>
    <w:rPr>
      <w:b/>
      <w:szCs w:val="20"/>
    </w:rPr>
  </w:style>
  <w:style w:type="paragraph" w:customStyle="1" w:styleId="AltHeading3">
    <w:name w:val="AltHeading 3"/>
    <w:basedOn w:val="Normal"/>
    <w:next w:val="ssPara3"/>
    <w:uiPriority w:val="19"/>
    <w:unhideWhenUsed/>
    <w:qFormat/>
    <w:rsid w:val="00762842"/>
    <w:pPr>
      <w:numPr>
        <w:ilvl w:val="3"/>
        <w:numId w:val="54"/>
      </w:numPr>
      <w:spacing w:after="260"/>
      <w:jc w:val="both"/>
      <w:outlineLvl w:val="2"/>
    </w:pPr>
    <w:rPr>
      <w:b/>
      <w:szCs w:val="20"/>
    </w:rPr>
  </w:style>
  <w:style w:type="paragraph" w:customStyle="1" w:styleId="AltHeading4">
    <w:name w:val="AltHeading 4"/>
    <w:basedOn w:val="Normal"/>
    <w:next w:val="ssPara4"/>
    <w:uiPriority w:val="19"/>
    <w:unhideWhenUsed/>
    <w:qFormat/>
    <w:rsid w:val="00762842"/>
    <w:pPr>
      <w:numPr>
        <w:ilvl w:val="4"/>
        <w:numId w:val="54"/>
      </w:numPr>
      <w:spacing w:after="260"/>
      <w:jc w:val="both"/>
      <w:outlineLvl w:val="3"/>
    </w:pPr>
    <w:rPr>
      <w:b/>
      <w:szCs w:val="20"/>
    </w:rPr>
  </w:style>
  <w:style w:type="paragraph" w:customStyle="1" w:styleId="AltHeading5">
    <w:name w:val="AltHeading 5"/>
    <w:basedOn w:val="Normal"/>
    <w:next w:val="ssPara5"/>
    <w:uiPriority w:val="19"/>
    <w:unhideWhenUsed/>
    <w:qFormat/>
    <w:rsid w:val="00762842"/>
    <w:pPr>
      <w:numPr>
        <w:ilvl w:val="5"/>
        <w:numId w:val="54"/>
      </w:numPr>
      <w:spacing w:after="260"/>
      <w:jc w:val="both"/>
      <w:outlineLvl w:val="4"/>
    </w:pPr>
    <w:rPr>
      <w:b/>
      <w:szCs w:val="20"/>
    </w:rPr>
  </w:style>
  <w:style w:type="paragraph" w:customStyle="1" w:styleId="AltHeading6">
    <w:name w:val="AltHeading 6"/>
    <w:basedOn w:val="Normal"/>
    <w:next w:val="ssPara6"/>
    <w:uiPriority w:val="19"/>
    <w:unhideWhenUsed/>
    <w:qFormat/>
    <w:rsid w:val="00762842"/>
    <w:pPr>
      <w:numPr>
        <w:ilvl w:val="6"/>
        <w:numId w:val="54"/>
      </w:numPr>
      <w:spacing w:after="260"/>
      <w:jc w:val="both"/>
      <w:outlineLvl w:val="5"/>
    </w:pPr>
    <w:rPr>
      <w:b/>
      <w:szCs w:val="20"/>
    </w:rPr>
  </w:style>
  <w:style w:type="paragraph" w:customStyle="1" w:styleId="AltssNoHeading1">
    <w:name w:val="AltssNoHeading1"/>
    <w:basedOn w:val="AltHeading1"/>
    <w:uiPriority w:val="19"/>
    <w:unhideWhenUsed/>
    <w:qFormat/>
    <w:rsid w:val="00762842"/>
    <w:rPr>
      <w:b w:val="0"/>
      <w:u w:val="none"/>
    </w:rPr>
  </w:style>
  <w:style w:type="paragraph" w:customStyle="1" w:styleId="AltssNoHeading2">
    <w:name w:val="AltssNoHeading2"/>
    <w:basedOn w:val="AltHeading2"/>
    <w:uiPriority w:val="19"/>
    <w:unhideWhenUsed/>
    <w:qFormat/>
    <w:rsid w:val="00762842"/>
    <w:rPr>
      <w:b w:val="0"/>
    </w:rPr>
  </w:style>
  <w:style w:type="paragraph" w:customStyle="1" w:styleId="AltssNoHeading3">
    <w:name w:val="AltssNoHeading3"/>
    <w:basedOn w:val="AltHeading3"/>
    <w:uiPriority w:val="19"/>
    <w:unhideWhenUsed/>
    <w:qFormat/>
    <w:rsid w:val="00762842"/>
    <w:rPr>
      <w:b w:val="0"/>
    </w:rPr>
  </w:style>
  <w:style w:type="paragraph" w:customStyle="1" w:styleId="AltssNoHeading4">
    <w:name w:val="AltssNoHeading4"/>
    <w:basedOn w:val="AltHeading4"/>
    <w:uiPriority w:val="19"/>
    <w:unhideWhenUsed/>
    <w:qFormat/>
    <w:rsid w:val="00762842"/>
    <w:rPr>
      <w:b w:val="0"/>
    </w:rPr>
  </w:style>
  <w:style w:type="paragraph" w:customStyle="1" w:styleId="AltssNoHeading5">
    <w:name w:val="AltssNoHeading5"/>
    <w:basedOn w:val="AltHeading5"/>
    <w:uiPriority w:val="19"/>
    <w:unhideWhenUsed/>
    <w:qFormat/>
    <w:rsid w:val="00762842"/>
    <w:rPr>
      <w:b w:val="0"/>
    </w:rPr>
  </w:style>
  <w:style w:type="paragraph" w:customStyle="1" w:styleId="AltssNoHeading6">
    <w:name w:val="AltssNoHeading6"/>
    <w:basedOn w:val="AltHeading6"/>
    <w:next w:val="ssPara6"/>
    <w:uiPriority w:val="19"/>
    <w:unhideWhenUsed/>
    <w:rsid w:val="00762842"/>
    <w:rPr>
      <w:b w:val="0"/>
    </w:rPr>
  </w:style>
  <w:style w:type="paragraph" w:customStyle="1" w:styleId="AltSSRestartNumber">
    <w:name w:val="AltSSRestartNumber"/>
    <w:basedOn w:val="ssPara"/>
    <w:next w:val="ssPara"/>
    <w:uiPriority w:val="20"/>
    <w:unhideWhenUsed/>
    <w:qFormat/>
    <w:rsid w:val="00762842"/>
    <w:pPr>
      <w:numPr>
        <w:numId w:val="54"/>
      </w:numPr>
      <w:jc w:val="both"/>
    </w:pPr>
    <w:rPr>
      <w:color w:val="FF0000"/>
      <w:szCs w:val="20"/>
    </w:rPr>
  </w:style>
  <w:style w:type="numbering" w:customStyle="1" w:styleId="AltAnnex">
    <w:name w:val="AltAnnex"/>
    <w:uiPriority w:val="99"/>
    <w:rsid w:val="002E4379"/>
    <w:pPr>
      <w:numPr>
        <w:numId w:val="55"/>
      </w:numPr>
    </w:pPr>
  </w:style>
  <w:style w:type="numbering" w:customStyle="1" w:styleId="AltAppendix">
    <w:name w:val="AltAppendix"/>
    <w:uiPriority w:val="99"/>
    <w:rsid w:val="002E4379"/>
    <w:pPr>
      <w:numPr>
        <w:numId w:val="56"/>
      </w:numPr>
    </w:pPr>
  </w:style>
  <w:style w:type="numbering" w:customStyle="1" w:styleId="AltExhibit">
    <w:name w:val="AltExhibit"/>
    <w:uiPriority w:val="99"/>
    <w:rsid w:val="002E4379"/>
    <w:pPr>
      <w:numPr>
        <w:numId w:val="57"/>
      </w:numPr>
    </w:pPr>
  </w:style>
  <w:style w:type="paragraph" w:customStyle="1" w:styleId="AltRestartAnnex">
    <w:name w:val="AltRestartAnnex"/>
    <w:basedOn w:val="Normal"/>
    <w:next w:val="Normal"/>
    <w:uiPriority w:val="17"/>
    <w:unhideWhenUsed/>
    <w:rsid w:val="002E4379"/>
    <w:pPr>
      <w:numPr>
        <w:numId w:val="60"/>
      </w:numPr>
      <w:spacing w:after="260"/>
      <w:jc w:val="both"/>
    </w:pPr>
    <w:rPr>
      <w:color w:val="FF0000"/>
    </w:rPr>
  </w:style>
  <w:style w:type="numbering" w:customStyle="1" w:styleId="AltSchedule">
    <w:name w:val="AltSchedule"/>
    <w:uiPriority w:val="99"/>
    <w:rsid w:val="002E4379"/>
    <w:pPr>
      <w:numPr>
        <w:numId w:val="58"/>
      </w:numPr>
    </w:pPr>
  </w:style>
  <w:style w:type="numbering" w:customStyle="1" w:styleId="AltSection">
    <w:name w:val="AltSection"/>
    <w:uiPriority w:val="99"/>
    <w:rsid w:val="002E4379"/>
    <w:pPr>
      <w:numPr>
        <w:numId w:val="59"/>
      </w:numPr>
    </w:pPr>
  </w:style>
  <w:style w:type="paragraph" w:customStyle="1" w:styleId="AltSSQAnnex">
    <w:name w:val="AltSSQAnnex"/>
    <w:basedOn w:val="Normal"/>
    <w:next w:val="Normal"/>
    <w:uiPriority w:val="17"/>
    <w:unhideWhenUsed/>
    <w:rsid w:val="002E4379"/>
    <w:pPr>
      <w:pageBreakBefore/>
      <w:numPr>
        <w:ilvl w:val="1"/>
        <w:numId w:val="60"/>
      </w:numPr>
      <w:spacing w:after="260"/>
      <w:jc w:val="center"/>
    </w:pPr>
    <w:rPr>
      <w:b/>
      <w:caps/>
    </w:rPr>
  </w:style>
  <w:style w:type="paragraph" w:customStyle="1" w:styleId="AltssqAppendix">
    <w:name w:val="AltssqAppendix"/>
    <w:basedOn w:val="Normal"/>
    <w:next w:val="Normal"/>
    <w:uiPriority w:val="14"/>
    <w:unhideWhenUsed/>
    <w:rsid w:val="002E4379"/>
    <w:pPr>
      <w:pageBreakBefore/>
      <w:numPr>
        <w:ilvl w:val="1"/>
        <w:numId w:val="62"/>
      </w:numPr>
      <w:spacing w:after="260"/>
      <w:jc w:val="center"/>
    </w:pPr>
    <w:rPr>
      <w:b/>
      <w:caps/>
    </w:rPr>
  </w:style>
  <w:style w:type="paragraph" w:customStyle="1" w:styleId="AltssqExhibit">
    <w:name w:val="AltssqExhibit"/>
    <w:basedOn w:val="Normal"/>
    <w:next w:val="Normal"/>
    <w:uiPriority w:val="15"/>
    <w:unhideWhenUsed/>
    <w:rsid w:val="002E4379"/>
    <w:pPr>
      <w:pageBreakBefore/>
      <w:numPr>
        <w:ilvl w:val="1"/>
        <w:numId w:val="63"/>
      </w:numPr>
      <w:spacing w:after="260"/>
      <w:jc w:val="center"/>
    </w:pPr>
    <w:rPr>
      <w:rFonts w:ascii="Arial Bold" w:hAnsi="Arial Bold"/>
      <w:b/>
      <w:caps/>
    </w:rPr>
  </w:style>
  <w:style w:type="paragraph" w:customStyle="1" w:styleId="AltssqPart0">
    <w:name w:val="AltssqPart"/>
    <w:basedOn w:val="Normal"/>
    <w:next w:val="Normal"/>
    <w:uiPriority w:val="16"/>
    <w:unhideWhenUsed/>
    <w:rsid w:val="002E4379"/>
    <w:pPr>
      <w:pageBreakBefore/>
      <w:numPr>
        <w:ilvl w:val="1"/>
        <w:numId w:val="64"/>
      </w:numPr>
      <w:spacing w:after="260"/>
      <w:jc w:val="center"/>
    </w:pPr>
    <w:rPr>
      <w:rFonts w:ascii="Arial Bold" w:hAnsi="Arial Bold"/>
      <w:b/>
      <w:caps/>
    </w:rPr>
  </w:style>
  <w:style w:type="numbering" w:customStyle="1" w:styleId="AltSSQPart">
    <w:name w:val="AltSSQPart"/>
    <w:uiPriority w:val="99"/>
    <w:rsid w:val="002E4379"/>
    <w:pPr>
      <w:numPr>
        <w:numId w:val="61"/>
      </w:numPr>
    </w:pPr>
  </w:style>
  <w:style w:type="paragraph" w:customStyle="1" w:styleId="AltSSQSchedule">
    <w:name w:val="AltSSQSchedule"/>
    <w:basedOn w:val="Normal"/>
    <w:next w:val="Normal"/>
    <w:uiPriority w:val="13"/>
    <w:unhideWhenUsed/>
    <w:rsid w:val="002E4379"/>
    <w:pPr>
      <w:pageBreakBefore/>
      <w:numPr>
        <w:ilvl w:val="1"/>
        <w:numId w:val="65"/>
      </w:numPr>
      <w:spacing w:after="260"/>
      <w:jc w:val="center"/>
    </w:pPr>
    <w:rPr>
      <w:rFonts w:ascii="Arial Bold" w:hAnsi="Arial Bold"/>
      <w:b/>
      <w:caps/>
    </w:rPr>
  </w:style>
  <w:style w:type="paragraph" w:customStyle="1" w:styleId="AltssqSection">
    <w:name w:val="AltssqSection"/>
    <w:basedOn w:val="Normal"/>
    <w:next w:val="Normal"/>
    <w:uiPriority w:val="18"/>
    <w:unhideWhenUsed/>
    <w:rsid w:val="002E4379"/>
    <w:pPr>
      <w:pageBreakBefore/>
      <w:numPr>
        <w:ilvl w:val="1"/>
        <w:numId w:val="66"/>
      </w:numPr>
      <w:spacing w:after="260"/>
      <w:jc w:val="center"/>
    </w:pPr>
    <w:rPr>
      <w:rFonts w:ascii="Arial Bold" w:hAnsi="Arial Bold"/>
      <w:b/>
      <w:caps/>
    </w:rPr>
  </w:style>
  <w:style w:type="paragraph" w:customStyle="1" w:styleId="AltssRestartAppendix">
    <w:name w:val="AltssRestartAppendix"/>
    <w:basedOn w:val="Normal"/>
    <w:next w:val="Normal"/>
    <w:uiPriority w:val="14"/>
    <w:unhideWhenUsed/>
    <w:rsid w:val="002E4379"/>
    <w:pPr>
      <w:numPr>
        <w:numId w:val="62"/>
      </w:numPr>
      <w:jc w:val="both"/>
    </w:pPr>
    <w:rPr>
      <w:color w:val="FF0000"/>
    </w:rPr>
  </w:style>
  <w:style w:type="paragraph" w:customStyle="1" w:styleId="AltssRestartExhibit">
    <w:name w:val="AltssRestartExhibit"/>
    <w:basedOn w:val="Normal"/>
    <w:next w:val="Normal"/>
    <w:uiPriority w:val="15"/>
    <w:unhideWhenUsed/>
    <w:rsid w:val="002E4379"/>
    <w:pPr>
      <w:numPr>
        <w:numId w:val="63"/>
      </w:numPr>
      <w:jc w:val="both"/>
    </w:pPr>
    <w:rPr>
      <w:color w:val="FF0000"/>
    </w:rPr>
  </w:style>
  <w:style w:type="paragraph" w:customStyle="1" w:styleId="AltssRestartPart">
    <w:name w:val="AltssRestartPart"/>
    <w:basedOn w:val="Normal"/>
    <w:next w:val="Normal"/>
    <w:uiPriority w:val="16"/>
    <w:unhideWhenUsed/>
    <w:rsid w:val="002E4379"/>
    <w:pPr>
      <w:numPr>
        <w:numId w:val="64"/>
      </w:numPr>
      <w:spacing w:after="260"/>
      <w:jc w:val="both"/>
    </w:pPr>
    <w:rPr>
      <w:color w:val="FF0000"/>
    </w:rPr>
  </w:style>
  <w:style w:type="paragraph" w:customStyle="1" w:styleId="AltssRestartSchedule">
    <w:name w:val="AltssRestartSchedule"/>
    <w:basedOn w:val="Normal"/>
    <w:next w:val="Normal"/>
    <w:uiPriority w:val="13"/>
    <w:unhideWhenUsed/>
    <w:rsid w:val="002E4379"/>
    <w:pPr>
      <w:numPr>
        <w:numId w:val="65"/>
      </w:numPr>
      <w:jc w:val="both"/>
    </w:pPr>
    <w:rPr>
      <w:color w:val="FF0000"/>
    </w:rPr>
  </w:style>
  <w:style w:type="paragraph" w:customStyle="1" w:styleId="AltssRestartSection">
    <w:name w:val="AltssRestartSection"/>
    <w:basedOn w:val="Normal"/>
    <w:next w:val="Normal"/>
    <w:uiPriority w:val="18"/>
    <w:unhideWhenUsed/>
    <w:rsid w:val="002E4379"/>
    <w:pPr>
      <w:numPr>
        <w:numId w:val="66"/>
      </w:numPr>
      <w:spacing w:after="260"/>
      <w:jc w:val="both"/>
    </w:pPr>
    <w:rPr>
      <w:color w:val="FF0000"/>
    </w:rPr>
  </w:style>
  <w:style w:type="paragraph" w:customStyle="1" w:styleId="AltDefinitions">
    <w:name w:val="AltDefinitions"/>
    <w:basedOn w:val="Normal"/>
    <w:uiPriority w:val="15"/>
    <w:rsid w:val="00762842"/>
    <w:pPr>
      <w:numPr>
        <w:numId w:val="67"/>
      </w:numPr>
      <w:spacing w:after="260"/>
      <w:jc w:val="both"/>
    </w:pPr>
  </w:style>
  <w:style w:type="paragraph" w:customStyle="1" w:styleId="AltDefinitions1">
    <w:name w:val="AltDefinitions 1"/>
    <w:basedOn w:val="Normal"/>
    <w:uiPriority w:val="15"/>
    <w:rsid w:val="00762842"/>
    <w:pPr>
      <w:numPr>
        <w:ilvl w:val="1"/>
        <w:numId w:val="67"/>
      </w:numPr>
      <w:spacing w:after="260"/>
      <w:jc w:val="both"/>
    </w:pPr>
  </w:style>
  <w:style w:type="paragraph" w:customStyle="1" w:styleId="AltDefinitions2">
    <w:name w:val="AltDefinitions 2"/>
    <w:basedOn w:val="Normal"/>
    <w:uiPriority w:val="15"/>
    <w:rsid w:val="00762842"/>
    <w:pPr>
      <w:numPr>
        <w:ilvl w:val="2"/>
        <w:numId w:val="67"/>
      </w:numPr>
      <w:spacing w:after="260"/>
      <w:jc w:val="both"/>
    </w:pPr>
  </w:style>
  <w:style w:type="paragraph" w:customStyle="1" w:styleId="AltDefinitions3">
    <w:name w:val="AltDefinitions 3"/>
    <w:basedOn w:val="Normal"/>
    <w:uiPriority w:val="15"/>
    <w:rsid w:val="00762842"/>
    <w:pPr>
      <w:numPr>
        <w:ilvl w:val="3"/>
        <w:numId w:val="67"/>
      </w:numPr>
      <w:spacing w:after="260"/>
      <w:jc w:val="both"/>
    </w:pPr>
  </w:style>
  <w:style w:type="paragraph" w:customStyle="1" w:styleId="AltDefinitions4">
    <w:name w:val="AltDefinitions 4"/>
    <w:basedOn w:val="Normal"/>
    <w:uiPriority w:val="15"/>
    <w:rsid w:val="00762842"/>
    <w:pPr>
      <w:numPr>
        <w:ilvl w:val="4"/>
        <w:numId w:val="67"/>
      </w:numPr>
      <w:spacing w:after="260"/>
      <w:jc w:val="both"/>
    </w:pPr>
  </w:style>
  <w:style w:type="paragraph" w:customStyle="1" w:styleId="AltParties">
    <w:name w:val="AltParties"/>
    <w:basedOn w:val="Normal"/>
    <w:uiPriority w:val="16"/>
    <w:rsid w:val="00762842"/>
    <w:pPr>
      <w:numPr>
        <w:numId w:val="68"/>
      </w:numPr>
      <w:spacing w:after="260"/>
      <w:jc w:val="both"/>
    </w:pPr>
  </w:style>
  <w:style w:type="paragraph" w:customStyle="1" w:styleId="AltRecitals">
    <w:name w:val="AltRecitals"/>
    <w:basedOn w:val="Normal"/>
    <w:uiPriority w:val="16"/>
    <w:rsid w:val="00762842"/>
    <w:pPr>
      <w:numPr>
        <w:numId w:val="69"/>
      </w:numPr>
      <w:spacing w:after="260"/>
      <w:jc w:val="both"/>
    </w:pPr>
  </w:style>
  <w:style w:type="character" w:customStyle="1" w:styleId="FooterChar">
    <w:name w:val="Footer Char"/>
    <w:link w:val="Footer"/>
    <w:uiPriority w:val="19"/>
    <w:rsid w:val="00C12FC0"/>
    <w:rPr>
      <w:rFonts w:ascii="Arial" w:eastAsia="SimSun" w:hAnsi="Arial"/>
      <w:sz w:val="12"/>
      <w:szCs w:val="20"/>
      <w:lang w:eastAsia="zh-CN"/>
    </w:rPr>
  </w:style>
  <w:style w:type="character" w:customStyle="1" w:styleId="Heading1Char">
    <w:name w:val="Heading 1 Char"/>
    <w:basedOn w:val="DefaultParagraphFont"/>
    <w:link w:val="Heading1"/>
    <w:uiPriority w:val="1"/>
    <w:rsid w:val="006913CE"/>
    <w:rPr>
      <w:rFonts w:ascii="Arial" w:eastAsia="MingLiU" w:hAnsi="Arial" w:cstheme="majorBidi"/>
      <w:b/>
      <w:bCs/>
      <w:kern w:val="32"/>
      <w:szCs w:val="28"/>
      <w:u w:val="single"/>
      <w:lang w:eastAsia="en-US"/>
    </w:rPr>
  </w:style>
  <w:style w:type="character" w:styleId="CommentReference">
    <w:name w:val="annotation reference"/>
    <w:basedOn w:val="DefaultParagraphFont"/>
    <w:uiPriority w:val="99"/>
    <w:semiHidden/>
    <w:unhideWhenUsed/>
    <w:rsid w:val="006913CE"/>
    <w:rPr>
      <w:sz w:val="16"/>
      <w:szCs w:val="16"/>
    </w:rPr>
  </w:style>
  <w:style w:type="paragraph" w:styleId="CommentText">
    <w:name w:val="annotation text"/>
    <w:basedOn w:val="Normal"/>
    <w:link w:val="CommentTextChar"/>
    <w:uiPriority w:val="99"/>
    <w:unhideWhenUsed/>
    <w:rsid w:val="006913CE"/>
    <w:pPr>
      <w:jc w:val="both"/>
    </w:pPr>
    <w:rPr>
      <w:sz w:val="20"/>
      <w:szCs w:val="20"/>
    </w:rPr>
  </w:style>
  <w:style w:type="character" w:customStyle="1" w:styleId="CommentTextChar">
    <w:name w:val="Comment Text Char"/>
    <w:basedOn w:val="DefaultParagraphFont"/>
    <w:link w:val="CommentText"/>
    <w:uiPriority w:val="99"/>
    <w:rsid w:val="006913CE"/>
    <w:rPr>
      <w:rFonts w:ascii="Arial" w:eastAsiaTheme="minorHAnsi" w:hAnsi="Arial"/>
      <w:sz w:val="20"/>
      <w:szCs w:val="20"/>
      <w:lang w:eastAsia="en-US"/>
    </w:rPr>
  </w:style>
  <w:style w:type="numbering" w:customStyle="1" w:styleId="AltNumRecitals">
    <w:name w:val="AltNumRecitals"/>
    <w:uiPriority w:val="99"/>
    <w:rsid w:val="006913CE"/>
  </w:style>
  <w:style w:type="numbering" w:customStyle="1" w:styleId="NumAltParties">
    <w:name w:val="NumAltParties"/>
    <w:uiPriority w:val="99"/>
    <w:rsid w:val="006913CE"/>
  </w:style>
  <w:style w:type="paragraph" w:styleId="Revision">
    <w:name w:val="Revision"/>
    <w:hidden/>
    <w:uiPriority w:val="99"/>
    <w:semiHidden/>
    <w:rsid w:val="006913CE"/>
    <w:rPr>
      <w:rFonts w:ascii="Arial" w:eastAsiaTheme="minorHAnsi" w:hAnsi="Arial"/>
      <w:lang w:eastAsia="en-US"/>
    </w:rPr>
  </w:style>
  <w:style w:type="paragraph" w:styleId="NormalWeb">
    <w:name w:val="Normal (Web)"/>
    <w:basedOn w:val="Normal"/>
    <w:uiPriority w:val="99"/>
    <w:semiHidden/>
    <w:unhideWhenUsed/>
    <w:rsid w:val="00F12017"/>
    <w:pPr>
      <w:spacing w:before="100" w:beforeAutospacing="1" w:after="100" w:afterAutospacing="1"/>
    </w:pPr>
    <w:rPr>
      <w:rFonts w:ascii="Times New Roman" w:eastAsia="Times New Roman" w:hAnsi="Times New Roman" w:cs="Times New Roman"/>
      <w:sz w:val="24"/>
      <w:szCs w:val="24"/>
      <w:lang w:eastAsia="zh-CN"/>
    </w:rPr>
  </w:style>
  <w:style w:type="paragraph" w:styleId="CommentSubject">
    <w:name w:val="annotation subject"/>
    <w:basedOn w:val="CommentText"/>
    <w:next w:val="CommentText"/>
    <w:link w:val="CommentSubjectChar"/>
    <w:uiPriority w:val="59"/>
    <w:semiHidden/>
    <w:rsid w:val="00076C47"/>
    <w:pPr>
      <w:jc w:val="left"/>
    </w:pPr>
    <w:rPr>
      <w:b/>
      <w:bCs/>
    </w:rPr>
  </w:style>
  <w:style w:type="character" w:customStyle="1" w:styleId="CommentSubjectChar">
    <w:name w:val="Comment Subject Char"/>
    <w:basedOn w:val="CommentTextChar"/>
    <w:link w:val="CommentSubject"/>
    <w:uiPriority w:val="59"/>
    <w:semiHidden/>
    <w:rsid w:val="00076C47"/>
    <w:rPr>
      <w:rFonts w:ascii="Arial" w:eastAsiaTheme="minorHAnsi" w:hAnsi="Arial"/>
      <w:b/>
      <w:bCs/>
      <w:sz w:val="20"/>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8959469">
      <w:bodyDiv w:val="1"/>
      <w:marLeft w:val="0"/>
      <w:marRight w:val="0"/>
      <w:marTop w:val="0"/>
      <w:marBottom w:val="0"/>
      <w:divBdr>
        <w:top w:val="none" w:sz="0" w:space="0" w:color="auto"/>
        <w:left w:val="none" w:sz="0" w:space="0" w:color="auto"/>
        <w:bottom w:val="none" w:sz="0" w:space="0" w:color="auto"/>
        <w:right w:val="none" w:sz="0" w:space="0" w:color="auto"/>
      </w:divBdr>
    </w:div>
    <w:div w:id="224223312">
      <w:bodyDiv w:val="1"/>
      <w:marLeft w:val="0"/>
      <w:marRight w:val="0"/>
      <w:marTop w:val="0"/>
      <w:marBottom w:val="0"/>
      <w:divBdr>
        <w:top w:val="none" w:sz="0" w:space="0" w:color="auto"/>
        <w:left w:val="none" w:sz="0" w:space="0" w:color="auto"/>
        <w:bottom w:val="none" w:sz="0" w:space="0" w:color="auto"/>
        <w:right w:val="none" w:sz="0" w:space="0" w:color="auto"/>
      </w:divBdr>
    </w:div>
    <w:div w:id="365297978">
      <w:bodyDiv w:val="1"/>
      <w:marLeft w:val="0"/>
      <w:marRight w:val="0"/>
      <w:marTop w:val="0"/>
      <w:marBottom w:val="0"/>
      <w:divBdr>
        <w:top w:val="none" w:sz="0" w:space="0" w:color="auto"/>
        <w:left w:val="none" w:sz="0" w:space="0" w:color="auto"/>
        <w:bottom w:val="none" w:sz="0" w:space="0" w:color="auto"/>
        <w:right w:val="none" w:sz="0" w:space="0" w:color="auto"/>
      </w:divBdr>
    </w:div>
    <w:div w:id="628240939">
      <w:bodyDiv w:val="1"/>
      <w:marLeft w:val="0"/>
      <w:marRight w:val="0"/>
      <w:marTop w:val="0"/>
      <w:marBottom w:val="0"/>
      <w:divBdr>
        <w:top w:val="none" w:sz="0" w:space="0" w:color="auto"/>
        <w:left w:val="none" w:sz="0" w:space="0" w:color="auto"/>
        <w:bottom w:val="none" w:sz="0" w:space="0" w:color="auto"/>
        <w:right w:val="none" w:sz="0" w:space="0" w:color="auto"/>
      </w:divBdr>
    </w:div>
    <w:div w:id="697464310">
      <w:bodyDiv w:val="1"/>
      <w:marLeft w:val="0"/>
      <w:marRight w:val="0"/>
      <w:marTop w:val="0"/>
      <w:marBottom w:val="0"/>
      <w:divBdr>
        <w:top w:val="none" w:sz="0" w:space="0" w:color="auto"/>
        <w:left w:val="none" w:sz="0" w:space="0" w:color="auto"/>
        <w:bottom w:val="none" w:sz="0" w:space="0" w:color="auto"/>
        <w:right w:val="none" w:sz="0" w:space="0" w:color="auto"/>
      </w:divBdr>
    </w:div>
    <w:div w:id="790124928">
      <w:bodyDiv w:val="1"/>
      <w:marLeft w:val="0"/>
      <w:marRight w:val="0"/>
      <w:marTop w:val="0"/>
      <w:marBottom w:val="0"/>
      <w:divBdr>
        <w:top w:val="none" w:sz="0" w:space="0" w:color="auto"/>
        <w:left w:val="none" w:sz="0" w:space="0" w:color="auto"/>
        <w:bottom w:val="none" w:sz="0" w:space="0" w:color="auto"/>
        <w:right w:val="none" w:sz="0" w:space="0" w:color="auto"/>
      </w:divBdr>
    </w:div>
    <w:div w:id="929002410">
      <w:bodyDiv w:val="1"/>
      <w:marLeft w:val="0"/>
      <w:marRight w:val="0"/>
      <w:marTop w:val="0"/>
      <w:marBottom w:val="0"/>
      <w:divBdr>
        <w:top w:val="none" w:sz="0" w:space="0" w:color="auto"/>
        <w:left w:val="none" w:sz="0" w:space="0" w:color="auto"/>
        <w:bottom w:val="none" w:sz="0" w:space="0" w:color="auto"/>
        <w:right w:val="none" w:sz="0" w:space="0" w:color="auto"/>
      </w:divBdr>
    </w:div>
    <w:div w:id="1229002342">
      <w:bodyDiv w:val="1"/>
      <w:marLeft w:val="0"/>
      <w:marRight w:val="0"/>
      <w:marTop w:val="0"/>
      <w:marBottom w:val="0"/>
      <w:divBdr>
        <w:top w:val="none" w:sz="0" w:space="0" w:color="auto"/>
        <w:left w:val="none" w:sz="0" w:space="0" w:color="auto"/>
        <w:bottom w:val="none" w:sz="0" w:space="0" w:color="auto"/>
        <w:right w:val="none" w:sz="0" w:space="0" w:color="auto"/>
      </w:divBdr>
    </w:div>
    <w:div w:id="1810702237">
      <w:bodyDiv w:val="1"/>
      <w:marLeft w:val="0"/>
      <w:marRight w:val="0"/>
      <w:marTop w:val="0"/>
      <w:marBottom w:val="0"/>
      <w:divBdr>
        <w:top w:val="none" w:sz="0" w:space="0" w:color="auto"/>
        <w:left w:val="none" w:sz="0" w:space="0" w:color="auto"/>
        <w:bottom w:val="none" w:sz="0" w:space="0" w:color="auto"/>
        <w:right w:val="none" w:sz="0" w:space="0" w:color="auto"/>
      </w:divBdr>
    </w:div>
    <w:div w:id="20722711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mailto:kapisha.vyas@simmons-simmons.com" TargetMode="External" Id="rId8" /><Relationship Type="http://schemas.openxmlformats.org/officeDocument/2006/relationships/footer" Target="footer2.xml" Id="rId13" /><Relationship Type="http://schemas.openxmlformats.org/officeDocument/2006/relationships/theme" Target="theme/theme1.xml" Id="rId18" /><Relationship Type="http://schemas.openxmlformats.org/officeDocument/2006/relationships/settings" Target="settings.xml" Id="rId3" /><Relationship Type="http://schemas.openxmlformats.org/officeDocument/2006/relationships/hyperlink" Target="mailto:taxpublicconsultation@oecd.org" TargetMode="External" Id="rId7" /><Relationship Type="http://schemas.openxmlformats.org/officeDocument/2006/relationships/footer" Target="footer1.xml" Id="rId12" /><Relationship Type="http://schemas.openxmlformats.org/officeDocument/2006/relationships/glossaryDocument" Target="glossary/document.xml" Id="rId17" /><Relationship Type="http://schemas.openxmlformats.org/officeDocument/2006/relationships/styles" Target="styles.xml" Id="rId2" /><Relationship Type="http://schemas.openxmlformats.org/officeDocument/2006/relationships/fontTable" Target="fontTable.xm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header" Target="header2.xml" Id="rId11" /><Relationship Type="http://schemas.openxmlformats.org/officeDocument/2006/relationships/footnotes" Target="footnotes.xml" Id="rId5" /><Relationship Type="http://schemas.openxmlformats.org/officeDocument/2006/relationships/footer" Target="footer3.xml" Id="rId15" /><Relationship Type="http://schemas.openxmlformats.org/officeDocument/2006/relationships/header" Target="header1.xml" Id="rId10" /><Relationship Type="http://schemas.openxmlformats.org/officeDocument/2006/relationships/webSettings" Target="webSettings.xml" Id="rId4" /><Relationship Type="http://schemas.openxmlformats.org/officeDocument/2006/relationships/hyperlink" Target="mailto:reka.mezo@simmons-simmons.com" TargetMode="External" Id="rId9" /><Relationship Type="http://schemas.openxmlformats.org/officeDocument/2006/relationships/header" Target="header3.xml" Id="rId14" /><Relationship Type="http://schemas.openxmlformats.org/officeDocument/2006/relationships/customXml" Target="/customXML/item.xml" Id="imanage.xml" /></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7D2183554934210A59920DE0C5E8EB0"/>
        <w:category>
          <w:name w:val="General"/>
          <w:gallery w:val="placeholder"/>
        </w:category>
        <w:types>
          <w:type w:val="bbPlcHdr"/>
        </w:types>
        <w:behaviors>
          <w:behavior w:val="content"/>
        </w:behaviors>
        <w:guid w:val="{A8569413-6451-4802-BA30-DA04646B4677}"/>
      </w:docPartPr>
      <w:docPartBody>
        <w:p w:rsidR="00D01C9D" w:rsidRDefault="00D01C9D"/>
      </w:docPartBody>
    </w:docPart>
    <w:docPart>
      <w:docPartPr>
        <w:name w:val="2BAF6BA1FDD547EB842A02C2457EC853"/>
        <w:category>
          <w:name w:val="General"/>
          <w:gallery w:val="placeholder"/>
        </w:category>
        <w:types>
          <w:type w:val="bbPlcHdr"/>
        </w:types>
        <w:behaviors>
          <w:behavior w:val="content"/>
        </w:behaviors>
        <w:guid w:val="{1D1D02F0-C01B-4DFD-B934-14BD0E69C07D}"/>
      </w:docPartPr>
      <w:docPartBody>
        <w:p w:rsidR="00D01C9D" w:rsidRDefault="00D01C9D"/>
      </w:docPartBody>
    </w:docPart>
    <w:docPart>
      <w:docPartPr>
        <w:name w:val="FFD57C2D08BE4E2BB3A1E060E63666FB"/>
        <w:category>
          <w:name w:val="General"/>
          <w:gallery w:val="placeholder"/>
        </w:category>
        <w:types>
          <w:type w:val="bbPlcHdr"/>
        </w:types>
        <w:behaviors>
          <w:behavior w:val="content"/>
        </w:behaviors>
        <w:guid w:val="{F38EAEAF-0F56-4312-A6A0-A8473B920690}"/>
      </w:docPartPr>
      <w:docPartBody>
        <w:p w:rsidR="00D01C9D" w:rsidRDefault="00D01C9D"/>
      </w:docPartBody>
    </w:docPart>
    <w:docPart>
      <w:docPartPr>
        <w:name w:val="76C565C9D2E34BED89450B3AFB47D090"/>
        <w:category>
          <w:name w:val="General"/>
          <w:gallery w:val="placeholder"/>
        </w:category>
        <w:types>
          <w:type w:val="bbPlcHdr"/>
        </w:types>
        <w:behaviors>
          <w:behavior w:val="content"/>
        </w:behaviors>
        <w:guid w:val="{A6D17284-7D9B-433A-85B2-69196956C5A3}"/>
      </w:docPartPr>
      <w:docPartBody>
        <w:p w:rsidR="00D01C9D" w:rsidRDefault="00D01C9D"/>
      </w:docPartBody>
    </w:docPart>
    <w:docPart>
      <w:docPartPr>
        <w:name w:val="057BEAE19B774E46BBD668946765AF43"/>
        <w:category>
          <w:name w:val="General"/>
          <w:gallery w:val="placeholder"/>
        </w:category>
        <w:types>
          <w:type w:val="bbPlcHdr"/>
        </w:types>
        <w:behaviors>
          <w:behavior w:val="content"/>
        </w:behaviors>
        <w:guid w:val="{B9B1E3D7-77B2-40B9-A220-B3718B3E6197}"/>
      </w:docPartPr>
      <w:docPartBody>
        <w:p w:rsidR="00D01C9D" w:rsidRDefault="00D01C9D"/>
      </w:docPartBody>
    </w:docPart>
    <w:docPart>
      <w:docPartPr>
        <w:name w:val="53213233B41B4CFE93B9FC9059ADE9C6"/>
        <w:category>
          <w:name w:val="General"/>
          <w:gallery w:val="placeholder"/>
        </w:category>
        <w:types>
          <w:type w:val="bbPlcHdr"/>
        </w:types>
        <w:behaviors>
          <w:behavior w:val="content"/>
        </w:behaviors>
        <w:guid w:val="{326D4317-ADF7-4DDC-9396-D48175045A2F}"/>
      </w:docPartPr>
      <w:docPartBody>
        <w:p w:rsidR="00D01C9D" w:rsidRDefault="00D01C9D"/>
      </w:docPartBody>
    </w:docPart>
    <w:docPart>
      <w:docPartPr>
        <w:name w:val="939262D89EA94AED8E5FD2C60AB46CB5"/>
        <w:category>
          <w:name w:val="General"/>
          <w:gallery w:val="placeholder"/>
        </w:category>
        <w:types>
          <w:type w:val="bbPlcHdr"/>
        </w:types>
        <w:behaviors>
          <w:behavior w:val="content"/>
        </w:behaviors>
        <w:guid w:val="{93BE9860-1216-4523-9EE2-A00A3C611AFC}"/>
      </w:docPartPr>
      <w:docPartBody>
        <w:p w:rsidR="00D01C9D" w:rsidRDefault="00D01C9D"/>
      </w:docPartBody>
    </w:docPart>
    <w:docPart>
      <w:docPartPr>
        <w:name w:val="BD70C4645900440DA19668F1EF35B627"/>
        <w:category>
          <w:name w:val="General"/>
          <w:gallery w:val="placeholder"/>
        </w:category>
        <w:types>
          <w:type w:val="bbPlcHdr"/>
        </w:types>
        <w:behaviors>
          <w:behavior w:val="content"/>
        </w:behaviors>
        <w:guid w:val="{AFD97ACA-5F8B-42A6-B8C3-28C7182AE504}"/>
      </w:docPartPr>
      <w:docPartBody>
        <w:p w:rsidR="00D01C9D" w:rsidRDefault="00D01C9D"/>
      </w:docPartBody>
    </w:docPart>
    <w:docPart>
      <w:docPartPr>
        <w:name w:val="3B7B6D24A4EA4DBDAC5BAE3049A32E5F"/>
        <w:category>
          <w:name w:val="General"/>
          <w:gallery w:val="placeholder"/>
        </w:category>
        <w:types>
          <w:type w:val="bbPlcHdr"/>
        </w:types>
        <w:behaviors>
          <w:behavior w:val="content"/>
        </w:behaviors>
        <w:guid w:val="{B05B6737-69FF-49BB-9D99-17D5F8F312CD}"/>
      </w:docPartPr>
      <w:docPartBody>
        <w:p w:rsidR="00D01C9D" w:rsidRDefault="00D01C9D"/>
      </w:docPartBody>
    </w:docPart>
    <w:docPart>
      <w:docPartPr>
        <w:name w:val="D0F2A010B37942858244CADE76EAF1AC"/>
        <w:category>
          <w:name w:val="General"/>
          <w:gallery w:val="placeholder"/>
        </w:category>
        <w:types>
          <w:type w:val="bbPlcHdr"/>
        </w:types>
        <w:behaviors>
          <w:behavior w:val="content"/>
        </w:behaviors>
        <w:guid w:val="{C69A3863-D23A-4A73-8458-E10974E01364}"/>
      </w:docPartPr>
      <w:docPartBody>
        <w:p w:rsidR="00D01C9D" w:rsidRDefault="00D01C9D"/>
      </w:docPartBody>
    </w:docPart>
    <w:docPart>
      <w:docPartPr>
        <w:name w:val="67CABDB509EA466F80819550FBE0AB27"/>
        <w:category>
          <w:name w:val="General"/>
          <w:gallery w:val="placeholder"/>
        </w:category>
        <w:types>
          <w:type w:val="bbPlcHdr"/>
        </w:types>
        <w:behaviors>
          <w:behavior w:val="content"/>
        </w:behaviors>
        <w:guid w:val="{38B367F0-2547-4591-8459-B6BE6F71CA19}"/>
      </w:docPartPr>
      <w:docPartBody>
        <w:p w:rsidR="00D01C9D" w:rsidRDefault="00D01C9D"/>
      </w:docPartBody>
    </w:docPart>
    <w:docPart>
      <w:docPartPr>
        <w:name w:val="474E070A79544165BB47665FF7944315"/>
        <w:category>
          <w:name w:val="General"/>
          <w:gallery w:val="placeholder"/>
        </w:category>
        <w:types>
          <w:type w:val="bbPlcHdr"/>
        </w:types>
        <w:behaviors>
          <w:behavior w:val="content"/>
        </w:behaviors>
        <w:guid w:val="{2456026D-38B1-4E06-9441-410792C7F814}"/>
      </w:docPartPr>
      <w:docPartBody>
        <w:p w:rsidR="00D01C9D" w:rsidRDefault="00D01C9D"/>
      </w:docPartBody>
    </w:docPart>
    <w:docPart>
      <w:docPartPr>
        <w:name w:val="53B30506092D4A30A97945C0EBF09F63"/>
        <w:category>
          <w:name w:val="General"/>
          <w:gallery w:val="placeholder"/>
        </w:category>
        <w:types>
          <w:type w:val="bbPlcHdr"/>
        </w:types>
        <w:behaviors>
          <w:behavior w:val="content"/>
        </w:behaviors>
        <w:guid w:val="{7B2C3A51-ABF3-411E-84A1-C68E76B19DDA}"/>
      </w:docPartPr>
      <w:docPartBody>
        <w:p w:rsidR="008E0E53" w:rsidRDefault="008E0E53"/>
      </w:docPartBody>
    </w:docPart>
    <w:docPart>
      <w:docPartPr>
        <w:name w:val="F391F0BE33A24E65A3939056533EF6DB"/>
        <w:category>
          <w:name w:val="General"/>
          <w:gallery w:val="placeholder"/>
        </w:category>
        <w:types>
          <w:type w:val="bbPlcHdr"/>
        </w:types>
        <w:behaviors>
          <w:behavior w:val="content"/>
        </w:behaviors>
        <w:guid w:val="{269DF5F5-103C-4994-94DD-0560BBFF000D}"/>
      </w:docPartPr>
      <w:docPartBody>
        <w:p w:rsidR="008E0E53" w:rsidRDefault="008E0E5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ngLiU">
    <w:altName w:val="細明體"/>
    <w:panose1 w:val="02020309000000000000"/>
    <w:charset w:val="88"/>
    <w:family w:val="modern"/>
    <w:pitch w:val="fixed"/>
    <w:sig w:usb0="A00002FF" w:usb1="28CFFCFA" w:usb2="00000016" w:usb3="00000000" w:csb0="00100001" w:csb1="00000000"/>
  </w:font>
  <w:font w:name="SimSun">
    <w:altName w:val="宋体"/>
    <w:panose1 w:val="02010600030101010101"/>
    <w:charset w:val="86"/>
    <w:family w:val="auto"/>
    <w:pitch w:val="variable"/>
    <w:sig w:usb0="00000203" w:usb1="288F0000" w:usb2="00000016" w:usb3="00000000" w:csb0="00040001" w:csb1="00000000"/>
  </w:font>
  <w:font w:name="DFKai-SB">
    <w:panose1 w:val="03000509000000000000"/>
    <w:charset w:val="88"/>
    <w:family w:val="script"/>
    <w:pitch w:val="fixed"/>
    <w:sig w:usb0="00000003" w:usb1="080E0000" w:usb2="00000016" w:usb3="00000000" w:csb0="00100001" w:csb1="00000000"/>
  </w:font>
  <w:font w:name="Real Text Light">
    <w:altName w:val="Calibri"/>
    <w:panose1 w:val="020B0504020101010102"/>
    <w:charset w:val="00"/>
    <w:family w:val="swiss"/>
    <w:notTrueType/>
    <w:pitch w:val="variable"/>
    <w:sig w:usb0="A00000FF" w:usb1="4000E47B" w:usb2="00000000" w:usb3="00000000" w:csb0="00000093" w:csb1="00000000"/>
  </w:font>
  <w:font w:name="Cairo">
    <w:panose1 w:val="00000500000000000000"/>
    <w:charset w:val="00"/>
    <w:family w:val="auto"/>
    <w:pitch w:val="variable"/>
    <w:sig w:usb0="00002007" w:usb1="00000001" w:usb2="00000008" w:usb3="00000000" w:csb0="000000D3" w:csb1="00000000"/>
  </w:font>
  <w:font w:name="Noto Sans CJK SC Light">
    <w:panose1 w:val="020B0300000000000000"/>
    <w:charset w:val="80"/>
    <w:family w:val="swiss"/>
    <w:notTrueType/>
    <w:pitch w:val="variable"/>
    <w:sig w:usb0="30000207" w:usb1="2BDF3C10" w:usb2="00000016" w:usb3="00000000" w:csb0="002E0107" w:csb1="00000000"/>
  </w:font>
  <w:font w:name="Arial Bold">
    <w:altName w:val="Arial"/>
    <w:panose1 w:val="020B0704020202020204"/>
    <w:charset w:val="00"/>
    <w:family w:val="roman"/>
    <w:notTrueType/>
    <w:pitch w:val="default"/>
  </w:font>
  <w:font w:name="PMingLiU">
    <w:altName w:val="新細明體"/>
    <w:panose1 w:val="02020300000000000000"/>
    <w:charset w:val="88"/>
    <w:family w:val="roman"/>
    <w:pitch w:val="variable"/>
    <w:sig w:usb0="00000003" w:usb1="080E0000" w:usb2="00000016" w:usb3="00000000" w:csb0="00100001" w:csb1="00000000"/>
  </w:font>
  <w:font w:name="Aptos">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DengXian Light">
    <w:panose1 w:val="02010600030101010101"/>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01F6"/>
    <w:rsid w:val="00070A7D"/>
    <w:rsid w:val="000F401B"/>
    <w:rsid w:val="001C5795"/>
    <w:rsid w:val="00261742"/>
    <w:rsid w:val="00362B5D"/>
    <w:rsid w:val="00403C44"/>
    <w:rsid w:val="004606CB"/>
    <w:rsid w:val="004901F6"/>
    <w:rsid w:val="00565DC9"/>
    <w:rsid w:val="005B0160"/>
    <w:rsid w:val="006261CC"/>
    <w:rsid w:val="00627A5C"/>
    <w:rsid w:val="006C1DCB"/>
    <w:rsid w:val="00713B4F"/>
    <w:rsid w:val="00804328"/>
    <w:rsid w:val="00814FCC"/>
    <w:rsid w:val="008E0E53"/>
    <w:rsid w:val="009429A3"/>
    <w:rsid w:val="00B52DB6"/>
    <w:rsid w:val="00BE3943"/>
    <w:rsid w:val="00D01C9D"/>
    <w:rsid w:val="00E805FE"/>
    <w:rsid w:val="00E87AA0"/>
    <w:rsid w:val="00FC032D"/>
    <w:rsid w:val="00FE4B39"/>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5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59"/>
    <w:semiHidden/>
    <w:rsid w:val="004901F6"/>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theme/theme1.xml><?xml version="1.0" encoding="utf-8"?>
<a:theme xmlns:a="http://schemas.openxmlformats.org/drawingml/2006/main" name="Simmons - Word">
  <a:themeElements>
    <a:clrScheme name="Simmons">
      <a:dk1>
        <a:srgbClr val="FFFFFF"/>
      </a:dk1>
      <a:lt1>
        <a:srgbClr val="303030"/>
      </a:lt1>
      <a:dk2>
        <a:srgbClr val="FC515B"/>
      </a:dk2>
      <a:lt2>
        <a:srgbClr val="303030"/>
      </a:lt2>
      <a:accent1>
        <a:srgbClr val="88E5BD"/>
      </a:accent1>
      <a:accent2>
        <a:srgbClr val="53C2E5"/>
      </a:accent2>
      <a:accent3>
        <a:srgbClr val="8996F4"/>
      </a:accent3>
      <a:accent4>
        <a:srgbClr val="EAA4EA"/>
      </a:accent4>
      <a:accent5>
        <a:srgbClr val="FC515B"/>
      </a:accent5>
      <a:accent6>
        <a:srgbClr val="303030"/>
      </a:accent6>
      <a:hlink>
        <a:srgbClr val="0563C1"/>
      </a:hlink>
      <a:folHlink>
        <a:srgbClr val="954F72"/>
      </a:folHlink>
    </a:clrScheme>
    <a:fontScheme name="Custom 3">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solidFill>
          <a:schemeClr val="bg2"/>
        </a:solidFill>
        <a:ln>
          <a:noFill/>
        </a:ln>
      </a:spPr>
      <a:bodyPr rtlCol="0" anchor="ctr"/>
      <a:lstStyle>
        <a:defPPr algn="ctr">
          <a:defRPr sz="1600" dirty="0"/>
        </a:defPPr>
      </a:lstStyle>
      <a:style>
        <a:lnRef idx="2">
          <a:schemeClr val="accent1">
            <a:shade val="50000"/>
          </a:schemeClr>
        </a:lnRef>
        <a:fillRef idx="1">
          <a:schemeClr val="accent1"/>
        </a:fillRef>
        <a:effectRef idx="0">
          <a:schemeClr val="accent1"/>
        </a:effectRef>
        <a:fontRef idx="minor">
          <a:schemeClr val="lt1"/>
        </a:fontRef>
      </a:style>
    </a:spDef>
    <a:lnDef>
      <a:spPr>
        <a:ln w="12700">
          <a:solidFill>
            <a:schemeClr val="tx2"/>
          </a:solidFill>
        </a:ln>
      </a:spPr>
      <a:bodyPr/>
      <a:lstStyle/>
      <a:style>
        <a:lnRef idx="1">
          <a:schemeClr val="accent1"/>
        </a:lnRef>
        <a:fillRef idx="0">
          <a:schemeClr val="accent1"/>
        </a:fillRef>
        <a:effectRef idx="0">
          <a:schemeClr val="accent1"/>
        </a:effectRef>
        <a:fontRef idx="minor">
          <a:schemeClr val="tx1"/>
        </a:fontRef>
      </a:style>
    </a:lnDef>
    <a:txDef>
      <a:spPr>
        <a:noFill/>
      </a:spPr>
      <a:bodyPr wrap="square" lIns="0" tIns="0" rIns="0" bIns="0" rtlCol="0">
        <a:noAutofit/>
      </a:bodyPr>
      <a:lstStyle>
        <a:defPPr algn="l">
          <a:defRPr sz="1600" dirty="0"/>
        </a:defPPr>
      </a:lstStyle>
    </a:txDef>
  </a:objectDefaults>
  <a:extraClrSchemeLst/>
  <a:extLst>
    <a:ext uri="{05A4C25C-085E-4340-85A3-A5531E510DB2}">
      <thm15:themeFamily xmlns:thm15="http://schemas.microsoft.com/office/thememl/2012/main" name="Simmons" id="{E65F5AEB-1984-4FC1-8873-5023D374DCD4}" vid="{06B1774F-B232-49F1-A148-B96D1EC6530F}"/>
    </a:ext>
  </a:extLst>
</a:theme>
</file>

<file path=customXML/item.xml>��< ? x m l   v e r s i o n = " 1 . 0 "   e n c o d i n g = " u t f - 1 6 " ? >  
 < p r o p e r t i e s   x m l n s = " h t t p : / / w w w . i m a n a g e . c o m / w o r k / x m l s c h e m a " >  
     < d o c u m e n t i d > L _ L I V E _ E M E A 1 ! 5 0 0 3 0 4 0 4 5 . 1 < / d o c u m e n t i d >  
     < s e n d e r i d > R E M E < / s e n d e r i d >  
     < s e n d e r e m a i l > R E K A . M E Z O @ S I M M O N S - S I M M O N S . C O M < / s e n d e r e m a i l >  
     < l a s t m o d i f i e d > 2 0 2 6 - 0 7 - 2 2 T 1 3 : 3 8 : 0 0 . 0 0 0 0 0 0 0 + 0 1 : 0 0 < / l a s t m o d i f i e d >  
     < d a t a b a s e > L _ L I V E _ E M E A 1 < / d a t a b a s e >  
 < / p r o p e r t i e s > 
</file>

<file path=docProps/app.xml><?xml version="1.0" encoding="utf-8"?>
<Properties xmlns="http://schemas.openxmlformats.org/officeDocument/2006/extended-properties" xmlns:vt="http://schemas.openxmlformats.org/officeDocument/2006/docPropsVTypes">
  <Template>Normal</Template>
  <TotalTime>0</TotalTime>
  <Pages>8</Pages>
  <Words>4031</Words>
  <Characters>23506</Characters>
  <Application>Microsoft Office Word</Application>
  <DocSecurity>0</DocSecurity>
  <Lines>373</Lines>
  <Paragraphs>78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27459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Reka Mezo</cp:lastModifiedBy>
  <cp:revision>4</cp:revision>
  <cp:lastPrinted>1900-01-01T00:00:00Z</cp:lastPrinted>
  <dcterms:created xsi:type="dcterms:W3CDTF">2026-07-22T10:07:00Z</dcterms:created>
  <dcterms:modified xsi:type="dcterms:W3CDTF">2026-07-22T12:38:00Z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ManageFooter">
    <vt:lpwstr>#500304045v1&lt;L_LIVE_EMEA1&gt; - Simmons and Simmons responses to the OECD Consultation on Cha...docx</vt:lpwstr>
  </property>
</Properties>
</file>