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A1" w:rsidRPr="002971A1" w:rsidRDefault="009D560B" w:rsidP="002971A1">
      <w:pPr>
        <w:pStyle w:val="ssPara1"/>
        <w:jc w:val="center"/>
        <w:rPr>
          <w:b/>
        </w:rPr>
      </w:pPr>
      <w:bookmarkStart w:id="0" w:name="_GoBack"/>
      <w:bookmarkEnd w:id="0"/>
      <w:r>
        <w:rPr>
          <w:b/>
        </w:rPr>
        <w:t>MiFID2 INDUCEMENTS</w:t>
      </w:r>
    </w:p>
    <w:p w:rsidR="002971A1" w:rsidRDefault="002971A1" w:rsidP="002971A1">
      <w:pPr>
        <w:pStyle w:val="ssPara1"/>
        <w:jc w:val="center"/>
        <w:rPr>
          <w:b/>
        </w:rPr>
      </w:pPr>
      <w:r w:rsidRPr="002971A1">
        <w:rPr>
          <w:b/>
        </w:rPr>
        <w:t xml:space="preserve">ESMA </w:t>
      </w:r>
      <w:hyperlink r:id="rId8" w:history="1">
        <w:r w:rsidRPr="002971A1">
          <w:rPr>
            <w:rStyle w:val="Hyperlink"/>
          </w:rPr>
          <w:t>Technical Advice</w:t>
        </w:r>
      </w:hyperlink>
      <w:r w:rsidRPr="002971A1">
        <w:rPr>
          <w:b/>
        </w:rPr>
        <w:t xml:space="preserve"> (19 December 2014)</w:t>
      </w:r>
      <w:r>
        <w:rPr>
          <w:b/>
        </w:rPr>
        <w:br/>
      </w:r>
      <w:r w:rsidRPr="002971A1">
        <w:rPr>
          <w:b/>
        </w:rPr>
        <w:t>vs.</w:t>
      </w:r>
      <w:r>
        <w:rPr>
          <w:b/>
        </w:rPr>
        <w:br/>
      </w:r>
      <w:r w:rsidRPr="002971A1">
        <w:rPr>
          <w:b/>
        </w:rPr>
        <w:t xml:space="preserve">European Commission </w:t>
      </w:r>
      <w:hyperlink r:id="rId9" w:history="1">
        <w:r w:rsidRPr="002971A1">
          <w:rPr>
            <w:rStyle w:val="Hyperlink"/>
          </w:rPr>
          <w:t>Draft Delegated Regulation</w:t>
        </w:r>
      </w:hyperlink>
      <w:r w:rsidR="009D560B">
        <w:rPr>
          <w:b/>
        </w:rPr>
        <w:t xml:space="preserve"> (</w:t>
      </w:r>
      <w:r w:rsidR="0094779E">
        <w:rPr>
          <w:b/>
        </w:rPr>
        <w:t>25</w:t>
      </w:r>
      <w:r w:rsidRPr="002971A1">
        <w:rPr>
          <w:b/>
        </w:rPr>
        <w:t xml:space="preserve"> April 2016)</w:t>
      </w:r>
      <w:r w:rsidR="0094779E">
        <w:rPr>
          <w:b/>
        </w:rPr>
        <w:t xml:space="preserve"> and </w:t>
      </w:r>
      <w:hyperlink r:id="rId10" w:history="1">
        <w:r w:rsidR="0094779E" w:rsidRPr="0094779E">
          <w:rPr>
            <w:rStyle w:val="Hyperlink"/>
            <w:b/>
          </w:rPr>
          <w:t>Delegated Directive</w:t>
        </w:r>
      </w:hyperlink>
      <w:r w:rsidR="0094779E">
        <w:rPr>
          <w:b/>
        </w:rPr>
        <w:t xml:space="preserve"> (7 April 2016)</w:t>
      </w:r>
    </w:p>
    <w:p w:rsidR="009D560B" w:rsidRPr="009D560B" w:rsidRDefault="009D560B" w:rsidP="009D560B">
      <w:pPr>
        <w:spacing w:line="280" w:lineRule="exact"/>
        <w:jc w:val="left"/>
        <w:rPr>
          <w:rFonts w:eastAsia="Expert Sans Regular" w:cs="Arial"/>
          <w:szCs w:val="20"/>
          <w:lang w:eastAsia="en-US"/>
        </w:rPr>
      </w:pPr>
      <w:r w:rsidRPr="009D560B">
        <w:rPr>
          <w:rFonts w:eastAsia="Expert Sans Regular" w:cs="Arial"/>
          <w:b/>
          <w:szCs w:val="20"/>
          <w:lang w:eastAsia="en-US"/>
        </w:rPr>
        <w:t>Draft Delegated Directive</w:t>
      </w:r>
      <w:r w:rsidRPr="009D560B">
        <w:rPr>
          <w:rFonts w:eastAsia="Expert Sans Regular" w:cs="Arial"/>
          <w:szCs w:val="20"/>
          <w:lang w:eastAsia="en-US"/>
        </w:rPr>
        <w:t xml:space="preserve"> – supplements Directive 2014/65/EU, and is specifically focused on “safeguarding of financial instruments and funds belonging to clients, product governance obligations and the rules applicable to the provision or reception of fees, commissions or any monetary or non-monetary benefits”</w:t>
      </w:r>
    </w:p>
    <w:p w:rsidR="002971A1" w:rsidRPr="001E0645" w:rsidRDefault="002971A1" w:rsidP="00A7460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2971A1" w:rsidRPr="001E0645" w:rsidTr="002971A1">
        <w:tc>
          <w:tcPr>
            <w:tcW w:w="675" w:type="dxa"/>
            <w:shd w:val="clear" w:color="auto" w:fill="92D050"/>
          </w:tcPr>
          <w:p w:rsidR="002971A1" w:rsidRPr="001E0645" w:rsidRDefault="002971A1" w:rsidP="00A7460B">
            <w:pPr>
              <w:rPr>
                <w:rFonts w:cs="Arial"/>
                <w:szCs w:val="20"/>
              </w:rPr>
            </w:pPr>
          </w:p>
        </w:tc>
        <w:tc>
          <w:tcPr>
            <w:tcW w:w="7938" w:type="dxa"/>
          </w:tcPr>
          <w:p w:rsidR="002971A1" w:rsidRPr="001E0645" w:rsidRDefault="002971A1" w:rsidP="001F21EF">
            <w:pPr>
              <w:rPr>
                <w:rFonts w:cs="Arial"/>
                <w:szCs w:val="20"/>
              </w:rPr>
            </w:pPr>
            <w:r w:rsidRPr="001E0645">
              <w:rPr>
                <w:rFonts w:cs="Arial"/>
                <w:szCs w:val="20"/>
              </w:rPr>
              <w:t>No change or minor / immaterial change</w:t>
            </w:r>
          </w:p>
        </w:tc>
      </w:tr>
      <w:tr w:rsidR="002971A1" w:rsidRPr="001E0645" w:rsidTr="002971A1">
        <w:tc>
          <w:tcPr>
            <w:tcW w:w="675" w:type="dxa"/>
            <w:shd w:val="clear" w:color="auto" w:fill="FFC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Change to be reviewed, but not requiring gap assessment to be revisited with business</w:t>
            </w:r>
          </w:p>
        </w:tc>
      </w:tr>
      <w:tr w:rsidR="002971A1" w:rsidRPr="001E0645" w:rsidTr="002971A1">
        <w:tc>
          <w:tcPr>
            <w:tcW w:w="675" w:type="dxa"/>
            <w:shd w:val="clear" w:color="auto" w:fill="FF0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 xml:space="preserve">Significant change requiring detailed review </w:t>
            </w:r>
          </w:p>
        </w:tc>
      </w:tr>
    </w:tbl>
    <w:p w:rsidR="002971A1" w:rsidRPr="001E0645" w:rsidRDefault="002971A1" w:rsidP="00A7460B">
      <w:pPr>
        <w:rPr>
          <w:rFonts w:cs="Arial"/>
          <w:szCs w:val="20"/>
        </w:rPr>
      </w:pPr>
    </w:p>
    <w:tbl>
      <w:tblPr>
        <w:tblStyle w:val="TableGrid"/>
        <w:tblW w:w="0" w:type="auto"/>
        <w:tblLook w:val="04A0" w:firstRow="1" w:lastRow="0" w:firstColumn="1" w:lastColumn="0" w:noHBand="0" w:noVBand="1"/>
      </w:tblPr>
      <w:tblGrid>
        <w:gridCol w:w="2518"/>
        <w:gridCol w:w="2693"/>
        <w:gridCol w:w="8931"/>
      </w:tblGrid>
      <w:tr w:rsidR="009D560B" w:rsidTr="002F329E">
        <w:trPr>
          <w:cantSplit/>
          <w:tblHeader/>
        </w:trPr>
        <w:tc>
          <w:tcPr>
            <w:tcW w:w="2518"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D560B" w:rsidRPr="002F329E" w:rsidRDefault="009D560B">
            <w:pPr>
              <w:jc w:val="center"/>
              <w:rPr>
                <w:rFonts w:cs="Arial"/>
                <w:b/>
                <w:color w:val="FFFFFF" w:themeColor="background1"/>
                <w:sz w:val="20"/>
                <w:szCs w:val="20"/>
              </w:rPr>
            </w:pPr>
            <w:r w:rsidRPr="002F329E">
              <w:rPr>
                <w:rFonts w:cs="Arial"/>
                <w:b/>
                <w:color w:val="FFFFFF" w:themeColor="background1"/>
                <w:sz w:val="20"/>
                <w:szCs w:val="20"/>
              </w:rPr>
              <w:t>ESMA Technical Advice</w:t>
            </w:r>
          </w:p>
          <w:p w:rsidR="009D560B" w:rsidRPr="002F329E" w:rsidRDefault="009D560B">
            <w:pPr>
              <w:spacing w:after="120" w:line="280" w:lineRule="exact"/>
              <w:jc w:val="center"/>
              <w:rPr>
                <w:rFonts w:cs="Arial"/>
                <w:b/>
                <w:color w:val="FFFFFF" w:themeColor="background1"/>
                <w:sz w:val="20"/>
                <w:szCs w:val="20"/>
                <w:lang w:eastAsia="en-US"/>
              </w:rPr>
            </w:pPr>
            <w:r w:rsidRPr="002F329E">
              <w:rPr>
                <w:rFonts w:cs="Arial"/>
                <w:b/>
                <w:color w:val="FFFFFF" w:themeColor="background1"/>
                <w:sz w:val="20"/>
                <w:szCs w:val="20"/>
              </w:rPr>
              <w:t>Section 2.15 pages 138-143</w:t>
            </w:r>
          </w:p>
        </w:tc>
        <w:tc>
          <w:tcPr>
            <w:tcW w:w="2693"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D560B" w:rsidRPr="002F329E" w:rsidRDefault="009D560B">
            <w:pPr>
              <w:jc w:val="center"/>
              <w:rPr>
                <w:rFonts w:cs="Arial"/>
                <w:b/>
                <w:color w:val="FFFFFF" w:themeColor="background1"/>
                <w:sz w:val="20"/>
                <w:szCs w:val="20"/>
              </w:rPr>
            </w:pPr>
            <w:r w:rsidRPr="002F329E">
              <w:rPr>
                <w:rFonts w:cs="Arial"/>
                <w:b/>
                <w:color w:val="FFFFFF" w:themeColor="background1"/>
                <w:sz w:val="20"/>
                <w:szCs w:val="20"/>
              </w:rPr>
              <w:t>Commission Draft Delegated Directive</w:t>
            </w:r>
          </w:p>
          <w:p w:rsidR="009D560B" w:rsidRPr="002F329E" w:rsidRDefault="009D560B">
            <w:pPr>
              <w:spacing w:line="280" w:lineRule="exact"/>
              <w:jc w:val="center"/>
              <w:rPr>
                <w:rFonts w:cs="Arial"/>
                <w:b/>
                <w:color w:val="FFFFFF" w:themeColor="background1"/>
                <w:sz w:val="20"/>
                <w:szCs w:val="20"/>
                <w:lang w:eastAsia="en-US"/>
              </w:rPr>
            </w:pPr>
            <w:r w:rsidRPr="002F329E">
              <w:rPr>
                <w:rFonts w:cs="Arial"/>
                <w:b/>
                <w:color w:val="FFFFFF" w:themeColor="background1"/>
                <w:sz w:val="20"/>
                <w:szCs w:val="20"/>
              </w:rPr>
              <w:t>Articles 11 - 13</w:t>
            </w:r>
          </w:p>
        </w:tc>
        <w:tc>
          <w:tcPr>
            <w:tcW w:w="8931"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D560B" w:rsidRPr="002F329E" w:rsidRDefault="009D560B">
            <w:pPr>
              <w:spacing w:line="280" w:lineRule="exact"/>
              <w:jc w:val="center"/>
              <w:rPr>
                <w:rFonts w:cs="Arial"/>
                <w:b/>
                <w:color w:val="FFFFFF" w:themeColor="background1"/>
                <w:sz w:val="20"/>
                <w:szCs w:val="20"/>
                <w:lang w:eastAsia="en-US"/>
              </w:rPr>
            </w:pPr>
            <w:r w:rsidRPr="002F329E">
              <w:rPr>
                <w:rFonts w:cs="Arial"/>
                <w:b/>
                <w:color w:val="FFFFFF" w:themeColor="background1"/>
                <w:sz w:val="20"/>
                <w:szCs w:val="20"/>
              </w:rPr>
              <w:t>Summary of Key Changes in Commission Draft Delegated Directive</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12(1) first paragraph</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 xml:space="preserve">Broadly the same content. The Technical Advice was general introduction wording / explanation of scope of provisions, rather than providing specific wording. </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12(1) second paragraph</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Broadly the same content. The Technical Advice was general introduction wording / explanation of scope of provisions, rather than providing specific wording.</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12(2)</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Minor amends.</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4</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N/A</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Paragraph 4 of the Technical Advice sets out a suggestion. The suggestion was followed in article 12(2) and 12(3) together. Paragraph 4 did not contain suggested wording.</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12(3)</w:t>
            </w:r>
          </w:p>
        </w:tc>
        <w:tc>
          <w:tcPr>
            <w:tcW w:w="8931" w:type="dxa"/>
            <w:tcBorders>
              <w:top w:val="single" w:sz="4" w:space="0" w:color="auto"/>
              <w:left w:val="single" w:sz="4" w:space="0" w:color="auto"/>
              <w:bottom w:val="single" w:sz="4"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Two main amends to the list of minor non-monetary benefits: includes issuer or offer documents (article 11(3)(b)</w:t>
            </w:r>
            <w:proofErr w:type="gramStart"/>
            <w:r>
              <w:rPr>
                <w:rFonts w:cs="Arial"/>
                <w:sz w:val="20"/>
                <w:szCs w:val="20"/>
              </w:rPr>
              <w:t>), and</w:t>
            </w:r>
            <w:proofErr w:type="gramEnd"/>
            <w:r>
              <w:rPr>
                <w:rFonts w:cs="Arial"/>
                <w:sz w:val="20"/>
                <w:szCs w:val="20"/>
              </w:rPr>
              <w:t xml:space="preserve"> places the duty on Member States to decide if any extra non-monetary benefits should be added to the list (article 11(3)(e)). Technical Advice suggested the EU draft a list of additional non-monetary benefits which should be added to the list, rather than deferring this question to the Member States.</w:t>
            </w:r>
          </w:p>
        </w:tc>
      </w:tr>
      <w:tr w:rsidR="009D560B" w:rsidTr="00861183">
        <w:trPr>
          <w:cantSplit/>
        </w:trPr>
        <w:tc>
          <w:tcPr>
            <w:tcW w:w="2518" w:type="dxa"/>
            <w:tcBorders>
              <w:top w:val="single" w:sz="4" w:space="0" w:color="auto"/>
              <w:left w:val="single" w:sz="4" w:space="0" w:color="auto"/>
              <w:bottom w:val="single" w:sz="18"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lastRenderedPageBreak/>
              <w:t>Paragraph 6</w:t>
            </w:r>
          </w:p>
        </w:tc>
        <w:tc>
          <w:tcPr>
            <w:tcW w:w="2693" w:type="dxa"/>
            <w:tcBorders>
              <w:top w:val="single" w:sz="4" w:space="0" w:color="auto"/>
              <w:left w:val="single" w:sz="4" w:space="0" w:color="auto"/>
              <w:bottom w:val="single" w:sz="18"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12(3) after bullet points, final paragraph</w:t>
            </w:r>
          </w:p>
        </w:tc>
        <w:tc>
          <w:tcPr>
            <w:tcW w:w="8931" w:type="dxa"/>
            <w:tcBorders>
              <w:top w:val="single" w:sz="4" w:space="0" w:color="auto"/>
              <w:left w:val="single" w:sz="4" w:space="0" w:color="auto"/>
              <w:bottom w:val="single" w:sz="18"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Delegated Directive adds reference to article 47(5)(a) to allow disclosure to clients of minor non-monetary benefits to be made in a generic way.</w:t>
            </w:r>
          </w:p>
        </w:tc>
      </w:tr>
      <w:tr w:rsidR="009D560B" w:rsidTr="00861183">
        <w:trPr>
          <w:cantSplit/>
        </w:trPr>
        <w:tc>
          <w:tcPr>
            <w:tcW w:w="2518" w:type="dxa"/>
            <w:tcBorders>
              <w:top w:val="single" w:sz="18"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7</w:t>
            </w:r>
          </w:p>
        </w:tc>
        <w:tc>
          <w:tcPr>
            <w:tcW w:w="2693" w:type="dxa"/>
            <w:tcBorders>
              <w:top w:val="single" w:sz="18"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13(1)</w:t>
            </w:r>
          </w:p>
        </w:tc>
        <w:tc>
          <w:tcPr>
            <w:tcW w:w="8931" w:type="dxa"/>
            <w:tcBorders>
              <w:top w:val="single" w:sz="18" w:space="0" w:color="auto"/>
              <w:left w:val="single" w:sz="4" w:space="0" w:color="auto"/>
              <w:bottom w:val="single" w:sz="4"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 xml:space="preserve">Delegated Directive places burden on Member State to ensure compliance with provisions of article. Removal of reference in (i) in Technical Advice to third parties being able to increase fees to reflect direct payments made by the investment firm. </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7 (e)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13(2)</w:t>
            </w:r>
          </w:p>
        </w:tc>
        <w:tc>
          <w:tcPr>
            <w:tcW w:w="8931" w:type="dxa"/>
            <w:tcBorders>
              <w:top w:val="single" w:sz="4" w:space="0" w:color="auto"/>
              <w:left w:val="single" w:sz="4" w:space="0" w:color="auto"/>
              <w:bottom w:val="single" w:sz="4"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Delegated Directive limits requirement on disclosure to situations where disclosure is requested by the client or a competent authority.</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8</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13(3)</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Minor amends.</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8? Suggests additional guidance would be useful</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13(4)-(8)</w:t>
            </w:r>
          </w:p>
        </w:tc>
        <w:tc>
          <w:tcPr>
            <w:tcW w:w="8931" w:type="dxa"/>
            <w:tcBorders>
              <w:top w:val="single" w:sz="4" w:space="0" w:color="auto"/>
              <w:left w:val="single" w:sz="4" w:space="0" w:color="auto"/>
              <w:bottom w:val="single" w:sz="4"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Article 13(5) – Delegated Directive relaxes the requirement on firms in advance of increases to the research budget. Technical Advice required written agreement, Delegated Directive only requires “</w:t>
            </w:r>
            <w:r>
              <w:rPr>
                <w:rFonts w:cs="Arial"/>
                <w:b/>
                <w:sz w:val="20"/>
                <w:szCs w:val="20"/>
              </w:rPr>
              <w:t>provision of clear information to clients about such intended increases</w:t>
            </w:r>
            <w:r>
              <w:rPr>
                <w:rFonts w:cs="Arial"/>
                <w:sz w:val="20"/>
                <w:szCs w:val="20"/>
              </w:rPr>
              <w:t>”.</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9</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13(9)?</w:t>
            </w:r>
          </w:p>
        </w:tc>
        <w:tc>
          <w:tcPr>
            <w:tcW w:w="8931" w:type="dxa"/>
            <w:tcBorders>
              <w:top w:val="single" w:sz="4" w:space="0" w:color="auto"/>
              <w:left w:val="single" w:sz="4" w:space="0" w:color="auto"/>
              <w:bottom w:val="single" w:sz="4"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Article 13(9) – Delegated Directive limits the requirement on firms providing execution services to provide separately identifiable charges for each benefit to situations involving another MiFID firm. This excludes non</w:t>
            </w:r>
            <w:r>
              <w:rPr>
                <w:rFonts w:cs="Arial"/>
                <w:sz w:val="20"/>
                <w:szCs w:val="20"/>
              </w:rPr>
              <w:softHyphen/>
              <w:t>-EU firms from the scope of this provision.</w:t>
            </w:r>
          </w:p>
        </w:tc>
      </w:tr>
      <w:tr w:rsidR="009D560B" w:rsidTr="00861183">
        <w:trPr>
          <w:cantSplit/>
        </w:trPr>
        <w:tc>
          <w:tcPr>
            <w:tcW w:w="2518" w:type="dxa"/>
            <w:tcBorders>
              <w:top w:val="single" w:sz="18"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10</w:t>
            </w:r>
          </w:p>
        </w:tc>
        <w:tc>
          <w:tcPr>
            <w:tcW w:w="2693" w:type="dxa"/>
            <w:tcBorders>
              <w:top w:val="single" w:sz="18"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11(1)</w:t>
            </w:r>
          </w:p>
        </w:tc>
        <w:tc>
          <w:tcPr>
            <w:tcW w:w="8931" w:type="dxa"/>
            <w:tcBorders>
              <w:top w:val="single" w:sz="18" w:space="0" w:color="auto"/>
              <w:left w:val="single" w:sz="4" w:space="0" w:color="auto"/>
              <w:bottom w:val="single" w:sz="4"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 xml:space="preserve">Delegated Directive removes reference to article 24(9) 2014/65/EU being applied on a case-by –case basis. Replaces it with requirement that the provisions in article 24(9) 2014/65/EU and the other provisions in article 11 apply </w:t>
            </w:r>
            <w:proofErr w:type="gramStart"/>
            <w:r>
              <w:rPr>
                <w:rFonts w:cs="Arial"/>
                <w:sz w:val="20"/>
                <w:szCs w:val="20"/>
              </w:rPr>
              <w:t>cumulatively, and</w:t>
            </w:r>
            <w:proofErr w:type="gramEnd"/>
            <w:r>
              <w:rPr>
                <w:rFonts w:cs="Arial"/>
                <w:sz w:val="20"/>
                <w:szCs w:val="20"/>
              </w:rPr>
              <w:t xml:space="preserve"> must be met at all times.</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11</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11(2)</w:t>
            </w:r>
          </w:p>
        </w:tc>
        <w:tc>
          <w:tcPr>
            <w:tcW w:w="8931" w:type="dxa"/>
            <w:tcBorders>
              <w:top w:val="single" w:sz="4" w:space="0" w:color="auto"/>
              <w:left w:val="single" w:sz="4" w:space="0" w:color="auto"/>
              <w:bottom w:val="single" w:sz="4"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 xml:space="preserve">Delegated Directive sets out more stringent criteria for Quality Enhancement. The Technical Advice required the inducements to be designed in line with the guidance. The Delegated Directive requires that </w:t>
            </w:r>
            <w:r>
              <w:rPr>
                <w:rFonts w:cs="Arial"/>
                <w:b/>
                <w:sz w:val="20"/>
                <w:szCs w:val="20"/>
              </w:rPr>
              <w:t>all</w:t>
            </w:r>
            <w:r>
              <w:rPr>
                <w:rFonts w:cs="Arial"/>
                <w:sz w:val="20"/>
                <w:szCs w:val="20"/>
              </w:rPr>
              <w:t xml:space="preserve"> the tests set out in the list are met, and that the quality enhancements test needs to continue for as long as the benefit is being received.</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11(2) wording after bullet point c</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 xml:space="preserve">Minor amends. </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lastRenderedPageBreak/>
              <w:t>Paragraph 13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 xml:space="preserve">Technical Advice set out that further guidance could be developed </w:t>
            </w:r>
            <w:proofErr w:type="gramStart"/>
            <w:r>
              <w:rPr>
                <w:rFonts w:cs="Arial"/>
                <w:sz w:val="20"/>
                <w:szCs w:val="20"/>
              </w:rPr>
              <w:t>at a later date</w:t>
            </w:r>
            <w:proofErr w:type="gramEnd"/>
            <w:r>
              <w:rPr>
                <w:rFonts w:cs="Arial"/>
                <w:sz w:val="20"/>
                <w:szCs w:val="20"/>
              </w:rPr>
              <w:t>.</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14</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11(3)</w:t>
            </w:r>
          </w:p>
        </w:tc>
        <w:tc>
          <w:tcPr>
            <w:tcW w:w="8931" w:type="dxa"/>
            <w:tcBorders>
              <w:top w:val="single" w:sz="4" w:space="0" w:color="auto"/>
              <w:left w:val="single" w:sz="4" w:space="0" w:color="auto"/>
              <w:bottom w:val="single" w:sz="4" w:space="0" w:color="auto"/>
              <w:right w:val="single" w:sz="4" w:space="0" w:color="auto"/>
            </w:tcBorders>
            <w:shd w:val="clear" w:color="auto" w:fill="FFC000"/>
            <w:hideMark/>
          </w:tcPr>
          <w:p w:rsidR="009D560B" w:rsidRDefault="009D560B">
            <w:pPr>
              <w:spacing w:after="120" w:line="280" w:lineRule="exact"/>
              <w:rPr>
                <w:rFonts w:cs="Arial"/>
                <w:sz w:val="20"/>
                <w:szCs w:val="20"/>
                <w:lang w:eastAsia="en-US"/>
              </w:rPr>
            </w:pPr>
            <w:r>
              <w:rPr>
                <w:rFonts w:cs="Arial"/>
                <w:sz w:val="20"/>
                <w:szCs w:val="20"/>
              </w:rPr>
              <w:t>Technical Advice was open about ongoing requirements, specifying only that firms should “maintain the enhance level of quality”. Delegated Directive requires that the provisions in article 11(2) continue to be met for as long as the payments are made or received.</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11(4) first paragraph and first (a)-(b)</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 xml:space="preserve">Minor amends. </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16</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 xml:space="preserve">Article 11(4) second set of bullet points </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Appear to all be minor amends.</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11(4) first paragraph under second set of bullet points</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Appear to all be minor amends.</w:t>
            </w:r>
          </w:p>
        </w:tc>
      </w:tr>
      <w:tr w:rsidR="009D560B" w:rsidTr="00861183">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t>Paragraph 18</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560B" w:rsidRDefault="009D560B">
            <w:pPr>
              <w:spacing w:line="280" w:lineRule="exact"/>
              <w:rPr>
                <w:rFonts w:cs="Arial"/>
                <w:sz w:val="20"/>
                <w:szCs w:val="20"/>
                <w:lang w:eastAsia="en-US"/>
              </w:rPr>
            </w:pPr>
            <w:r>
              <w:rPr>
                <w:rFonts w:cs="Arial"/>
                <w:sz w:val="20"/>
                <w:szCs w:val="20"/>
              </w:rPr>
              <w:t>Article 11(4) final paragraph</w:t>
            </w:r>
          </w:p>
        </w:tc>
        <w:tc>
          <w:tcPr>
            <w:tcW w:w="8931" w:type="dxa"/>
            <w:tcBorders>
              <w:top w:val="single" w:sz="4" w:space="0" w:color="auto"/>
              <w:left w:val="single" w:sz="4" w:space="0" w:color="auto"/>
              <w:bottom w:val="single" w:sz="4" w:space="0" w:color="auto"/>
              <w:right w:val="single" w:sz="4" w:space="0" w:color="auto"/>
            </w:tcBorders>
            <w:shd w:val="clear" w:color="auto" w:fill="92D050"/>
            <w:hideMark/>
          </w:tcPr>
          <w:p w:rsidR="009D560B" w:rsidRDefault="009D560B">
            <w:pPr>
              <w:spacing w:after="120" w:line="280" w:lineRule="exact"/>
              <w:rPr>
                <w:rFonts w:cs="Arial"/>
                <w:sz w:val="20"/>
                <w:szCs w:val="20"/>
                <w:lang w:eastAsia="en-US"/>
              </w:rPr>
            </w:pPr>
            <w:r>
              <w:rPr>
                <w:rFonts w:cs="Arial"/>
                <w:sz w:val="20"/>
                <w:szCs w:val="20"/>
              </w:rPr>
              <w:t>Minor amends.</w:t>
            </w:r>
          </w:p>
        </w:tc>
      </w:tr>
    </w:tbl>
    <w:p w:rsidR="002971A1" w:rsidRDefault="002971A1" w:rsidP="00B14584">
      <w:pPr>
        <w:rPr>
          <w:rFonts w:cs="Arial"/>
          <w:szCs w:val="20"/>
        </w:rPr>
      </w:pPr>
    </w:p>
    <w:tbl>
      <w:tblPr>
        <w:tblStyle w:val="TableGrid"/>
        <w:tblW w:w="0" w:type="auto"/>
        <w:tblLook w:val="04A0" w:firstRow="1" w:lastRow="0" w:firstColumn="1" w:lastColumn="0" w:noHBand="0" w:noVBand="1"/>
      </w:tblPr>
      <w:tblGrid>
        <w:gridCol w:w="2518"/>
        <w:gridCol w:w="2693"/>
        <w:gridCol w:w="8931"/>
      </w:tblGrid>
      <w:tr w:rsidR="002F329E" w:rsidRPr="002F329E" w:rsidTr="003965F7">
        <w:trPr>
          <w:tblHeader/>
        </w:trPr>
        <w:tc>
          <w:tcPr>
            <w:tcW w:w="2518"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D560B" w:rsidRPr="003965F7" w:rsidRDefault="009D560B">
            <w:pPr>
              <w:jc w:val="center"/>
              <w:rPr>
                <w:rFonts w:cs="Arial"/>
                <w:b/>
                <w:color w:val="FFFFFF" w:themeColor="background1"/>
                <w:sz w:val="20"/>
                <w:szCs w:val="20"/>
              </w:rPr>
            </w:pPr>
            <w:r w:rsidRPr="003965F7">
              <w:rPr>
                <w:rFonts w:cs="Arial"/>
                <w:b/>
                <w:color w:val="FFFFFF" w:themeColor="background1"/>
                <w:sz w:val="20"/>
                <w:szCs w:val="20"/>
              </w:rPr>
              <w:t>ESMA Technical Advice</w:t>
            </w:r>
          </w:p>
          <w:p w:rsidR="009D560B" w:rsidRPr="003965F7" w:rsidRDefault="009D560B">
            <w:pPr>
              <w:spacing w:after="120" w:line="280" w:lineRule="exact"/>
              <w:jc w:val="center"/>
              <w:rPr>
                <w:rFonts w:cs="Arial"/>
                <w:b/>
                <w:color w:val="FFFFFF" w:themeColor="background1"/>
                <w:sz w:val="20"/>
                <w:szCs w:val="20"/>
                <w:lang w:eastAsia="en-US"/>
              </w:rPr>
            </w:pPr>
            <w:r w:rsidRPr="003965F7">
              <w:rPr>
                <w:rFonts w:cs="Arial"/>
                <w:b/>
                <w:color w:val="FFFFFF" w:themeColor="background1"/>
                <w:sz w:val="20"/>
                <w:szCs w:val="20"/>
              </w:rPr>
              <w:t>Section 2.15 pages 138-143</w:t>
            </w:r>
          </w:p>
        </w:tc>
        <w:tc>
          <w:tcPr>
            <w:tcW w:w="2693"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D560B" w:rsidRPr="002F329E" w:rsidRDefault="009D560B">
            <w:pPr>
              <w:jc w:val="center"/>
              <w:rPr>
                <w:rFonts w:cs="Arial"/>
                <w:b/>
                <w:color w:val="FFFFFF" w:themeColor="background1"/>
                <w:sz w:val="20"/>
                <w:szCs w:val="20"/>
              </w:rPr>
            </w:pPr>
            <w:r w:rsidRPr="002F329E">
              <w:rPr>
                <w:rFonts w:cs="Arial"/>
                <w:b/>
                <w:color w:val="FFFFFF" w:themeColor="background1"/>
                <w:sz w:val="20"/>
                <w:szCs w:val="20"/>
              </w:rPr>
              <w:t>Commission Draft Delegated Regulation</w:t>
            </w:r>
          </w:p>
          <w:p w:rsidR="009D560B" w:rsidRPr="002F329E" w:rsidRDefault="009D560B">
            <w:pPr>
              <w:spacing w:line="280" w:lineRule="exact"/>
              <w:jc w:val="center"/>
              <w:rPr>
                <w:rFonts w:cs="Arial"/>
                <w:b/>
                <w:color w:val="FFFFFF" w:themeColor="background1"/>
                <w:sz w:val="20"/>
                <w:szCs w:val="20"/>
                <w:lang w:eastAsia="en-US"/>
              </w:rPr>
            </w:pPr>
            <w:r w:rsidRPr="002F329E">
              <w:rPr>
                <w:rFonts w:cs="Arial"/>
                <w:b/>
                <w:color w:val="FFFFFF" w:themeColor="background1"/>
                <w:sz w:val="20"/>
                <w:szCs w:val="20"/>
              </w:rPr>
              <w:t>Articles 36 - 37</w:t>
            </w:r>
          </w:p>
        </w:tc>
        <w:tc>
          <w:tcPr>
            <w:tcW w:w="8931"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D560B" w:rsidRPr="002F329E" w:rsidRDefault="009D560B">
            <w:pPr>
              <w:spacing w:line="280" w:lineRule="exact"/>
              <w:jc w:val="center"/>
              <w:rPr>
                <w:rFonts w:cs="Arial"/>
                <w:b/>
                <w:color w:val="FFFFFF" w:themeColor="background1"/>
                <w:sz w:val="20"/>
                <w:szCs w:val="20"/>
                <w:lang w:eastAsia="en-US"/>
              </w:rPr>
            </w:pPr>
            <w:r w:rsidRPr="002F329E">
              <w:rPr>
                <w:rFonts w:cs="Arial"/>
                <w:b/>
                <w:color w:val="FFFFFF" w:themeColor="background1"/>
                <w:sz w:val="20"/>
                <w:szCs w:val="20"/>
              </w:rPr>
              <w:t>Summary of Key Changes in Commission Draft Delegated Regulations</w:t>
            </w:r>
          </w:p>
        </w:tc>
      </w:tr>
      <w:tr w:rsidR="009D560B" w:rsidTr="00861183">
        <w:tc>
          <w:tcPr>
            <w:tcW w:w="2518" w:type="dxa"/>
            <w:tcBorders>
              <w:top w:val="single" w:sz="4" w:space="0" w:color="auto"/>
              <w:left w:val="single" w:sz="4" w:space="0" w:color="auto"/>
              <w:bottom w:val="single" w:sz="4" w:space="0" w:color="auto"/>
              <w:right w:val="single" w:sz="4" w:space="0" w:color="auto"/>
            </w:tcBorders>
            <w:shd w:val="clear" w:color="auto" w:fill="auto"/>
          </w:tcPr>
          <w:p w:rsidR="009D560B" w:rsidRPr="00861183" w:rsidRDefault="009D560B">
            <w:pPr>
              <w:spacing w:line="280" w:lineRule="exact"/>
              <w:rPr>
                <w:rFonts w:cs="Arial"/>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D560B" w:rsidRDefault="009D560B">
            <w:pPr>
              <w:spacing w:line="280" w:lineRule="exact"/>
              <w:rPr>
                <w:rFonts w:cs="Arial"/>
                <w:sz w:val="20"/>
                <w:szCs w:val="20"/>
                <w:lang w:eastAsia="en-US"/>
              </w:rPr>
            </w:pPr>
            <w:r>
              <w:rPr>
                <w:rFonts w:cs="Arial"/>
                <w:sz w:val="20"/>
                <w:szCs w:val="20"/>
              </w:rPr>
              <w:t>Article 36</w:t>
            </w:r>
          </w:p>
        </w:tc>
        <w:tc>
          <w:tcPr>
            <w:tcW w:w="8931" w:type="dxa"/>
            <w:tcBorders>
              <w:top w:val="single" w:sz="4" w:space="0" w:color="auto"/>
              <w:left w:val="single" w:sz="4" w:space="0" w:color="auto"/>
              <w:bottom w:val="single" w:sz="4" w:space="0" w:color="auto"/>
              <w:right w:val="single" w:sz="4" w:space="0" w:color="auto"/>
            </w:tcBorders>
          </w:tcPr>
          <w:p w:rsidR="009D560B" w:rsidRDefault="009D560B">
            <w:pPr>
              <w:spacing w:after="120"/>
              <w:rPr>
                <w:rFonts w:cs="Arial"/>
                <w:b/>
                <w:sz w:val="20"/>
                <w:szCs w:val="20"/>
              </w:rPr>
            </w:pPr>
            <w:r>
              <w:rPr>
                <w:rFonts w:cs="Arial"/>
                <w:b/>
                <w:sz w:val="20"/>
                <w:szCs w:val="20"/>
              </w:rPr>
              <w:t xml:space="preserve">New provision – deals with what is classified as investment research. Doesn’t add any requirements or obligations specifically relating to inducements. I have not reviewed whether it changes the scope of investment </w:t>
            </w:r>
            <w:proofErr w:type="gramStart"/>
            <w:r>
              <w:rPr>
                <w:rFonts w:cs="Arial"/>
                <w:b/>
                <w:sz w:val="20"/>
                <w:szCs w:val="20"/>
              </w:rPr>
              <w:t>research, or</w:t>
            </w:r>
            <w:proofErr w:type="gramEnd"/>
            <w:r>
              <w:rPr>
                <w:rFonts w:cs="Arial"/>
                <w:b/>
                <w:sz w:val="20"/>
                <w:szCs w:val="20"/>
              </w:rPr>
              <w:t xml:space="preserve"> compares it to previous definitions. </w:t>
            </w:r>
          </w:p>
          <w:p w:rsidR="009D560B" w:rsidRDefault="009D560B" w:rsidP="009D560B">
            <w:pPr>
              <w:pStyle w:val="Default"/>
              <w:numPr>
                <w:ilvl w:val="0"/>
                <w:numId w:val="30"/>
              </w:numPr>
              <w:jc w:val="both"/>
              <w:rPr>
                <w:rFonts w:ascii="Arial" w:hAnsi="Arial" w:cs="Arial"/>
                <w:color w:val="auto"/>
                <w:sz w:val="21"/>
                <w:szCs w:val="21"/>
              </w:rPr>
            </w:pPr>
            <w:r>
              <w:rPr>
                <w:rFonts w:ascii="Arial" w:hAnsi="Arial" w:cs="Arial"/>
                <w:sz w:val="21"/>
                <w:szCs w:val="21"/>
              </w:rPr>
              <w:t xml:space="preserve">For the purposes of Article 37 investment research shall be research or other information recommending or suggesting an investment strategy, explicitly or </w:t>
            </w:r>
            <w:r>
              <w:rPr>
                <w:rFonts w:ascii="Arial" w:hAnsi="Arial" w:cs="Arial"/>
                <w:color w:val="auto"/>
                <w:sz w:val="21"/>
                <w:szCs w:val="21"/>
              </w:rPr>
              <w:t xml:space="preserve">implicitly, concerning one or several financial instruments or the issuers of financial instruments, including any opinion as to the present or future value or price of such instruments, intended for distribution channels or for the public, and in relation to which the following conditions are met: </w:t>
            </w:r>
          </w:p>
          <w:p w:rsidR="009D560B" w:rsidRDefault="009D560B" w:rsidP="009D560B">
            <w:pPr>
              <w:pStyle w:val="Default"/>
              <w:numPr>
                <w:ilvl w:val="0"/>
                <w:numId w:val="31"/>
              </w:numPr>
              <w:spacing w:after="147"/>
              <w:jc w:val="both"/>
              <w:rPr>
                <w:rFonts w:ascii="Arial" w:hAnsi="Arial" w:cs="Arial"/>
                <w:color w:val="auto"/>
                <w:sz w:val="21"/>
                <w:szCs w:val="21"/>
              </w:rPr>
            </w:pPr>
            <w:r>
              <w:rPr>
                <w:rFonts w:ascii="Arial" w:hAnsi="Arial" w:cs="Arial"/>
                <w:color w:val="auto"/>
                <w:sz w:val="21"/>
                <w:szCs w:val="21"/>
              </w:rPr>
              <w:t xml:space="preserve">the research or information is labelled or described as investment research or in </w:t>
            </w:r>
            <w:r>
              <w:rPr>
                <w:rFonts w:ascii="Arial" w:hAnsi="Arial" w:cs="Arial"/>
                <w:color w:val="auto"/>
                <w:sz w:val="21"/>
                <w:szCs w:val="21"/>
              </w:rPr>
              <w:lastRenderedPageBreak/>
              <w:t xml:space="preserve">similar terms, or is otherwise presented as an objective or independent explanation of the matters contained in the recommendation; </w:t>
            </w:r>
          </w:p>
          <w:p w:rsidR="009D560B" w:rsidRDefault="009D560B" w:rsidP="009D560B">
            <w:pPr>
              <w:pStyle w:val="Default"/>
              <w:numPr>
                <w:ilvl w:val="0"/>
                <w:numId w:val="31"/>
              </w:numPr>
              <w:jc w:val="both"/>
              <w:rPr>
                <w:rFonts w:ascii="Arial" w:hAnsi="Arial" w:cs="Arial"/>
                <w:color w:val="auto"/>
                <w:sz w:val="21"/>
                <w:szCs w:val="21"/>
              </w:rPr>
            </w:pPr>
            <w:r>
              <w:rPr>
                <w:rFonts w:ascii="Arial" w:hAnsi="Arial" w:cs="Arial"/>
                <w:color w:val="auto"/>
                <w:sz w:val="21"/>
                <w:szCs w:val="21"/>
              </w:rPr>
              <w:t xml:space="preserve">if the recommendation in question were made by an investment firm to a client, it would not constitute the provision of investment advice for the purposes of Directive 2014/65/EU. </w:t>
            </w:r>
          </w:p>
          <w:p w:rsidR="009D560B" w:rsidRDefault="009D560B">
            <w:pPr>
              <w:pStyle w:val="Default"/>
              <w:jc w:val="both"/>
              <w:rPr>
                <w:rFonts w:ascii="Arial" w:hAnsi="Arial" w:cs="Arial"/>
                <w:color w:val="auto"/>
                <w:sz w:val="21"/>
                <w:szCs w:val="21"/>
              </w:rPr>
            </w:pPr>
          </w:p>
          <w:p w:rsidR="009D560B" w:rsidRDefault="009D560B" w:rsidP="009D560B">
            <w:pPr>
              <w:pStyle w:val="Default"/>
              <w:numPr>
                <w:ilvl w:val="0"/>
                <w:numId w:val="30"/>
              </w:numPr>
              <w:jc w:val="both"/>
              <w:rPr>
                <w:rFonts w:ascii="Arial" w:hAnsi="Arial" w:cs="Arial"/>
                <w:color w:val="auto"/>
                <w:sz w:val="21"/>
                <w:szCs w:val="21"/>
              </w:rPr>
            </w:pPr>
            <w:r>
              <w:rPr>
                <w:rFonts w:ascii="Arial" w:hAnsi="Arial" w:cs="Arial"/>
                <w:color w:val="auto"/>
                <w:sz w:val="21"/>
                <w:szCs w:val="21"/>
              </w:rPr>
              <w:t xml:space="preserve">A recommendation of the type covered by point (35) of Article 3(1) of Regulation (EU) 596/2014 that does not meet the conditions set out in paragraph 1 shall be treated as a marketing communication for the purposes of Directive 2014/65/EU and investment firms that produce or disseminate that recommendation shall ensure that it is clearly identified as such. </w:t>
            </w:r>
          </w:p>
          <w:p w:rsidR="009D560B" w:rsidRDefault="009D560B">
            <w:pPr>
              <w:pStyle w:val="Default"/>
              <w:ind w:left="360"/>
              <w:jc w:val="both"/>
              <w:rPr>
                <w:rFonts w:ascii="Arial" w:hAnsi="Arial" w:cs="Arial"/>
                <w:color w:val="auto"/>
                <w:sz w:val="21"/>
                <w:szCs w:val="21"/>
              </w:rPr>
            </w:pPr>
          </w:p>
          <w:p w:rsidR="009D560B" w:rsidRDefault="009D560B">
            <w:pPr>
              <w:pStyle w:val="Default"/>
              <w:ind w:left="360"/>
              <w:jc w:val="both"/>
              <w:rPr>
                <w:rFonts w:ascii="Arial" w:hAnsi="Arial" w:cs="Arial"/>
                <w:color w:val="auto"/>
                <w:sz w:val="21"/>
                <w:szCs w:val="21"/>
              </w:rPr>
            </w:pPr>
            <w:r>
              <w:rPr>
                <w:rFonts w:ascii="Arial" w:hAnsi="Arial" w:cs="Arial"/>
                <w:color w:val="auto"/>
                <w:sz w:val="21"/>
                <w:szCs w:val="21"/>
              </w:rPr>
              <w:t>Additionally, firms shall ensure that any such recommendation contains a clear and prominent statement that (or, in the case of an oral recommendation, to the effect that) it has not been prepared in accordance with legal requirements designed to promote the independence of investment research, and that it is not subject to any prohibition on dealing ahead of the dissemination of investment research.</w:t>
            </w:r>
          </w:p>
        </w:tc>
      </w:tr>
      <w:tr w:rsidR="009D560B" w:rsidTr="00861183">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D560B" w:rsidRPr="00861183" w:rsidRDefault="009D560B">
            <w:pPr>
              <w:spacing w:line="280" w:lineRule="exact"/>
              <w:rPr>
                <w:rFonts w:cs="Arial"/>
                <w:sz w:val="20"/>
                <w:szCs w:val="20"/>
                <w:lang w:eastAsia="en-US"/>
              </w:rPr>
            </w:pPr>
            <w:r w:rsidRPr="00861183">
              <w:rPr>
                <w:rFonts w:cs="Arial"/>
                <w:sz w:val="20"/>
                <w:szCs w:val="20"/>
              </w:rPr>
              <w:lastRenderedPageBreak/>
              <w:t>Paragraph 9</w:t>
            </w:r>
          </w:p>
        </w:tc>
        <w:tc>
          <w:tcPr>
            <w:tcW w:w="2693" w:type="dxa"/>
            <w:tcBorders>
              <w:top w:val="single" w:sz="4" w:space="0" w:color="auto"/>
              <w:left w:val="single" w:sz="4" w:space="0" w:color="auto"/>
              <w:bottom w:val="single" w:sz="4" w:space="0" w:color="auto"/>
              <w:right w:val="single" w:sz="4" w:space="0" w:color="auto"/>
            </w:tcBorders>
            <w:hideMark/>
          </w:tcPr>
          <w:p w:rsidR="009D560B" w:rsidRDefault="009D560B">
            <w:pPr>
              <w:spacing w:line="280" w:lineRule="exact"/>
              <w:rPr>
                <w:rFonts w:cs="Arial"/>
                <w:sz w:val="20"/>
                <w:szCs w:val="20"/>
                <w:lang w:eastAsia="en-US"/>
              </w:rPr>
            </w:pPr>
            <w:r>
              <w:rPr>
                <w:rFonts w:cs="Arial"/>
                <w:sz w:val="20"/>
                <w:szCs w:val="20"/>
              </w:rPr>
              <w:t>Article 37</w:t>
            </w:r>
          </w:p>
        </w:tc>
        <w:tc>
          <w:tcPr>
            <w:tcW w:w="8931" w:type="dxa"/>
            <w:tcBorders>
              <w:top w:val="single" w:sz="4" w:space="0" w:color="auto"/>
              <w:left w:val="single" w:sz="4" w:space="0" w:color="auto"/>
              <w:bottom w:val="single" w:sz="4" w:space="0" w:color="auto"/>
              <w:right w:val="single" w:sz="4" w:space="0" w:color="auto"/>
            </w:tcBorders>
          </w:tcPr>
          <w:p w:rsidR="009D560B" w:rsidRDefault="009D560B">
            <w:pPr>
              <w:spacing w:after="120"/>
              <w:rPr>
                <w:rFonts w:cs="Arial"/>
                <w:b/>
                <w:sz w:val="20"/>
                <w:szCs w:val="20"/>
              </w:rPr>
            </w:pPr>
            <w:r>
              <w:rPr>
                <w:rFonts w:cs="Arial"/>
                <w:b/>
                <w:sz w:val="20"/>
                <w:szCs w:val="20"/>
              </w:rPr>
              <w:t xml:space="preserve">New provision. Deals with how investment research should be conducted and produced. Not related to payment or bias arising from the investment research. It seems to focus on conflicts of interest / management of the research. </w:t>
            </w:r>
          </w:p>
          <w:p w:rsidR="009D560B" w:rsidRDefault="009D560B" w:rsidP="009D560B">
            <w:pPr>
              <w:pStyle w:val="Default"/>
              <w:numPr>
                <w:ilvl w:val="0"/>
                <w:numId w:val="32"/>
              </w:numPr>
              <w:jc w:val="both"/>
              <w:rPr>
                <w:rFonts w:ascii="Arial" w:hAnsi="Arial" w:cs="Arial"/>
                <w:sz w:val="21"/>
                <w:szCs w:val="21"/>
              </w:rPr>
            </w:pPr>
            <w:r>
              <w:rPr>
                <w:rFonts w:ascii="Arial" w:hAnsi="Arial" w:cs="Arial"/>
                <w:sz w:val="21"/>
                <w:szCs w:val="21"/>
              </w:rPr>
              <w:t xml:space="preserve">Investment firms which produce, or arrange for the production of, investment research that is intended or likely to be subsequently disseminated to clients of the firm or to the public, under their own responsibility or that of a member of their group, shall ensure the implementation of all the measures set out in Article 34(3) in relation to the financial analysts involved in the production of the investment research and other relevant persons whose responsibilities or business interests may conflict with the interests of the persons to whom the investment research is disseminated. </w:t>
            </w:r>
          </w:p>
          <w:p w:rsidR="009D560B" w:rsidRDefault="009D560B">
            <w:pPr>
              <w:pStyle w:val="Default"/>
              <w:ind w:left="360"/>
              <w:jc w:val="both"/>
              <w:rPr>
                <w:rFonts w:ascii="Arial" w:hAnsi="Arial" w:cs="Arial"/>
                <w:sz w:val="21"/>
                <w:szCs w:val="21"/>
              </w:rPr>
            </w:pPr>
          </w:p>
          <w:p w:rsidR="009D560B" w:rsidRDefault="009D560B">
            <w:pPr>
              <w:pStyle w:val="Default"/>
              <w:ind w:left="360"/>
              <w:jc w:val="both"/>
              <w:rPr>
                <w:rFonts w:ascii="Arial" w:hAnsi="Arial" w:cs="Arial"/>
                <w:sz w:val="21"/>
                <w:szCs w:val="21"/>
              </w:rPr>
            </w:pPr>
            <w:r>
              <w:rPr>
                <w:rFonts w:ascii="Arial" w:hAnsi="Arial" w:cs="Arial"/>
                <w:sz w:val="21"/>
                <w:szCs w:val="21"/>
              </w:rPr>
              <w:t xml:space="preserve">The obligations in the first subparagraph shall also apply in relation to recommendations referred to in Article 36(2). </w:t>
            </w:r>
          </w:p>
          <w:p w:rsidR="009D560B" w:rsidRDefault="009D560B">
            <w:pPr>
              <w:pStyle w:val="Default"/>
              <w:ind w:left="360"/>
              <w:jc w:val="both"/>
              <w:rPr>
                <w:rFonts w:ascii="Arial" w:hAnsi="Arial" w:cs="Arial"/>
                <w:sz w:val="21"/>
                <w:szCs w:val="21"/>
              </w:rPr>
            </w:pPr>
          </w:p>
          <w:p w:rsidR="009D560B" w:rsidRDefault="009D560B" w:rsidP="009D560B">
            <w:pPr>
              <w:pStyle w:val="Default"/>
              <w:numPr>
                <w:ilvl w:val="0"/>
                <w:numId w:val="32"/>
              </w:numPr>
              <w:jc w:val="both"/>
              <w:rPr>
                <w:rFonts w:ascii="Arial" w:hAnsi="Arial" w:cs="Arial"/>
                <w:sz w:val="21"/>
                <w:szCs w:val="21"/>
              </w:rPr>
            </w:pPr>
            <w:r>
              <w:rPr>
                <w:rFonts w:ascii="Arial" w:hAnsi="Arial" w:cs="Arial"/>
                <w:sz w:val="21"/>
                <w:szCs w:val="21"/>
              </w:rPr>
              <w:t xml:space="preserve">Investment firms referred to in the first subparagraph of paragraph 1 shall have in place arrangements designed to ensure that the following conditions are satisfied: </w:t>
            </w:r>
          </w:p>
          <w:p w:rsidR="009D560B" w:rsidRDefault="009D560B" w:rsidP="009D560B">
            <w:pPr>
              <w:pStyle w:val="Default"/>
              <w:numPr>
                <w:ilvl w:val="0"/>
                <w:numId w:val="33"/>
              </w:numPr>
              <w:jc w:val="both"/>
              <w:rPr>
                <w:rFonts w:ascii="Arial" w:hAnsi="Arial" w:cs="Arial"/>
                <w:sz w:val="21"/>
                <w:szCs w:val="21"/>
              </w:rPr>
            </w:pPr>
            <w:r>
              <w:rPr>
                <w:rFonts w:ascii="Arial" w:hAnsi="Arial" w:cs="Arial"/>
                <w:sz w:val="21"/>
                <w:szCs w:val="21"/>
              </w:rPr>
              <w:t xml:space="preserve">financial analysts and other relevant persons do not undertake personal transactions or trade, other than as market makers acting in good faith and in the ordinary course of market making or in the execution of an unsolicited client order, on behalf of any other person, including the investment firm, in financial instruments to which investment research relates, or in any related financial instruments, with knowledge of the likely timing or content of that investment research which is not publicly available or available to clients and cannot readily be inferred from information that is so available, until the recipients of the investment research have had a reasonable opportunity to act on it; </w:t>
            </w:r>
          </w:p>
          <w:p w:rsidR="009D560B" w:rsidRDefault="009D560B">
            <w:pPr>
              <w:pStyle w:val="Default"/>
              <w:ind w:left="720"/>
              <w:jc w:val="both"/>
              <w:rPr>
                <w:rFonts w:ascii="Arial" w:hAnsi="Arial" w:cs="Arial"/>
                <w:sz w:val="21"/>
                <w:szCs w:val="21"/>
              </w:rPr>
            </w:pPr>
          </w:p>
          <w:p w:rsidR="009D560B" w:rsidRDefault="009D560B" w:rsidP="009D560B">
            <w:pPr>
              <w:pStyle w:val="Default"/>
              <w:numPr>
                <w:ilvl w:val="0"/>
                <w:numId w:val="33"/>
              </w:numPr>
              <w:spacing w:after="148"/>
              <w:jc w:val="both"/>
              <w:rPr>
                <w:rFonts w:ascii="Arial" w:hAnsi="Arial" w:cs="Arial"/>
                <w:color w:val="auto"/>
                <w:sz w:val="21"/>
                <w:szCs w:val="21"/>
              </w:rPr>
            </w:pPr>
            <w:r>
              <w:rPr>
                <w:rFonts w:ascii="Arial" w:hAnsi="Arial" w:cs="Arial"/>
                <w:color w:val="auto"/>
                <w:sz w:val="21"/>
                <w:szCs w:val="21"/>
              </w:rPr>
              <w:t xml:space="preserve">in circumstances not covered by point (a), financial analysts and any other relevant persons involved in the production of investment research do not undertake personal transactions in financial instruments to which the investment research relates, or in any related financial instruments, contrary to current recommendations, except in exceptional circumstances and with the prior approval of a member of the firm's legal or compliance function; </w:t>
            </w:r>
          </w:p>
          <w:p w:rsidR="009D560B" w:rsidRDefault="009D560B" w:rsidP="009D560B">
            <w:pPr>
              <w:pStyle w:val="Default"/>
              <w:numPr>
                <w:ilvl w:val="0"/>
                <w:numId w:val="33"/>
              </w:numPr>
              <w:spacing w:after="148"/>
              <w:jc w:val="both"/>
              <w:rPr>
                <w:rFonts w:ascii="Arial" w:hAnsi="Arial" w:cs="Arial"/>
                <w:color w:val="auto"/>
                <w:sz w:val="21"/>
                <w:szCs w:val="21"/>
              </w:rPr>
            </w:pPr>
            <w:r>
              <w:rPr>
                <w:rFonts w:ascii="Arial" w:hAnsi="Arial" w:cs="Arial"/>
                <w:color w:val="auto"/>
                <w:sz w:val="21"/>
                <w:szCs w:val="21"/>
              </w:rPr>
              <w:t xml:space="preserve">a physical separation exists between the financial analysts involved in the production of investment research and other relevant persons whose responsibilities or business interests may conflict with the interests of the persons to whom the investment research is disseminated or, when considered not appropriate to the size and organisation of the firm as well as the nature, scale and complexity of its business, the establishment and implementation of appropriate alternative information barriers; </w:t>
            </w:r>
          </w:p>
          <w:p w:rsidR="009D560B" w:rsidRDefault="009D560B" w:rsidP="009D560B">
            <w:pPr>
              <w:pStyle w:val="Default"/>
              <w:numPr>
                <w:ilvl w:val="0"/>
                <w:numId w:val="33"/>
              </w:numPr>
              <w:spacing w:after="148"/>
              <w:jc w:val="both"/>
              <w:rPr>
                <w:rFonts w:ascii="Arial" w:hAnsi="Arial" w:cs="Arial"/>
                <w:color w:val="auto"/>
                <w:sz w:val="21"/>
                <w:szCs w:val="21"/>
              </w:rPr>
            </w:pPr>
            <w:r>
              <w:rPr>
                <w:rFonts w:ascii="Arial" w:hAnsi="Arial" w:cs="Arial"/>
                <w:color w:val="auto"/>
                <w:sz w:val="21"/>
                <w:szCs w:val="21"/>
              </w:rPr>
              <w:t xml:space="preserve">the investment firms themselves, financial analysts, and other relevant persons involved in the production of the investment research do not accept inducements from those with a material interest in the subject-matter of the investment research; </w:t>
            </w:r>
          </w:p>
          <w:p w:rsidR="009D560B" w:rsidRDefault="009D560B" w:rsidP="009D560B">
            <w:pPr>
              <w:pStyle w:val="Default"/>
              <w:numPr>
                <w:ilvl w:val="0"/>
                <w:numId w:val="33"/>
              </w:numPr>
              <w:spacing w:after="148"/>
              <w:jc w:val="both"/>
              <w:rPr>
                <w:rFonts w:ascii="Arial" w:hAnsi="Arial" w:cs="Arial"/>
                <w:color w:val="auto"/>
                <w:sz w:val="21"/>
                <w:szCs w:val="21"/>
              </w:rPr>
            </w:pPr>
            <w:r>
              <w:rPr>
                <w:rFonts w:ascii="Arial" w:hAnsi="Arial" w:cs="Arial"/>
                <w:color w:val="auto"/>
                <w:sz w:val="21"/>
                <w:szCs w:val="21"/>
              </w:rPr>
              <w:t xml:space="preserve">the investment firms themselves, financial analysts, and other relevant persons involved in the production of the investment research do not promise issuers </w:t>
            </w:r>
            <w:r>
              <w:rPr>
                <w:rFonts w:ascii="Arial" w:hAnsi="Arial" w:cs="Arial"/>
                <w:color w:val="auto"/>
                <w:sz w:val="21"/>
                <w:szCs w:val="21"/>
              </w:rPr>
              <w:lastRenderedPageBreak/>
              <w:t xml:space="preserve">favourable research coverage; </w:t>
            </w:r>
          </w:p>
          <w:p w:rsidR="009D560B" w:rsidRDefault="009D560B" w:rsidP="009D560B">
            <w:pPr>
              <w:pStyle w:val="Default"/>
              <w:numPr>
                <w:ilvl w:val="0"/>
                <w:numId w:val="33"/>
              </w:numPr>
              <w:jc w:val="both"/>
              <w:rPr>
                <w:rFonts w:ascii="Arial" w:hAnsi="Arial" w:cs="Arial"/>
                <w:color w:val="auto"/>
                <w:sz w:val="21"/>
                <w:szCs w:val="21"/>
              </w:rPr>
            </w:pPr>
            <w:r>
              <w:rPr>
                <w:rFonts w:ascii="Arial" w:hAnsi="Arial" w:cs="Arial"/>
                <w:color w:val="auto"/>
                <w:sz w:val="21"/>
                <w:szCs w:val="21"/>
              </w:rPr>
              <w:t xml:space="preserve">before the dissemination of investment research issuers, relevant persons other than financial analysts, and any other persons are not permitted to review a draft of the investment research </w:t>
            </w:r>
            <w:proofErr w:type="gramStart"/>
            <w:r>
              <w:rPr>
                <w:rFonts w:ascii="Arial" w:hAnsi="Arial" w:cs="Arial"/>
                <w:color w:val="auto"/>
                <w:sz w:val="21"/>
                <w:szCs w:val="21"/>
              </w:rPr>
              <w:t>for the purpose of</w:t>
            </w:r>
            <w:proofErr w:type="gramEnd"/>
            <w:r>
              <w:rPr>
                <w:rFonts w:ascii="Arial" w:hAnsi="Arial" w:cs="Arial"/>
                <w:color w:val="auto"/>
                <w:sz w:val="21"/>
                <w:szCs w:val="21"/>
              </w:rPr>
              <w:t xml:space="preserve"> verifying the accuracy of factual statements made in that research, or for any purpose other than verifying compliance with the firm's legal obligations, where the draft includes a recommendation or a target price. </w:t>
            </w:r>
          </w:p>
          <w:p w:rsidR="009D560B" w:rsidRDefault="009D560B">
            <w:pPr>
              <w:pStyle w:val="Default"/>
              <w:ind w:left="720"/>
              <w:jc w:val="both"/>
              <w:rPr>
                <w:rFonts w:ascii="Arial" w:hAnsi="Arial" w:cs="Arial"/>
                <w:color w:val="auto"/>
                <w:sz w:val="21"/>
                <w:szCs w:val="21"/>
              </w:rPr>
            </w:pPr>
          </w:p>
          <w:p w:rsidR="009D560B" w:rsidRDefault="009D560B">
            <w:pPr>
              <w:pStyle w:val="Default"/>
              <w:ind w:left="720"/>
              <w:jc w:val="both"/>
              <w:rPr>
                <w:rFonts w:ascii="Arial" w:hAnsi="Arial" w:cs="Arial"/>
                <w:color w:val="auto"/>
                <w:sz w:val="21"/>
                <w:szCs w:val="21"/>
              </w:rPr>
            </w:pPr>
            <w:r>
              <w:rPr>
                <w:rFonts w:ascii="Arial" w:hAnsi="Arial" w:cs="Arial"/>
                <w:color w:val="auto"/>
                <w:sz w:val="21"/>
                <w:szCs w:val="21"/>
              </w:rPr>
              <w:t xml:space="preserve">For the purposes of this paragraph, ‘related financial instrument’ shall be any financial instrument the price of which is closely affected by price movements in another financial instrument which is the subject of investment </w:t>
            </w:r>
            <w:proofErr w:type="gramStart"/>
            <w:r>
              <w:rPr>
                <w:rFonts w:ascii="Arial" w:hAnsi="Arial" w:cs="Arial"/>
                <w:color w:val="auto"/>
                <w:sz w:val="21"/>
                <w:szCs w:val="21"/>
              </w:rPr>
              <w:t>research, and</w:t>
            </w:r>
            <w:proofErr w:type="gramEnd"/>
            <w:r>
              <w:rPr>
                <w:rFonts w:ascii="Arial" w:hAnsi="Arial" w:cs="Arial"/>
                <w:color w:val="auto"/>
                <w:sz w:val="21"/>
                <w:szCs w:val="21"/>
              </w:rPr>
              <w:t xml:space="preserve"> includes a derivative on that other financial instrument. </w:t>
            </w:r>
          </w:p>
          <w:p w:rsidR="009D560B" w:rsidRDefault="009D560B" w:rsidP="009D560B">
            <w:pPr>
              <w:pStyle w:val="Default"/>
              <w:numPr>
                <w:ilvl w:val="0"/>
                <w:numId w:val="32"/>
              </w:numPr>
              <w:jc w:val="both"/>
              <w:rPr>
                <w:rFonts w:ascii="Arial" w:hAnsi="Arial" w:cs="Arial"/>
                <w:color w:val="auto"/>
                <w:sz w:val="21"/>
                <w:szCs w:val="21"/>
              </w:rPr>
            </w:pPr>
            <w:r>
              <w:rPr>
                <w:rFonts w:ascii="Arial" w:hAnsi="Arial" w:cs="Arial"/>
                <w:color w:val="auto"/>
                <w:sz w:val="21"/>
                <w:szCs w:val="21"/>
              </w:rPr>
              <w:t xml:space="preserve">Investment firms which disseminate investment research produced by another person to the public or to clients shall be exempt from complying with paragraph 1 if the following criteria are met: </w:t>
            </w:r>
          </w:p>
          <w:p w:rsidR="009D560B" w:rsidRDefault="009D560B" w:rsidP="009D560B">
            <w:pPr>
              <w:pStyle w:val="Default"/>
              <w:numPr>
                <w:ilvl w:val="0"/>
                <w:numId w:val="34"/>
              </w:numPr>
              <w:spacing w:after="147"/>
              <w:jc w:val="both"/>
              <w:rPr>
                <w:rFonts w:ascii="Arial" w:hAnsi="Arial" w:cs="Arial"/>
                <w:color w:val="auto"/>
                <w:sz w:val="21"/>
                <w:szCs w:val="21"/>
              </w:rPr>
            </w:pPr>
            <w:r>
              <w:rPr>
                <w:rFonts w:ascii="Arial" w:hAnsi="Arial" w:cs="Arial"/>
                <w:color w:val="auto"/>
                <w:sz w:val="21"/>
                <w:szCs w:val="21"/>
              </w:rPr>
              <w:t xml:space="preserve">the person that produces the investment research is not a member of the group to which the investment firm belongs; </w:t>
            </w:r>
          </w:p>
          <w:p w:rsidR="009D560B" w:rsidRDefault="009D560B" w:rsidP="009D560B">
            <w:pPr>
              <w:pStyle w:val="Default"/>
              <w:numPr>
                <w:ilvl w:val="0"/>
                <w:numId w:val="34"/>
              </w:numPr>
              <w:spacing w:after="147"/>
              <w:jc w:val="both"/>
              <w:rPr>
                <w:rFonts w:ascii="Arial" w:hAnsi="Arial" w:cs="Arial"/>
                <w:color w:val="auto"/>
                <w:sz w:val="21"/>
                <w:szCs w:val="21"/>
              </w:rPr>
            </w:pPr>
            <w:r>
              <w:rPr>
                <w:rFonts w:ascii="Arial" w:hAnsi="Arial" w:cs="Arial"/>
                <w:color w:val="auto"/>
                <w:sz w:val="21"/>
                <w:szCs w:val="21"/>
              </w:rPr>
              <w:t xml:space="preserve">the investment firm does not substantially alter the recommendations within the investment research; </w:t>
            </w:r>
          </w:p>
          <w:p w:rsidR="009D560B" w:rsidRDefault="009D560B" w:rsidP="009D560B">
            <w:pPr>
              <w:pStyle w:val="Default"/>
              <w:numPr>
                <w:ilvl w:val="0"/>
                <w:numId w:val="34"/>
              </w:numPr>
              <w:spacing w:after="147"/>
              <w:jc w:val="both"/>
              <w:rPr>
                <w:rFonts w:ascii="Arial" w:hAnsi="Arial" w:cs="Arial"/>
                <w:color w:val="auto"/>
                <w:sz w:val="21"/>
                <w:szCs w:val="21"/>
              </w:rPr>
            </w:pPr>
            <w:r>
              <w:rPr>
                <w:rFonts w:ascii="Arial" w:hAnsi="Arial" w:cs="Arial"/>
                <w:color w:val="auto"/>
                <w:sz w:val="21"/>
                <w:szCs w:val="21"/>
              </w:rPr>
              <w:t xml:space="preserve">the investment firm does not present the investment research as having been produced by it; </w:t>
            </w:r>
          </w:p>
          <w:p w:rsidR="009D560B" w:rsidRDefault="009D560B" w:rsidP="009D560B">
            <w:pPr>
              <w:pStyle w:val="Default"/>
              <w:numPr>
                <w:ilvl w:val="0"/>
                <w:numId w:val="34"/>
              </w:numPr>
              <w:jc w:val="both"/>
              <w:rPr>
                <w:rFonts w:ascii="Arial" w:hAnsi="Arial" w:cs="Arial"/>
                <w:color w:val="auto"/>
                <w:sz w:val="21"/>
                <w:szCs w:val="21"/>
              </w:rPr>
            </w:pPr>
            <w:r>
              <w:rPr>
                <w:rFonts w:ascii="Arial" w:hAnsi="Arial" w:cs="Arial"/>
                <w:color w:val="auto"/>
                <w:sz w:val="21"/>
                <w:szCs w:val="21"/>
              </w:rPr>
              <w:t xml:space="preserve">the investment firm verifies that the producer of the research is subject to requirements equivalent to the requirements under this Regulation in relation to the production of that </w:t>
            </w:r>
            <w:proofErr w:type="gramStart"/>
            <w:r>
              <w:rPr>
                <w:rFonts w:ascii="Arial" w:hAnsi="Arial" w:cs="Arial"/>
                <w:color w:val="auto"/>
                <w:sz w:val="21"/>
                <w:szCs w:val="21"/>
              </w:rPr>
              <w:t>research, or</w:t>
            </w:r>
            <w:proofErr w:type="gramEnd"/>
            <w:r>
              <w:rPr>
                <w:rFonts w:ascii="Arial" w:hAnsi="Arial" w:cs="Arial"/>
                <w:color w:val="auto"/>
                <w:sz w:val="21"/>
                <w:szCs w:val="21"/>
              </w:rPr>
              <w:t xml:space="preserve"> has established a policy setting such requirements. </w:t>
            </w:r>
          </w:p>
          <w:p w:rsidR="009D560B" w:rsidRDefault="009D560B">
            <w:pPr>
              <w:pStyle w:val="Default"/>
              <w:jc w:val="both"/>
              <w:rPr>
                <w:rFonts w:ascii="Arial" w:hAnsi="Arial" w:cs="Arial"/>
                <w:color w:val="auto"/>
                <w:sz w:val="21"/>
                <w:szCs w:val="21"/>
              </w:rPr>
            </w:pPr>
            <w:r>
              <w:rPr>
                <w:rFonts w:ascii="Arial" w:hAnsi="Arial" w:cs="Arial"/>
                <w:color w:val="auto"/>
                <w:sz w:val="21"/>
                <w:szCs w:val="21"/>
              </w:rPr>
              <w:t xml:space="preserve"> </w:t>
            </w:r>
          </w:p>
        </w:tc>
      </w:tr>
    </w:tbl>
    <w:p w:rsidR="009D560B" w:rsidRPr="001E0645" w:rsidRDefault="009D560B" w:rsidP="00B14584">
      <w:pPr>
        <w:rPr>
          <w:rFonts w:cs="Arial"/>
          <w:szCs w:val="20"/>
        </w:rPr>
      </w:pPr>
    </w:p>
    <w:p w:rsidR="002971A1" w:rsidRPr="001E0645" w:rsidRDefault="002971A1">
      <w:pPr>
        <w:rPr>
          <w:rFonts w:cs="Arial"/>
          <w:szCs w:val="20"/>
        </w:rPr>
      </w:pPr>
    </w:p>
    <w:p w:rsidR="00990647" w:rsidRDefault="00990647">
      <w:pPr>
        <w:spacing w:after="200" w:line="276" w:lineRule="auto"/>
        <w:rPr>
          <w:rFonts w:cs="Arial"/>
          <w:szCs w:val="20"/>
        </w:rPr>
        <w:sectPr w:rsidR="00990647" w:rsidSect="00CB058A">
          <w:headerReference w:type="default" r:id="rId11"/>
          <w:footerReference w:type="default" r:id="rId12"/>
          <w:pgSz w:w="16838" w:h="11906" w:orient="landscape" w:code="9"/>
          <w:pgMar w:top="1418" w:right="1418" w:bottom="1418" w:left="1418" w:header="709" w:footer="709" w:gutter="0"/>
          <w:cols w:space="708"/>
          <w:docGrid w:linePitch="360"/>
        </w:sectPr>
      </w:pPr>
    </w:p>
    <w:p w:rsidR="002971A1" w:rsidRDefault="002971A1" w:rsidP="00C93736">
      <w:pPr>
        <w:pStyle w:val="ssPara1"/>
        <w:jc w:val="center"/>
        <w:rPr>
          <w:szCs w:val="20"/>
        </w:rPr>
      </w:pPr>
    </w:p>
    <w:p w:rsidR="00D6774D" w:rsidRPr="00D6774D" w:rsidRDefault="00D6774D" w:rsidP="00D6774D">
      <w:pPr>
        <w:pStyle w:val="ssPara1"/>
        <w:jc w:val="left"/>
        <w:rPr>
          <w:b/>
        </w:rPr>
      </w:pPr>
      <w:r w:rsidRPr="00D6774D">
        <w:rPr>
          <w:b/>
        </w:rPr>
        <w:t>Technical Advice – pg 139-143</w:t>
      </w:r>
    </w:p>
    <w:p w:rsidR="00D6774D" w:rsidRPr="00D6774D" w:rsidRDefault="00D6774D" w:rsidP="00D6774D">
      <w:pPr>
        <w:pStyle w:val="ssPara1"/>
        <w:jc w:val="left"/>
        <w:rPr>
          <w:b/>
        </w:rPr>
      </w:pPr>
      <w:r w:rsidRPr="00D6774D">
        <w:rPr>
          <w:b/>
        </w:rPr>
        <w:t xml:space="preserve">Accept and not retain third party payments </w:t>
      </w:r>
    </w:p>
    <w:p w:rsidR="00D6774D" w:rsidRDefault="00D6774D" w:rsidP="00D6774D">
      <w:pPr>
        <w:pStyle w:val="ssPara1"/>
        <w:ind w:left="720" w:hanging="720"/>
        <w:jc w:val="left"/>
      </w:pPr>
      <w:r>
        <w:t xml:space="preserve">1. </w:t>
      </w:r>
      <w:r>
        <w:tab/>
        <w:t xml:space="preserve">Independent investment advisers and portfolio managers must return to clients any monetary </w:t>
      </w:r>
      <w:proofErr w:type="gramStart"/>
      <w:r>
        <w:t>third party</w:t>
      </w:r>
      <w:proofErr w:type="gramEnd"/>
      <w:r>
        <w:t xml:space="preserve"> payments received in relation to the services provided to that client as soon as possible after receipt by transferring the monies received to the client money account. The obligation to pass on the monetary benefits should comprise all sums the investment firm receives from third parties in relation to the provision of independent investment advice and portfolio management. The requirement to pass on such monies should not contain a specific timeframe, since third party payments can be received by the investment firm at various points in time and for several clients at once. It is the responsibility of the investment firm to ensure that any such payments received are passed on to the client as soon as reasonably possible. In this context, investment firms should be required to set up a policy to ensure that third party payments received are allocated and transferred to </w:t>
      </w:r>
      <w:proofErr w:type="gramStart"/>
      <w:r>
        <w:t>the each</w:t>
      </w:r>
      <w:proofErr w:type="gramEnd"/>
      <w:r>
        <w:t xml:space="preserve"> individual client as part of the organisational requirements under Article 16 of MiFID II. </w:t>
      </w:r>
    </w:p>
    <w:p w:rsidR="00D6774D" w:rsidRDefault="00D6774D" w:rsidP="00D6774D">
      <w:pPr>
        <w:pStyle w:val="ssPara1"/>
        <w:ind w:left="720" w:hanging="720"/>
        <w:jc w:val="left"/>
      </w:pPr>
      <w:r>
        <w:t xml:space="preserve">2. </w:t>
      </w:r>
      <w:r>
        <w:tab/>
        <w:t xml:space="preserve">Clients should be informed about the monetary amounts transferred to them though regular bank account statements for their money account. Additional reporting requirements by investment firms can be kept to a minimum. By requiring independent investment advisers and portfolio managers to inform a client about the total amount of </w:t>
      </w:r>
      <w:proofErr w:type="gramStart"/>
      <w:r>
        <w:t>third party</w:t>
      </w:r>
      <w:proofErr w:type="gramEnd"/>
      <w:r>
        <w:t xml:space="preserve"> payments received and passed on to the client as part of the regular periodic reporting statements provided to the client, the client will have a comprehensive overview of the relevant information in respect of the services provided to him. </w:t>
      </w:r>
    </w:p>
    <w:p w:rsidR="00D6774D" w:rsidRDefault="00D6774D" w:rsidP="00D6774D">
      <w:pPr>
        <w:pStyle w:val="ssPara1"/>
        <w:ind w:left="720" w:hanging="720"/>
        <w:jc w:val="left"/>
      </w:pPr>
      <w:r>
        <w:t xml:space="preserve">3. </w:t>
      </w:r>
      <w:r>
        <w:tab/>
        <w:t xml:space="preserve">Investment firms providing the service of independent investment advice and portfolio management are not allowed to receive non-monetary benefits that do not qualify as minor. </w:t>
      </w:r>
    </w:p>
    <w:p w:rsidR="00D6774D" w:rsidRPr="00D6774D" w:rsidRDefault="00D6774D" w:rsidP="00D6774D">
      <w:pPr>
        <w:pStyle w:val="ssPara1"/>
        <w:ind w:left="720" w:hanging="720"/>
        <w:jc w:val="left"/>
        <w:rPr>
          <w:b/>
        </w:rPr>
      </w:pPr>
      <w:r w:rsidRPr="00D6774D">
        <w:rPr>
          <w:b/>
        </w:rPr>
        <w:t xml:space="preserve">Minor non-monetary benefits </w:t>
      </w:r>
    </w:p>
    <w:p w:rsidR="00D6774D" w:rsidRDefault="00D6774D" w:rsidP="00D6774D">
      <w:pPr>
        <w:pStyle w:val="ssPara1"/>
        <w:ind w:left="720" w:hanging="720"/>
        <w:jc w:val="left"/>
      </w:pPr>
      <w:r>
        <w:t xml:space="preserve">4. </w:t>
      </w:r>
      <w:r>
        <w:tab/>
        <w:t xml:space="preserve">ESMA advises the Commission to introduce an exhaustive list of non-monetary benefits that 139 can </w:t>
      </w:r>
      <w:proofErr w:type="gramStart"/>
      <w:r>
        <w:t>be considered to be</w:t>
      </w:r>
      <w:proofErr w:type="gramEnd"/>
      <w:r>
        <w:t xml:space="preserve"> minor and are therefore acceptable. All such benefits should only qualify as minor when they are reasonable and proportionate and of such a scale that they are unlikely to influence the recipient’s behaviour in any way that is detrimental to the interests of the relevant client. </w:t>
      </w:r>
    </w:p>
    <w:p w:rsidR="00D6774D" w:rsidRDefault="00D6774D" w:rsidP="00D6774D">
      <w:pPr>
        <w:pStyle w:val="ssPara1"/>
        <w:jc w:val="left"/>
      </w:pPr>
      <w:r>
        <w:t xml:space="preserve">5. </w:t>
      </w:r>
      <w:r>
        <w:tab/>
        <w:t xml:space="preserve">This list should include the following benefits: </w:t>
      </w:r>
    </w:p>
    <w:p w:rsidR="00D6774D" w:rsidRDefault="00D6774D" w:rsidP="00D6774D">
      <w:pPr>
        <w:pStyle w:val="ssPara1"/>
        <w:ind w:left="720"/>
        <w:jc w:val="left"/>
      </w:pPr>
      <w:r>
        <w:t>i. information or documentation relating to a financial instrument or an investment service. This information could be generic in nature or personalised to reflect the circumstances of an individual client;</w:t>
      </w:r>
    </w:p>
    <w:p w:rsidR="00D6774D" w:rsidRDefault="00D6774D" w:rsidP="00D6774D">
      <w:pPr>
        <w:pStyle w:val="ssPara1"/>
        <w:ind w:left="720"/>
        <w:jc w:val="left"/>
      </w:pPr>
      <w:r>
        <w:t xml:space="preserve"> ii. participation in conferences, seminars and other training events on the benefits and features of a specific financial instrument or an investment service; and </w:t>
      </w:r>
    </w:p>
    <w:p w:rsidR="00D6774D" w:rsidRDefault="00D6774D" w:rsidP="00D6774D">
      <w:pPr>
        <w:pStyle w:val="ssPara1"/>
        <w:ind w:left="720"/>
        <w:jc w:val="left"/>
      </w:pPr>
      <w:r>
        <w:t xml:space="preserve">iii. hospitality of a reasonable de minimis value, this could for example include food and drink during a business meeting or a conference, seminar or other training events mentioned under ii </w:t>
      </w:r>
    </w:p>
    <w:p w:rsidR="00D6774D" w:rsidRDefault="00D6774D" w:rsidP="00D6774D">
      <w:pPr>
        <w:pStyle w:val="ssPara1"/>
        <w:ind w:left="720"/>
        <w:jc w:val="left"/>
      </w:pPr>
      <w:r>
        <w:t xml:space="preserve">iv. other minor non-monetary benefits meeting the criteria indicated in paragraph 4 as identified in ESMA guidelines. </w:t>
      </w:r>
    </w:p>
    <w:p w:rsidR="00D6774D" w:rsidRDefault="00D6774D" w:rsidP="00D6774D">
      <w:pPr>
        <w:pStyle w:val="ssPara1"/>
        <w:ind w:left="720" w:hanging="720"/>
        <w:jc w:val="left"/>
      </w:pPr>
      <w:r>
        <w:t>6.</w:t>
      </w:r>
      <w:r>
        <w:tab/>
        <w:t xml:space="preserve">Minor non-monetary benefits as defined above should be clearly disclosed by investment firms before providing investment or ancillary services to clients. </w:t>
      </w:r>
    </w:p>
    <w:p w:rsidR="00D6774D" w:rsidRPr="00D6774D" w:rsidRDefault="00D6774D" w:rsidP="00D6774D">
      <w:pPr>
        <w:pStyle w:val="ssPara1"/>
        <w:ind w:left="720" w:hanging="720"/>
        <w:jc w:val="left"/>
        <w:rPr>
          <w:b/>
        </w:rPr>
      </w:pPr>
      <w:r w:rsidRPr="00D6774D">
        <w:rPr>
          <w:b/>
        </w:rPr>
        <w:lastRenderedPageBreak/>
        <w:t xml:space="preserve">Investment research </w:t>
      </w:r>
    </w:p>
    <w:p w:rsidR="00D6774D" w:rsidRDefault="00D6774D" w:rsidP="00D6774D">
      <w:pPr>
        <w:pStyle w:val="ssPara1"/>
        <w:ind w:left="720" w:hanging="720"/>
        <w:jc w:val="left"/>
      </w:pPr>
      <w:r>
        <w:t xml:space="preserve">7. </w:t>
      </w:r>
      <w:r>
        <w:tab/>
        <w:t xml:space="preserve">The provision of research by third parties (such as firms executing orders or independent research providers) to investment firms providing portfolio management (or other investment or ancillary services) to clients should not be regarded as an inducement if it is received in return for: </w:t>
      </w:r>
    </w:p>
    <w:p w:rsidR="00D6774D" w:rsidRDefault="00D6774D" w:rsidP="00D6774D">
      <w:pPr>
        <w:pStyle w:val="ssPara1"/>
        <w:ind w:left="720"/>
        <w:jc w:val="left"/>
      </w:pPr>
      <w:r>
        <w:t xml:space="preserve">i. direct payments by the investment firm out of its own resources (which they may choose to reflect in an increase to the firm’s portfolio management or advice fees), or </w:t>
      </w:r>
    </w:p>
    <w:p w:rsidR="00D6774D" w:rsidRDefault="00D6774D" w:rsidP="00D6774D">
      <w:pPr>
        <w:pStyle w:val="ssPara1"/>
        <w:ind w:left="720"/>
        <w:jc w:val="left"/>
      </w:pPr>
      <w:r>
        <w:t xml:space="preserve">ii. payments from a separate research payment account controlled by the investment firm, provided the following conditions relating to the operation of this account are met: </w:t>
      </w:r>
    </w:p>
    <w:p w:rsidR="00D6774D" w:rsidRDefault="00D6774D" w:rsidP="00D6774D">
      <w:pPr>
        <w:pStyle w:val="ssPara1"/>
        <w:ind w:left="720"/>
        <w:jc w:val="left"/>
      </w:pPr>
      <w:r>
        <w:t xml:space="preserve">a) The research payment account shall only be funded by a specific research charge to the client. The specific research charge shall: </w:t>
      </w:r>
    </w:p>
    <w:p w:rsidR="00D6774D" w:rsidRDefault="00D6774D" w:rsidP="00D6774D">
      <w:pPr>
        <w:pStyle w:val="ssPara1"/>
        <w:ind w:left="720"/>
        <w:jc w:val="left"/>
      </w:pPr>
      <w:r>
        <w:sym w:font="Symbol" w:char="F0B7"/>
      </w:r>
      <w:r>
        <w:t xml:space="preserve"> only be based on a research budget set by the investment firm </w:t>
      </w:r>
      <w:proofErr w:type="gramStart"/>
      <w:r>
        <w:t>for the purpose of</w:t>
      </w:r>
      <w:proofErr w:type="gramEnd"/>
      <w:r>
        <w:t xml:space="preserve"> establishing the need for third party research in respect of investment services rendered to its clients; and </w:t>
      </w:r>
    </w:p>
    <w:p w:rsidR="00D6774D" w:rsidRDefault="00D6774D" w:rsidP="00D6774D">
      <w:pPr>
        <w:pStyle w:val="ssPara1"/>
        <w:ind w:left="720"/>
        <w:jc w:val="left"/>
      </w:pPr>
      <w:r>
        <w:sym w:font="Symbol" w:char="F0B7"/>
      </w:r>
      <w:r>
        <w:t xml:space="preserve"> not be linked to the volume and/or value of transactions executed on behalf </w:t>
      </w:r>
      <w:proofErr w:type="gramStart"/>
      <w:r>
        <w:t>of  the</w:t>
      </w:r>
      <w:proofErr w:type="gramEnd"/>
      <w:r>
        <w:t xml:space="preserve"> clients. </w:t>
      </w:r>
    </w:p>
    <w:p w:rsidR="00D6774D" w:rsidRDefault="00D6774D" w:rsidP="00D6774D">
      <w:pPr>
        <w:pStyle w:val="ssPara1"/>
        <w:ind w:left="720"/>
        <w:jc w:val="left"/>
      </w:pPr>
      <w:r>
        <w:t xml:space="preserve">The total amount of research charges received in the research payment account may not exceed the research budget. </w:t>
      </w:r>
    </w:p>
    <w:p w:rsidR="00D6774D" w:rsidRDefault="00D6774D" w:rsidP="00D6774D">
      <w:pPr>
        <w:pStyle w:val="ssPara1"/>
        <w:ind w:left="720"/>
        <w:jc w:val="left"/>
      </w:pPr>
      <w:r>
        <w:t xml:space="preserve">The investment firm must agree with each client the research charge as budgeted by the firm and the frequency with which the specific research charge will be deducted from the resources of the client over the year. The investment firm may only increase the research budget with the client’s written agreement. If there is a surplus in the research payment account at the end of a period, the firm should have a process to rebate those funds to the client or to offset it against the research budget and charge calculated for the following period. </w:t>
      </w:r>
    </w:p>
    <w:p w:rsidR="00D6774D" w:rsidRDefault="00D6774D" w:rsidP="00D6774D">
      <w:pPr>
        <w:pStyle w:val="ssPara1"/>
        <w:ind w:left="720"/>
        <w:jc w:val="left"/>
      </w:pPr>
      <w:r>
        <w:t xml:space="preserve">b) As part of establishing a research payment account and agreeing a reasonable charge with their client, the investment firm must set and regularly assess a research budget as an internal administrative measure. The research budget is managed solely by the investment firm and is based on a reasonable assessment of the need for third party research. The allocation of the research budget to purchase third party research should be subject to appropriate controls and senior management oversight to ensure it is managed and used in the best interests of the firm’s clients. Such controls include a clear audit trail of payments made to research providers and how the amounts paid were determined with reference to the quality criteria referred to in paragraph 7(ii)(d). Investment firms may not use the research budget and research payment account to fund internal research. </w:t>
      </w:r>
    </w:p>
    <w:p w:rsidR="00D6774D" w:rsidRDefault="00D6774D" w:rsidP="00D6774D">
      <w:pPr>
        <w:pStyle w:val="ssPara1"/>
        <w:ind w:left="720"/>
        <w:jc w:val="left"/>
      </w:pPr>
      <w:r>
        <w:t xml:space="preserve">c) The investment firm is responsible for operating the research payment account. The investment firm may delegate the administration of the research payment account to a third party, provided that the arrangement facilitates the purchase of </w:t>
      </w:r>
      <w:proofErr w:type="gramStart"/>
      <w:r>
        <w:t>third party</w:t>
      </w:r>
      <w:proofErr w:type="gramEnd"/>
      <w:r>
        <w:t xml:space="preserve"> research and payments to research providers in the name of the investment firm without any undue delay in accordance with the investment firm’s instruction.</w:t>
      </w:r>
    </w:p>
    <w:p w:rsidR="00D6774D" w:rsidRDefault="00D6774D" w:rsidP="00D6774D">
      <w:pPr>
        <w:pStyle w:val="ssPara1"/>
        <w:ind w:left="720"/>
        <w:jc w:val="left"/>
      </w:pPr>
      <w:r>
        <w:t xml:space="preserve"> d) The investment firm should regularly assess the quality of the research purchased based on robust quality criteria and its ability to contribute to better investment decisions. Investment firms should be able to demonstrate these elements in a written policy and provide it to their clients. It should also address the extent to which research purchased through the research payment account may benefit clients’ portfolios (including, where relevant, by </w:t>
      </w:r>
      <w:proofErr w:type="gramStart"/>
      <w:r>
        <w:t>taking into account</w:t>
      </w:r>
      <w:proofErr w:type="gramEnd"/>
      <w:r>
        <w:t xml:space="preserve"> investment strategies applicable to various types of portfolios) and the approach the firm will take to allocate such costs as fairly as practicable to the various clients’ portfolios. </w:t>
      </w:r>
    </w:p>
    <w:p w:rsidR="00D6774D" w:rsidRDefault="00D6774D" w:rsidP="00D6774D">
      <w:pPr>
        <w:pStyle w:val="ssPara1"/>
        <w:ind w:left="720"/>
        <w:jc w:val="left"/>
      </w:pPr>
      <w:r>
        <w:lastRenderedPageBreak/>
        <w:t xml:space="preserve">e) Where an investment firm makes use of the research payment account, it should provide the following disclosure to its clients: </w:t>
      </w:r>
    </w:p>
    <w:p w:rsidR="00D6774D" w:rsidRDefault="00D6774D" w:rsidP="00D6774D">
      <w:pPr>
        <w:pStyle w:val="ssPara1"/>
        <w:ind w:left="720"/>
        <w:jc w:val="left"/>
      </w:pPr>
      <w:r>
        <w:sym w:font="Symbol" w:char="F0B7"/>
      </w:r>
      <w:r>
        <w:t xml:space="preserve"> Ex-ante – In line with Article 24(4)(c) of MiFID II, clients should be informed 141 about the budgeted amount for research and the amount of the expected research charge for each of them. This information is further elaborated in the ESMA technical advice on information on costs and charges.</w:t>
      </w:r>
    </w:p>
    <w:p w:rsidR="00D6774D" w:rsidRDefault="00D6774D" w:rsidP="00D6774D">
      <w:pPr>
        <w:pStyle w:val="ssPara1"/>
        <w:ind w:left="720"/>
        <w:jc w:val="left"/>
      </w:pPr>
      <w:r>
        <w:t xml:space="preserve"> </w:t>
      </w:r>
      <w:r>
        <w:sym w:font="Symbol" w:char="F0B7"/>
      </w:r>
      <w:r>
        <w:t xml:space="preserve"> Ex post – In line with Article 24(4)c of MiFID II clients should receive annual information on the total costs that each of them has incurred for third party research. The investment firm should also be required, upon request by their clients or by competent authorities, to provide a summary of the providers who were paid from this account, the total amount they were paid over a defined period, the goods and services received by the investment firm, and how the total amount spent from the account compares to the budget set by the firm for that period – noting any rebate or carry-over if residual funds remain in the account. </w:t>
      </w:r>
    </w:p>
    <w:p w:rsidR="00D6774D" w:rsidRDefault="00D6774D" w:rsidP="00D6774D">
      <w:pPr>
        <w:pStyle w:val="ssPara1"/>
        <w:ind w:left="720" w:hanging="720"/>
        <w:jc w:val="left"/>
      </w:pPr>
      <w:r>
        <w:t xml:space="preserve">8. </w:t>
      </w:r>
      <w:r>
        <w:tab/>
        <w:t xml:space="preserve">Firms providing execution services should identify separate charge for these services that only reflect the cost of executing the transaction (buying or selling a financial instrument). Any other goods or services rendered should be subject to a separately identifiable charge; the supply of these goods or services should not be influenced by (or be conditional on) levels of payment for execution services. Future ESMA guidelines may also be useful in this area. </w:t>
      </w:r>
    </w:p>
    <w:p w:rsidR="00D6774D" w:rsidRDefault="00D6774D" w:rsidP="00D6774D">
      <w:pPr>
        <w:pStyle w:val="ssPara1"/>
        <w:ind w:left="720" w:hanging="720"/>
        <w:jc w:val="left"/>
      </w:pPr>
      <w:r>
        <w:t xml:space="preserve">9. </w:t>
      </w:r>
      <w:r>
        <w:tab/>
        <w:t xml:space="preserve">The European Commission should also consider clarifying that an investment firm that provides execution and research services, </w:t>
      </w:r>
      <w:proofErr w:type="gramStart"/>
      <w:r>
        <w:t>and also</w:t>
      </w:r>
      <w:proofErr w:type="gramEnd"/>
      <w:r>
        <w:t xml:space="preserve"> carries out underwriting and placing activities, should ensure adequate controls are in place to manage any potential conflicts of interest between these activities and between their different clients receiving those services. </w:t>
      </w:r>
    </w:p>
    <w:p w:rsidR="00D6774D" w:rsidRPr="00D6774D" w:rsidRDefault="00D6774D" w:rsidP="00D6774D">
      <w:pPr>
        <w:pStyle w:val="ssPara1"/>
        <w:ind w:left="720" w:hanging="720"/>
        <w:jc w:val="left"/>
        <w:rPr>
          <w:b/>
        </w:rPr>
      </w:pPr>
      <w:r w:rsidRPr="00D6774D">
        <w:rPr>
          <w:b/>
        </w:rPr>
        <w:t xml:space="preserve">Article 24(9) of MiFID II - Quality enhancement </w:t>
      </w:r>
    </w:p>
    <w:p w:rsidR="00D6774D" w:rsidRDefault="00D6774D" w:rsidP="00D6774D">
      <w:pPr>
        <w:pStyle w:val="ssPara1"/>
        <w:ind w:left="720" w:hanging="720"/>
        <w:jc w:val="left"/>
      </w:pPr>
      <w:r>
        <w:t xml:space="preserve">10. </w:t>
      </w:r>
      <w:r>
        <w:tab/>
        <w:t xml:space="preserve">ESMA advises the Commission to make clear that the provisions included in Article 24(9) of MiFID II, which sets out conditions under which a fee, commission or non-monetary benefit may be provided or accepted, should apply cumulatively and firms should take appropriate measures to ensure that these provisions have been met on a case-by-case basis. </w:t>
      </w:r>
    </w:p>
    <w:p w:rsidR="00D6774D" w:rsidRDefault="00D6774D" w:rsidP="00D6774D">
      <w:pPr>
        <w:pStyle w:val="ssPara1"/>
        <w:ind w:left="720" w:hanging="720"/>
        <w:jc w:val="left"/>
      </w:pPr>
      <w:r>
        <w:t xml:space="preserve">11. </w:t>
      </w:r>
      <w:r>
        <w:tab/>
        <w:t>ESMA also advises the Commission to introduce a non-exhaustive list of circumstances and situations that NCAs should consider in determining when the quality enhancement test is not met. Where inducements are not fully passed on to clients, a fee, commission or nonmonetary benefit may not generally be regarded as designed to enhance the quality of the relevant service to the client if any of the following conditions is applicable:</w:t>
      </w:r>
    </w:p>
    <w:p w:rsidR="00D6774D" w:rsidRDefault="00D6774D" w:rsidP="00D6774D">
      <w:pPr>
        <w:pStyle w:val="ssPara1"/>
        <w:ind w:left="720"/>
        <w:jc w:val="left"/>
      </w:pPr>
      <w:r>
        <w:t xml:space="preserve"> i. it is not justified by the provision of an additional or </w:t>
      </w:r>
      <w:proofErr w:type="gramStart"/>
      <w:r>
        <w:t>higher level</w:t>
      </w:r>
      <w:proofErr w:type="gramEnd"/>
      <w:r>
        <w:t xml:space="preserve"> service to the relevant client, proportional to the level of inducements received, such as:</w:t>
      </w:r>
    </w:p>
    <w:p w:rsidR="00D6774D" w:rsidRDefault="00D6774D" w:rsidP="00D6774D">
      <w:pPr>
        <w:pStyle w:val="ssPara1"/>
        <w:ind w:left="720"/>
        <w:jc w:val="left"/>
      </w:pPr>
      <w:r>
        <w:t xml:space="preserve"> a) the provision of non-independent advice on and access to a wide range of suitable financial instruments including an appropriate number of instruments from third par- 142 ty product providers having no close links with the investment firm; or </w:t>
      </w:r>
    </w:p>
    <w:p w:rsidR="00D6774D" w:rsidRDefault="00D6774D" w:rsidP="00D6774D">
      <w:pPr>
        <w:pStyle w:val="ssPara1"/>
        <w:ind w:left="720"/>
        <w:jc w:val="left"/>
      </w:pPr>
      <w:r>
        <w:t xml:space="preserve">b) the provision of non-independent advice combined with either: an offer to the client, at least on an annual basis, to assess the continuing suitability of the financial instruments in which the client has invested; or with another on-going service that is likely to be of value to the client such as advice about the suggested optimal asset allocation of the </w:t>
      </w:r>
      <w:proofErr w:type="gramStart"/>
      <w:r>
        <w:t>client ;</w:t>
      </w:r>
      <w:proofErr w:type="gramEnd"/>
      <w:r>
        <w:t xml:space="preserve"> or </w:t>
      </w:r>
    </w:p>
    <w:p w:rsidR="00D6774D" w:rsidRDefault="00D6774D" w:rsidP="00D6774D">
      <w:pPr>
        <w:pStyle w:val="ssPara1"/>
        <w:ind w:left="720"/>
        <w:jc w:val="left"/>
      </w:pPr>
      <w:r>
        <w:t xml:space="preserve">c) the provision of access, at a competitive price, to a wide range of financial instruments that are likely to meet the needs of the target market, including an appropriate number of instruments from third party product providers having no close links with the investment firm, together with either the provision of added-value tools, such as objective online information tools helping the relevant client to take investment decisions or enabling the relevant client to </w:t>
      </w:r>
      <w:r>
        <w:lastRenderedPageBreak/>
        <w:t>monitor, model and adjust the range of financial instruments in which they have invested, or providing periodic reports of the performance and costs and charges associated with the financial instruments;</w:t>
      </w:r>
    </w:p>
    <w:p w:rsidR="00D6774D" w:rsidRDefault="00D6774D" w:rsidP="00D6774D">
      <w:pPr>
        <w:pStyle w:val="ssPara1"/>
        <w:ind w:left="720"/>
        <w:jc w:val="left"/>
      </w:pPr>
      <w:r>
        <w:t xml:space="preserve"> ii. it directly benefits the recipient firm, its shareholders or employees without tangible benefit to the relevant client; or iii. in relation to an on-going inducement, it is not justified by the provision of an on-going benefit to the relevant client. </w:t>
      </w:r>
    </w:p>
    <w:p w:rsidR="00D6774D" w:rsidRDefault="00D6774D" w:rsidP="00D6774D">
      <w:pPr>
        <w:pStyle w:val="ssPara1"/>
        <w:ind w:left="720" w:hanging="720"/>
        <w:jc w:val="left"/>
      </w:pPr>
      <w:r>
        <w:t>12.</w:t>
      </w:r>
      <w:r>
        <w:tab/>
        <w:t xml:space="preserve"> In assessing </w:t>
      </w:r>
      <w:proofErr w:type="gramStart"/>
      <w:r>
        <w:t>whether or not</w:t>
      </w:r>
      <w:proofErr w:type="gramEnd"/>
      <w:r>
        <w:t xml:space="preserve"> the enhancement test can be met in accordance with these conditions, a fee, commission or non-monetary benefit may be considered acceptable only if all relevant services are provided to the clients without bias or distortion as a result of the fee, commission or non-monetary benefit being received. </w:t>
      </w:r>
    </w:p>
    <w:p w:rsidR="00D6774D" w:rsidRDefault="00D6774D" w:rsidP="00D6774D">
      <w:pPr>
        <w:pStyle w:val="ssPara1"/>
        <w:ind w:left="720" w:hanging="720"/>
        <w:jc w:val="left"/>
      </w:pPr>
      <w:r>
        <w:t xml:space="preserve">13. </w:t>
      </w:r>
      <w:r>
        <w:tab/>
        <w:t xml:space="preserve">In order to specify the circumstances listed in the above criteria, it could also be considered appropriate to develop further ESMA Guidelines and Recommendations at a later point of time. </w:t>
      </w:r>
    </w:p>
    <w:p w:rsidR="00D6774D" w:rsidRDefault="00D6774D" w:rsidP="00D6774D">
      <w:pPr>
        <w:pStyle w:val="ssPara1"/>
        <w:ind w:left="720" w:hanging="720"/>
        <w:jc w:val="left"/>
      </w:pPr>
      <w:r>
        <w:t xml:space="preserve">14. </w:t>
      </w:r>
      <w:r>
        <w:tab/>
        <w:t xml:space="preserve">Once investment firms have fulfilled the quality enhancement criterion, they should maintain the enhanced level of quality. It should be clarified however that this does not imply that firms must provide for a continuously increasing quality of services over time. </w:t>
      </w:r>
    </w:p>
    <w:p w:rsidR="00D6774D" w:rsidRDefault="00D6774D" w:rsidP="00D6774D">
      <w:pPr>
        <w:pStyle w:val="ssPara1"/>
        <w:ind w:left="720" w:hanging="720"/>
        <w:jc w:val="left"/>
      </w:pPr>
      <w:r>
        <w:t xml:space="preserve">15. </w:t>
      </w:r>
      <w:r>
        <w:tab/>
        <w:t xml:space="preserve">As part of the applicable organisational requirements, investment firms should be able to clearly demonstrate that any payments or non-monetary benefits paid or received by the firm are designed to enhance the quality of the service to the client, such as: </w:t>
      </w:r>
    </w:p>
    <w:p w:rsidR="00D6774D" w:rsidRDefault="00D6774D" w:rsidP="00D6774D">
      <w:pPr>
        <w:pStyle w:val="ssPara1"/>
        <w:ind w:left="709" w:firstLine="11"/>
        <w:jc w:val="left"/>
      </w:pPr>
      <w:r>
        <w:t xml:space="preserve">i. keeping an internal list of </w:t>
      </w:r>
      <w:proofErr w:type="gramStart"/>
      <w:r>
        <w:t>any and all</w:t>
      </w:r>
      <w:proofErr w:type="gramEnd"/>
      <w:r>
        <w:t xml:space="preserve"> commissions, fees and non-monetary benefits accepted by the investment firm from a third party in relation to the provision of investment or ancillary services; </w:t>
      </w:r>
    </w:p>
    <w:p w:rsidR="00D6774D" w:rsidRDefault="00D6774D" w:rsidP="00D6774D">
      <w:pPr>
        <w:pStyle w:val="ssPara1"/>
        <w:ind w:left="709" w:firstLine="11"/>
        <w:jc w:val="left"/>
      </w:pPr>
      <w:r>
        <w:t xml:space="preserve"> ii. recording how the commissions, fees and non-monetary benefits used by the investment firm, or that it intends to use, enhance the quality of the services provided to the relevant clients and the steps taken in order not to impair the firm’s duty to act honestly, fairly and professionally in accordance with the best interest of the client. </w:t>
      </w:r>
    </w:p>
    <w:p w:rsidR="00D6774D" w:rsidRPr="00D6774D" w:rsidRDefault="00D6774D" w:rsidP="00D6774D">
      <w:pPr>
        <w:pStyle w:val="ssPara1"/>
        <w:jc w:val="left"/>
        <w:rPr>
          <w:b/>
        </w:rPr>
      </w:pPr>
      <w:r w:rsidRPr="00D6774D">
        <w:rPr>
          <w:b/>
        </w:rPr>
        <w:t xml:space="preserve">Permitted inducements: disclosure requirements </w:t>
      </w:r>
    </w:p>
    <w:p w:rsidR="00D6774D" w:rsidRDefault="00D6774D" w:rsidP="00D6774D">
      <w:pPr>
        <w:pStyle w:val="ssPara1"/>
        <w:ind w:left="720" w:hanging="720"/>
        <w:jc w:val="left"/>
      </w:pPr>
      <w:r>
        <w:t>16.</w:t>
      </w:r>
      <w:r>
        <w:tab/>
        <w:t xml:space="preserve"> In relation to monetary payments and non-monetary benefits received from or paid to third parties, investment firms should disclose to the client the following information:</w:t>
      </w:r>
    </w:p>
    <w:p w:rsidR="00D6774D" w:rsidRDefault="00D6774D" w:rsidP="00D6774D">
      <w:pPr>
        <w:pStyle w:val="ssPara1"/>
        <w:ind w:left="709" w:firstLine="11"/>
        <w:jc w:val="left"/>
      </w:pPr>
      <w:r>
        <w:t xml:space="preserve"> i. prior to the provision of the relevant investment or ancillary service, the investment firm shall disclose to the client in a clear, comprehensive, accurate and understandable manner, the existence, nature and amount of the payment or non-monetary benefit concerned. Where the amount of payments cannot be ascertained, the method of calculating that amount must be clearly disclosed to the client. Minor non-monetary benefits should only be described in a generic way. Other non-monetary benefits received by the investment firm in connection with the investment service provided to a client shall be priced and disclosed separately; </w:t>
      </w:r>
    </w:p>
    <w:p w:rsidR="00D6774D" w:rsidRDefault="00D6774D" w:rsidP="00D6774D">
      <w:pPr>
        <w:pStyle w:val="ssPara1"/>
        <w:ind w:left="709" w:firstLine="11"/>
        <w:jc w:val="left"/>
      </w:pPr>
      <w:r>
        <w:t xml:space="preserve">ii. where an investment firm was unable to ascertain on an ex-ante basis the amount of any payment or benefit it was to receive, and instead disclosed to the client the method of calculating that amount (in accordance with Article 24(9) of MiFID II), it should also provide its clients with information of the exact amount of the inducement received on an ex-post basis; iii. at least once a year, </w:t>
      </w:r>
      <w:proofErr w:type="gramStart"/>
      <w:r>
        <w:t>as long as</w:t>
      </w:r>
      <w:proofErr w:type="gramEnd"/>
      <w:r>
        <w:t xml:space="preserve"> (on-going) inducements are received by the investment firm in relation to the investment services provided to the relevant clients, the investment firm should inform its clients on an individual basis about the actual amount of payments or non-monetary benefits received. Minor non-monetary benefits should be excluded from this obligation. </w:t>
      </w:r>
    </w:p>
    <w:p w:rsidR="00D6774D" w:rsidRDefault="00D6774D" w:rsidP="00D6774D">
      <w:pPr>
        <w:pStyle w:val="ssPara1"/>
        <w:ind w:left="720" w:hanging="720"/>
        <w:jc w:val="left"/>
      </w:pPr>
      <w:r>
        <w:lastRenderedPageBreak/>
        <w:t xml:space="preserve">17. </w:t>
      </w:r>
      <w:r>
        <w:tab/>
        <w:t xml:space="preserve">In implementing these requirements, the investment firm should </w:t>
      </w:r>
      <w:proofErr w:type="gramStart"/>
      <w:r>
        <w:t>take into account</w:t>
      </w:r>
      <w:proofErr w:type="gramEnd"/>
      <w:r>
        <w:t xml:space="preserve"> the rules with regard to disclosure on costs and charges, as outlined in the ‘Information to clients on costs and charges’ chapter of this CP. </w:t>
      </w:r>
    </w:p>
    <w:p w:rsidR="00D6774D" w:rsidRDefault="00D6774D" w:rsidP="00D6774D">
      <w:pPr>
        <w:pStyle w:val="ssPara1"/>
        <w:ind w:left="720" w:hanging="720"/>
        <w:jc w:val="left"/>
      </w:pPr>
      <w:r>
        <w:t xml:space="preserve">18. </w:t>
      </w:r>
      <w:r>
        <w:tab/>
        <w:t xml:space="preserve">When </w:t>
      </w:r>
      <w:proofErr w:type="gramStart"/>
      <w:r>
        <w:t>a number of</w:t>
      </w:r>
      <w:proofErr w:type="gramEnd"/>
      <w:r>
        <w:t xml:space="preserve"> entities are involved in the distribution channel, each investment firm that is providing an investment or ancillary service must comply with its obligations to make disclosures to its clients.</w:t>
      </w:r>
    </w:p>
    <w:p w:rsidR="0094779E" w:rsidRDefault="0094779E" w:rsidP="00D6774D">
      <w:pPr>
        <w:pStyle w:val="ssPara1"/>
        <w:ind w:left="720" w:hanging="720"/>
        <w:jc w:val="left"/>
      </w:pPr>
    </w:p>
    <w:p w:rsidR="0094779E" w:rsidRPr="0094779E" w:rsidRDefault="0094779E" w:rsidP="0094779E">
      <w:pPr>
        <w:pStyle w:val="NormalWeb"/>
        <w:numPr>
          <w:ilvl w:val="0"/>
          <w:numId w:val="37"/>
        </w:numPr>
        <w:shd w:val="clear" w:color="auto" w:fill="FFFFFF"/>
        <w:spacing w:before="0" w:beforeAutospacing="0" w:after="0" w:afterAutospacing="0" w:line="270" w:lineRule="atLeast"/>
        <w:ind w:hanging="720"/>
        <w:rPr>
          <w:rFonts w:ascii="Arial" w:hAnsi="Arial" w:cs="Arial"/>
          <w:b/>
          <w:color w:val="4B5156"/>
          <w:sz w:val="20"/>
          <w:szCs w:val="20"/>
        </w:rPr>
      </w:pPr>
      <w:r w:rsidRPr="0094779E">
        <w:rPr>
          <w:rFonts w:ascii="Arial" w:hAnsi="Arial" w:cs="Arial"/>
          <w:b/>
          <w:sz w:val="20"/>
          <w:szCs w:val="20"/>
        </w:rPr>
        <w:t xml:space="preserve">For Delegated Directive see - </w:t>
      </w:r>
      <w:hyperlink r:id="rId13" w:tgtFrame="_blank" w:history="1">
        <w:r w:rsidRPr="0094779E">
          <w:rPr>
            <w:rStyle w:val="Hyperlink"/>
            <w:rFonts w:ascii="Arial" w:hAnsi="Arial" w:cs="Arial"/>
            <w:b/>
            <w:color w:val="00675D"/>
            <w:sz w:val="20"/>
            <w:szCs w:val="20"/>
          </w:rPr>
          <w:t>Commission Delegated Directive (DA1) - 07 April 2016</w:t>
        </w:r>
      </w:hyperlink>
    </w:p>
    <w:p w:rsidR="0094779E" w:rsidRDefault="0094779E" w:rsidP="00D6774D">
      <w:pPr>
        <w:pStyle w:val="ssPara1"/>
        <w:ind w:left="720" w:hanging="720"/>
        <w:jc w:val="left"/>
      </w:pPr>
    </w:p>
    <w:p w:rsidR="0094779E" w:rsidRPr="0094779E" w:rsidRDefault="0094779E" w:rsidP="0094779E">
      <w:pPr>
        <w:numPr>
          <w:ilvl w:val="0"/>
          <w:numId w:val="35"/>
        </w:numPr>
        <w:shd w:val="clear" w:color="auto" w:fill="FFFFFF"/>
        <w:spacing w:line="270" w:lineRule="atLeast"/>
        <w:ind w:left="0" w:firstLine="0"/>
        <w:jc w:val="left"/>
        <w:rPr>
          <w:rFonts w:cs="Arial"/>
          <w:b/>
          <w:color w:val="4B5156"/>
          <w:szCs w:val="20"/>
        </w:rPr>
      </w:pPr>
      <w:r w:rsidRPr="0094779E">
        <w:rPr>
          <w:rFonts w:cs="Arial"/>
          <w:b/>
          <w:szCs w:val="20"/>
        </w:rPr>
        <w:t xml:space="preserve">For Delegated Regulation see - </w:t>
      </w:r>
      <w:hyperlink r:id="rId14" w:tgtFrame="_blank" w:history="1">
        <w:r w:rsidRPr="0094779E">
          <w:rPr>
            <w:rStyle w:val="Hyperlink"/>
            <w:rFonts w:cs="Arial"/>
            <w:b/>
            <w:color w:val="00675D"/>
            <w:szCs w:val="20"/>
          </w:rPr>
          <w:t xml:space="preserve">DR April 2016 - </w:t>
        </w:r>
        <w:proofErr w:type="spellStart"/>
        <w:r w:rsidRPr="0094779E">
          <w:rPr>
            <w:rStyle w:val="Hyperlink"/>
            <w:rFonts w:cs="Arial"/>
            <w:b/>
            <w:color w:val="00675D"/>
            <w:szCs w:val="20"/>
          </w:rPr>
          <w:t>Chp</w:t>
        </w:r>
        <w:proofErr w:type="spellEnd"/>
        <w:r w:rsidRPr="0094779E">
          <w:rPr>
            <w:rStyle w:val="Hyperlink"/>
            <w:rFonts w:cs="Arial"/>
            <w:b/>
            <w:color w:val="00675D"/>
            <w:szCs w:val="20"/>
          </w:rPr>
          <w:t xml:space="preserve"> 2 S3, Art 33-43 Conflicts of Interest</w:t>
        </w:r>
      </w:hyperlink>
    </w:p>
    <w:p w:rsidR="00D6774D" w:rsidRDefault="00D6774D" w:rsidP="00D6774D">
      <w:pPr>
        <w:jc w:val="left"/>
      </w:pPr>
    </w:p>
    <w:sectPr w:rsidR="00D6774D" w:rsidSect="00990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AE0" w:rsidRDefault="001D3AE0" w:rsidP="00C14BD4">
      <w:r>
        <w:separator/>
      </w:r>
    </w:p>
  </w:endnote>
  <w:endnote w:type="continuationSeparator" w:id="0">
    <w:p w:rsidR="001D3AE0" w:rsidRDefault="001D3AE0" w:rsidP="00C1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3252CD" w:rsidRDefault="001F53FC">
    <w:pPr>
      <w:rPr>
        <w:sz w:val="12"/>
        <w:szCs w:val="12"/>
      </w:rPr>
    </w:pPr>
  </w:p>
  <w:p w:rsidR="001F53FC" w:rsidRPr="003252CD" w:rsidRDefault="001F53FC" w:rsidP="00E74DB4">
    <w:pPr>
      <w:rPr>
        <w:sz w:val="12"/>
        <w:szCs w:val="12"/>
      </w:rPr>
    </w:pPr>
    <w:r w:rsidRPr="003252CD">
      <w:rPr>
        <w:sz w:val="12"/>
        <w:szCs w:val="12"/>
      </w:rPr>
      <w:t xml:space="preserve"> </w:t>
    </w:r>
    <w:r w:rsidR="0064577C" w:rsidRPr="003252CD">
      <w:rPr>
        <w:sz w:val="12"/>
        <w:szCs w:val="12"/>
      </w:rPr>
      <w:fldChar w:fldCharType="begin"/>
    </w:r>
    <w:r w:rsidRPr="003252CD">
      <w:rPr>
        <w:sz w:val="12"/>
        <w:szCs w:val="12"/>
      </w:rPr>
      <w:instrText xml:space="preserve"> DOCPROPERTY  document_number </w:instrText>
    </w:r>
    <w:r w:rsidR="0064577C" w:rsidRPr="003252CD">
      <w:rPr>
        <w:sz w:val="12"/>
        <w:szCs w:val="12"/>
      </w:rPr>
      <w:fldChar w:fldCharType="separate"/>
    </w:r>
    <w:r w:rsidR="00381DDC">
      <w:rPr>
        <w:sz w:val="12"/>
        <w:szCs w:val="12"/>
      </w:rPr>
      <w:t xml:space="preserve">62052754 V1 </w:t>
    </w:r>
    <w:proofErr w:type="gramStart"/>
    <w:r w:rsidR="00381DDC">
      <w:rPr>
        <w:sz w:val="12"/>
        <w:szCs w:val="12"/>
      </w:rPr>
      <w:t>-  -</w:t>
    </w:r>
    <w:proofErr w:type="gramEnd"/>
    <w:r w:rsidR="00381DDC">
      <w:rPr>
        <w:sz w:val="12"/>
        <w:szCs w:val="12"/>
      </w:rPr>
      <w:t xml:space="preserve"> UK1</w:t>
    </w:r>
    <w:r w:rsidR="0064577C" w:rsidRPr="003252CD">
      <w:rPr>
        <w:sz w:val="12"/>
        <w:szCs w:val="12"/>
      </w:rPr>
      <w:fldChar w:fldCharType="end"/>
    </w:r>
    <w:r w:rsidRPr="003252CD">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AE0" w:rsidRDefault="001D3AE0" w:rsidP="00C14BD4">
      <w:r>
        <w:separator/>
      </w:r>
    </w:p>
  </w:footnote>
  <w:footnote w:type="continuationSeparator" w:id="0">
    <w:p w:rsidR="001D3AE0" w:rsidRDefault="001D3AE0" w:rsidP="00C1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D4" w:rsidRDefault="00C14BD4" w:rsidP="00A7460B">
    <w:pPr>
      <w:jc w:val="right"/>
      <w:rPr>
        <w:rFonts w:cs="Arial"/>
        <w:sz w:val="16"/>
        <w:szCs w:val="16"/>
      </w:rPr>
    </w:pPr>
    <w:r>
      <w:rPr>
        <w:rFonts w:cs="Arial"/>
        <w:noProof/>
        <w:sz w:val="16"/>
        <w:szCs w:val="16"/>
        <w:lang w:eastAsia="en-GB"/>
      </w:rPr>
      <w:drawing>
        <wp:inline distT="0" distB="0" distL="0" distR="0" wp14:anchorId="2ABEF1C4" wp14:editId="7A4DC12B">
          <wp:extent cx="2505673" cy="60965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D6774D" w:rsidP="00A7460B">
    <w:pPr>
      <w:jc w:val="right"/>
      <w:rPr>
        <w:rFonts w:cs="Arial"/>
        <w:sz w:val="16"/>
        <w:szCs w:val="16"/>
      </w:rPr>
    </w:pPr>
    <w:r>
      <w:rPr>
        <w:rFonts w:cs="Arial"/>
        <w:sz w:val="16"/>
        <w:szCs w:val="16"/>
      </w:rPr>
      <w:t>20 June</w:t>
    </w:r>
    <w:r w:rsidR="00A7460B" w:rsidRPr="00A7460B">
      <w:rPr>
        <w:rFonts w:cs="Arial"/>
        <w:sz w:val="16"/>
        <w:szCs w:val="16"/>
      </w:rPr>
      <w:t xml:space="preserv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2FE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362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E25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21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48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492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968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C48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66D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E80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24F0433"/>
    <w:multiLevelType w:val="multilevel"/>
    <w:tmpl w:val="88F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00FD2"/>
    <w:multiLevelType w:val="hybridMultilevel"/>
    <w:tmpl w:val="4B6AB9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F0D3A60"/>
    <w:multiLevelType w:val="hybridMultilevel"/>
    <w:tmpl w:val="5ECC50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8A722D5"/>
    <w:multiLevelType w:val="hybridMultilevel"/>
    <w:tmpl w:val="1B84E7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E303C55"/>
    <w:multiLevelType w:val="hybridMultilevel"/>
    <w:tmpl w:val="1AF80B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B352D3"/>
    <w:multiLevelType w:val="hybridMultilevel"/>
    <w:tmpl w:val="5634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4BF3AE1"/>
    <w:multiLevelType w:val="hybridMultilevel"/>
    <w:tmpl w:val="0376FE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34"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3"/>
  </w:num>
  <w:num w:numId="2">
    <w:abstractNumId w:val="19"/>
  </w:num>
  <w:num w:numId="3">
    <w:abstractNumId w:val="27"/>
  </w:num>
  <w:num w:numId="4">
    <w:abstractNumId w:val="16"/>
  </w:num>
  <w:num w:numId="5">
    <w:abstractNumId w:val="23"/>
  </w:num>
  <w:num w:numId="6">
    <w:abstractNumId w:val="31"/>
  </w:num>
  <w:num w:numId="7">
    <w:abstractNumId w:val="32"/>
  </w:num>
  <w:num w:numId="8">
    <w:abstractNumId w:val="29"/>
  </w:num>
  <w:num w:numId="9">
    <w:abstractNumId w:val="12"/>
  </w:num>
  <w:num w:numId="10">
    <w:abstractNumId w:val="34"/>
  </w:num>
  <w:num w:numId="11">
    <w:abstractNumId w:val="15"/>
  </w:num>
  <w:num w:numId="12">
    <w:abstractNumId w:val="35"/>
  </w:num>
  <w:num w:numId="13">
    <w:abstractNumId w:val="11"/>
  </w:num>
  <w:num w:numId="14">
    <w:abstractNumId w:val="10"/>
  </w:num>
  <w:num w:numId="15">
    <w:abstractNumId w:val="24"/>
  </w:num>
  <w:num w:numId="16">
    <w:abstractNumId w:val="22"/>
  </w:num>
  <w:num w:numId="17">
    <w:abstractNumId w:val="17"/>
  </w:num>
  <w:num w:numId="18">
    <w:abstractNumId w:val="25"/>
  </w:num>
  <w:num w:numId="19">
    <w:abstractNumId w:val="20"/>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72072"/>
    <w:rsid w:val="0008206C"/>
    <w:rsid w:val="00094146"/>
    <w:rsid w:val="000F4286"/>
    <w:rsid w:val="001153B6"/>
    <w:rsid w:val="00126D51"/>
    <w:rsid w:val="00161464"/>
    <w:rsid w:val="00175581"/>
    <w:rsid w:val="0017715A"/>
    <w:rsid w:val="001955B3"/>
    <w:rsid w:val="001B24D8"/>
    <w:rsid w:val="001D3AE0"/>
    <w:rsid w:val="001E0645"/>
    <w:rsid w:val="001E43A5"/>
    <w:rsid w:val="001F21EF"/>
    <w:rsid w:val="001F53FC"/>
    <w:rsid w:val="00213975"/>
    <w:rsid w:val="00220094"/>
    <w:rsid w:val="002906AA"/>
    <w:rsid w:val="0029381C"/>
    <w:rsid w:val="002960E1"/>
    <w:rsid w:val="002971A1"/>
    <w:rsid w:val="002A6843"/>
    <w:rsid w:val="002E4D24"/>
    <w:rsid w:val="002F329E"/>
    <w:rsid w:val="002F49E3"/>
    <w:rsid w:val="00301554"/>
    <w:rsid w:val="00311015"/>
    <w:rsid w:val="003252CD"/>
    <w:rsid w:val="00381DDC"/>
    <w:rsid w:val="00390328"/>
    <w:rsid w:val="003965F7"/>
    <w:rsid w:val="003C310D"/>
    <w:rsid w:val="003E16E2"/>
    <w:rsid w:val="003F2EB0"/>
    <w:rsid w:val="0044328B"/>
    <w:rsid w:val="004C7C3F"/>
    <w:rsid w:val="00502393"/>
    <w:rsid w:val="0056687A"/>
    <w:rsid w:val="0062234B"/>
    <w:rsid w:val="0064577C"/>
    <w:rsid w:val="00695E51"/>
    <w:rsid w:val="006E7FB2"/>
    <w:rsid w:val="00767452"/>
    <w:rsid w:val="007A7E9F"/>
    <w:rsid w:val="00822DBB"/>
    <w:rsid w:val="00861183"/>
    <w:rsid w:val="008A3338"/>
    <w:rsid w:val="008A4EB4"/>
    <w:rsid w:val="00920739"/>
    <w:rsid w:val="0094779E"/>
    <w:rsid w:val="0096097B"/>
    <w:rsid w:val="00980174"/>
    <w:rsid w:val="00990647"/>
    <w:rsid w:val="009B0A35"/>
    <w:rsid w:val="009D560B"/>
    <w:rsid w:val="00A7460B"/>
    <w:rsid w:val="00AC41A4"/>
    <w:rsid w:val="00AE07E3"/>
    <w:rsid w:val="00AE6F9C"/>
    <w:rsid w:val="00AF5BA0"/>
    <w:rsid w:val="00B14584"/>
    <w:rsid w:val="00B5590F"/>
    <w:rsid w:val="00BB285E"/>
    <w:rsid w:val="00BD7939"/>
    <w:rsid w:val="00BD7D3A"/>
    <w:rsid w:val="00C04072"/>
    <w:rsid w:val="00C11828"/>
    <w:rsid w:val="00C14BD4"/>
    <w:rsid w:val="00C27680"/>
    <w:rsid w:val="00C93736"/>
    <w:rsid w:val="00CA7274"/>
    <w:rsid w:val="00CB058A"/>
    <w:rsid w:val="00D6774D"/>
    <w:rsid w:val="00D74945"/>
    <w:rsid w:val="00D804FC"/>
    <w:rsid w:val="00D812DA"/>
    <w:rsid w:val="00D845E5"/>
    <w:rsid w:val="00DD060C"/>
    <w:rsid w:val="00E72948"/>
    <w:rsid w:val="00E74DB4"/>
    <w:rsid w:val="00E85801"/>
    <w:rsid w:val="00E85E2E"/>
    <w:rsid w:val="00EB2152"/>
    <w:rsid w:val="00EB6C5A"/>
    <w:rsid w:val="00EC237A"/>
    <w:rsid w:val="00EF5631"/>
    <w:rsid w:val="00F13CBE"/>
    <w:rsid w:val="00F2199C"/>
    <w:rsid w:val="00F32C2B"/>
    <w:rsid w:val="00F66402"/>
    <w:rsid w:val="00FB2994"/>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1A1"/>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2971A1"/>
    <w:rPr>
      <w:color w:val="0000FF" w:themeColor="hyperlink"/>
      <w:u w:val="single"/>
    </w:rPr>
  </w:style>
  <w:style w:type="paragraph" w:styleId="Header">
    <w:name w:val="header"/>
    <w:basedOn w:val="Normal"/>
    <w:link w:val="HeaderChar"/>
    <w:rsid w:val="00C14BD4"/>
    <w:pPr>
      <w:tabs>
        <w:tab w:val="center" w:pos="4513"/>
        <w:tab w:val="right" w:pos="9026"/>
      </w:tabs>
    </w:pPr>
  </w:style>
  <w:style w:type="character" w:customStyle="1" w:styleId="HeaderChar">
    <w:name w:val="Header Char"/>
    <w:basedOn w:val="DefaultParagraphFont"/>
    <w:link w:val="Header"/>
    <w:rsid w:val="00C14BD4"/>
    <w:rPr>
      <w:rFonts w:ascii="Arial" w:hAnsi="Arial"/>
      <w:szCs w:val="22"/>
      <w:lang w:eastAsia="zh-CN"/>
    </w:rPr>
  </w:style>
  <w:style w:type="paragraph" w:styleId="Footer">
    <w:name w:val="footer"/>
    <w:basedOn w:val="Normal"/>
    <w:link w:val="FooterChar"/>
    <w:rsid w:val="00C14BD4"/>
    <w:pPr>
      <w:tabs>
        <w:tab w:val="center" w:pos="4513"/>
        <w:tab w:val="right" w:pos="9026"/>
      </w:tabs>
    </w:pPr>
  </w:style>
  <w:style w:type="character" w:customStyle="1" w:styleId="FooterChar">
    <w:name w:val="Footer Char"/>
    <w:basedOn w:val="DefaultParagraphFont"/>
    <w:link w:val="Footer"/>
    <w:rsid w:val="00C14BD4"/>
    <w:rPr>
      <w:rFonts w:ascii="Arial" w:hAnsi="Arial"/>
      <w:szCs w:val="22"/>
      <w:lang w:eastAsia="zh-CN"/>
    </w:rPr>
  </w:style>
  <w:style w:type="paragraph" w:styleId="BalloonText">
    <w:name w:val="Balloon Text"/>
    <w:basedOn w:val="Normal"/>
    <w:link w:val="BalloonTextChar"/>
    <w:rsid w:val="00990647"/>
    <w:rPr>
      <w:rFonts w:ascii="Tahoma" w:hAnsi="Tahoma" w:cs="Tahoma"/>
      <w:sz w:val="16"/>
      <w:szCs w:val="16"/>
    </w:rPr>
  </w:style>
  <w:style w:type="character" w:customStyle="1" w:styleId="BalloonTextChar">
    <w:name w:val="Balloon Text Char"/>
    <w:basedOn w:val="DefaultParagraphFont"/>
    <w:link w:val="BalloonText"/>
    <w:rsid w:val="00990647"/>
    <w:rPr>
      <w:rFonts w:ascii="Tahoma" w:hAnsi="Tahoma" w:cs="Tahoma"/>
      <w:sz w:val="16"/>
      <w:szCs w:val="16"/>
      <w:lang w:eastAsia="zh-CN"/>
    </w:rPr>
  </w:style>
  <w:style w:type="table" w:styleId="TableGrid">
    <w:name w:val="Table Grid"/>
    <w:basedOn w:val="TableNormal"/>
    <w:uiPriority w:val="59"/>
    <w:rsid w:val="009D56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60B"/>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unhideWhenUsed/>
    <w:rsid w:val="0094779E"/>
    <w:pPr>
      <w:spacing w:before="100" w:beforeAutospacing="1" w:after="100" w:afterAutospacing="1"/>
      <w:jc w:val="left"/>
    </w:pPr>
    <w:rPr>
      <w:rFonts w:ascii="Times New Roman" w:eastAsia="Times New Roman" w:hAnsi="Times New Roman"/>
      <w:sz w:val="24"/>
      <w:szCs w:val="24"/>
      <w:lang w:eastAsia="en-GB"/>
    </w:rPr>
  </w:style>
  <w:style w:type="character" w:styleId="FollowedHyperlink">
    <w:name w:val="FollowedHyperlink"/>
    <w:basedOn w:val="DefaultParagraphFont"/>
    <w:rsid w:val="00947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827929">
      <w:bodyDiv w:val="1"/>
      <w:marLeft w:val="0"/>
      <w:marRight w:val="0"/>
      <w:marTop w:val="0"/>
      <w:marBottom w:val="0"/>
      <w:divBdr>
        <w:top w:val="none" w:sz="0" w:space="0" w:color="auto"/>
        <w:left w:val="none" w:sz="0" w:space="0" w:color="auto"/>
        <w:bottom w:val="none" w:sz="0" w:space="0" w:color="auto"/>
        <w:right w:val="none" w:sz="0" w:space="0" w:color="auto"/>
      </w:divBdr>
    </w:div>
    <w:div w:id="722561012">
      <w:bodyDiv w:val="1"/>
      <w:marLeft w:val="0"/>
      <w:marRight w:val="0"/>
      <w:marTop w:val="0"/>
      <w:marBottom w:val="0"/>
      <w:divBdr>
        <w:top w:val="none" w:sz="0" w:space="0" w:color="auto"/>
        <w:left w:val="none" w:sz="0" w:space="0" w:color="auto"/>
        <w:bottom w:val="none" w:sz="0" w:space="0" w:color="auto"/>
        <w:right w:val="none" w:sz="0" w:space="0" w:color="auto"/>
      </w:divBdr>
    </w:div>
    <w:div w:id="848566381">
      <w:bodyDiv w:val="1"/>
      <w:marLeft w:val="0"/>
      <w:marRight w:val="0"/>
      <w:marTop w:val="0"/>
      <w:marBottom w:val="0"/>
      <w:divBdr>
        <w:top w:val="none" w:sz="0" w:space="0" w:color="auto"/>
        <w:left w:val="none" w:sz="0" w:space="0" w:color="auto"/>
        <w:bottom w:val="none" w:sz="0" w:space="0" w:color="auto"/>
        <w:right w:val="none" w:sz="0" w:space="0" w:color="auto"/>
      </w:divBdr>
    </w:div>
    <w:div w:id="981885407">
      <w:bodyDiv w:val="1"/>
      <w:marLeft w:val="0"/>
      <w:marRight w:val="0"/>
      <w:marTop w:val="0"/>
      <w:marBottom w:val="0"/>
      <w:divBdr>
        <w:top w:val="none" w:sz="0" w:space="0" w:color="auto"/>
        <w:left w:val="none" w:sz="0" w:space="0" w:color="auto"/>
        <w:bottom w:val="none" w:sz="0" w:space="0" w:color="auto"/>
        <w:right w:val="none" w:sz="0" w:space="0" w:color="auto"/>
      </w:divBdr>
    </w:div>
    <w:div w:id="1687514866">
      <w:bodyDiv w:val="1"/>
      <w:marLeft w:val="0"/>
      <w:marRight w:val="0"/>
      <w:marTop w:val="0"/>
      <w:marBottom w:val="0"/>
      <w:divBdr>
        <w:top w:val="none" w:sz="0" w:space="0" w:color="auto"/>
        <w:left w:val="none" w:sz="0" w:space="0" w:color="auto"/>
        <w:bottom w:val="none" w:sz="0" w:space="0" w:color="auto"/>
        <w:right w:val="none" w:sz="0" w:space="0" w:color="auto"/>
      </w:divBdr>
    </w:div>
    <w:div w:id="18235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hyperlink" Target="http://elexica.authoring.simmons.local/~/media/Files/Microsites/MiFID/MiFID2%20legislative/Commission%20Delegated%20Directive%20-%207%20April%20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exica.authoring.simmons.local/~/media/Files/Microsites/MiFID/MiFID2%20legislative/Commission%20Delegated%20Directive%20-%207%20April%202016.pdf" TargetMode="External"/><Relationship Id="rId4" Type="http://schemas.openxmlformats.org/officeDocument/2006/relationships/settings" Target="settings.xml"/><Relationship Id="rId9" Type="http://schemas.openxmlformats.org/officeDocument/2006/relationships/hyperlink" Target="https://ec.europa.eu/transparency/regdoc/rep/3/2016/EN/3-2016-2398-EN-F1-1.PDF" TargetMode="External"/><Relationship Id="rId14" Type="http://schemas.openxmlformats.org/officeDocument/2006/relationships/hyperlink" Target="http://elexica.authoring.simmons.local/~/media/Files/Microsites/MiFID/MiFID2%20legislative/DR%20April%202016%20%20Chp2%20S3%20Art%203343%20%20Conflicts%20of%20Interes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EF61-4232-4263-9A78-447D2F8D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2016-05-09T08:58:00Z</cp:lastPrinted>
  <dcterms:created xsi:type="dcterms:W3CDTF">2019-10-13T19:54:00Z</dcterms:created>
  <dcterms:modified xsi:type="dcterms:W3CDTF">2019-10-13T19:54:00Z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62052754 V1 -  - UK1</vt:lpwstr>
  </property>
  <property fmtid="{D5CDD505-2E9C-101B-9397-08002B2CF9AE}" pid="3" name="MAIL_MSG_ID1">
    <vt:lpwstr>gFAA5ajW4yTOEjsUWegmEaMvhwTCUiH3wPwgejqPOGr3lMI7kUqv71u6lxlA3avENxPlkKxAc1/bRBam
s44nX6mmc1t/Y9tZgcgretB28te0JhQquKaMN3TAK+Gv8V+DtkVpgWaq1YQGvtOms44nX6mmc1t/
Y9tZgcgretB28te0JhQquKaMN3TAK94Ht2OBOLYItQCxS4KjBGZDmXSO84+i/kSDtjGbjikkGnkj
Kib0NKxmjlrXoDA2P</vt:lpwstr>
  </property>
  <property fmtid="{D5CDD505-2E9C-101B-9397-08002B2CF9AE}" pid="4" name="MAIL_MSG_ID2">
    <vt:lpwstr>Pr3/Kt6brdBMPJej4ir1saDyEFc1VhRCugTF1S9rv70H08OvX4oyJnDlDCz
p6+teYT4F7CYQtO0YekOLSzfnvN6Iyj61GoGoA==</vt:lpwstr>
  </property>
  <property fmtid="{D5CDD505-2E9C-101B-9397-08002B2CF9AE}" pid="5" name="RESPONSE_SENDER_NAME">
    <vt:lpwstr>gAAAJ+PfKkF/6hhwWohgfD5oazfTC0la50X6</vt:lpwstr>
  </property>
  <property fmtid="{D5CDD505-2E9C-101B-9397-08002B2CF9AE}" pid="6" name="EMAIL_OWNER_ADDRESS">
    <vt:lpwstr>ABAAmylTnWthiz/2U7+Qrsc8j5QjBWqELp1c7a3PO8GaG+pB90Gz5/oitapwLxQF8LeS</vt:lpwstr>
  </property>
  <property fmtid="{D5CDD505-2E9C-101B-9397-08002B2CF9AE}" pid="7" name="WS_TRACKING_ID">
    <vt:lpwstr>9f8c03ca-6b0e-4adf-810c-f8c8155681c8</vt:lpwstr>
  </property>
</Properties>
</file>