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1A1" w:rsidRPr="002971A1" w:rsidRDefault="002971A1" w:rsidP="002971A1">
      <w:pPr>
        <w:pStyle w:val="ssPara1"/>
        <w:jc w:val="center"/>
        <w:rPr>
          <w:b/>
        </w:rPr>
      </w:pPr>
      <w:bookmarkStart w:id="0" w:name="_GoBack"/>
      <w:bookmarkEnd w:id="0"/>
      <w:r w:rsidRPr="002971A1">
        <w:rPr>
          <w:b/>
        </w:rPr>
        <w:t>C</w:t>
      </w:r>
      <w:r w:rsidR="00662B67">
        <w:rPr>
          <w:b/>
        </w:rPr>
        <w:t>lient Assets</w:t>
      </w:r>
    </w:p>
    <w:p w:rsidR="002971A1" w:rsidRPr="002971A1" w:rsidRDefault="002971A1" w:rsidP="002971A1">
      <w:pPr>
        <w:pStyle w:val="ssPara1"/>
        <w:jc w:val="center"/>
        <w:rPr>
          <w:b/>
        </w:rPr>
      </w:pPr>
      <w:r w:rsidRPr="002971A1">
        <w:rPr>
          <w:b/>
        </w:rPr>
        <w:t xml:space="preserve">ESMA </w:t>
      </w:r>
      <w:hyperlink r:id="rId8" w:history="1">
        <w:r w:rsidRPr="002971A1">
          <w:rPr>
            <w:rStyle w:val="Hyperlink"/>
          </w:rPr>
          <w:t>Technical Advice</w:t>
        </w:r>
      </w:hyperlink>
      <w:r w:rsidRPr="002971A1">
        <w:rPr>
          <w:b/>
        </w:rPr>
        <w:t xml:space="preserve"> (19 December 2014)</w:t>
      </w:r>
      <w:r>
        <w:rPr>
          <w:b/>
        </w:rPr>
        <w:br/>
      </w:r>
      <w:r w:rsidRPr="002971A1">
        <w:rPr>
          <w:b/>
        </w:rPr>
        <w:t>vs.</w:t>
      </w:r>
      <w:r>
        <w:rPr>
          <w:b/>
        </w:rPr>
        <w:br/>
      </w:r>
      <w:r w:rsidR="00662B67" w:rsidRPr="00662B67">
        <w:rPr>
          <w:rStyle w:val="Hyperlink"/>
        </w:rPr>
        <w:t>MiFID Implementing Directive</w:t>
      </w:r>
      <w:r w:rsidR="00662B67" w:rsidRPr="00662B67">
        <w:rPr>
          <w:b/>
        </w:rPr>
        <w:t xml:space="preserve"> (2006/73/EC) and European Commission </w:t>
      </w:r>
      <w:r w:rsidR="00662B67" w:rsidRPr="00662B67">
        <w:rPr>
          <w:rStyle w:val="Hyperlink"/>
        </w:rPr>
        <w:t>Draft Delegated Directive</w:t>
      </w:r>
      <w:r w:rsidR="00662B67" w:rsidRPr="00662B67">
        <w:rPr>
          <w:b/>
        </w:rPr>
        <w:t xml:space="preserve"> (7 April 2016)</w:t>
      </w:r>
    </w:p>
    <w:p w:rsidR="002971A1" w:rsidRPr="001E0645" w:rsidRDefault="002971A1" w:rsidP="00A7460B">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938"/>
      </w:tblGrid>
      <w:tr w:rsidR="002971A1" w:rsidRPr="001E0645" w:rsidTr="002971A1">
        <w:tc>
          <w:tcPr>
            <w:tcW w:w="675" w:type="dxa"/>
            <w:shd w:val="clear" w:color="auto" w:fill="92D050"/>
          </w:tcPr>
          <w:p w:rsidR="002971A1" w:rsidRPr="001E0645" w:rsidRDefault="002971A1" w:rsidP="00A7460B">
            <w:pPr>
              <w:rPr>
                <w:rFonts w:cs="Arial"/>
                <w:szCs w:val="20"/>
              </w:rPr>
            </w:pPr>
          </w:p>
        </w:tc>
        <w:tc>
          <w:tcPr>
            <w:tcW w:w="7938" w:type="dxa"/>
          </w:tcPr>
          <w:p w:rsidR="002971A1" w:rsidRPr="001E0645" w:rsidRDefault="002971A1" w:rsidP="001F21EF">
            <w:pPr>
              <w:rPr>
                <w:rFonts w:cs="Arial"/>
                <w:szCs w:val="20"/>
              </w:rPr>
            </w:pPr>
            <w:r w:rsidRPr="001E0645">
              <w:rPr>
                <w:rFonts w:cs="Arial"/>
                <w:szCs w:val="20"/>
              </w:rPr>
              <w:t>No change or minor / immaterial change</w:t>
            </w:r>
          </w:p>
        </w:tc>
      </w:tr>
      <w:tr w:rsidR="002971A1" w:rsidRPr="001E0645" w:rsidTr="002971A1">
        <w:tc>
          <w:tcPr>
            <w:tcW w:w="675" w:type="dxa"/>
            <w:shd w:val="clear" w:color="auto" w:fill="FFC000"/>
          </w:tcPr>
          <w:p w:rsidR="002971A1" w:rsidRPr="001E0645" w:rsidRDefault="002971A1" w:rsidP="00A7460B">
            <w:pPr>
              <w:rPr>
                <w:rFonts w:cs="Arial"/>
                <w:szCs w:val="20"/>
              </w:rPr>
            </w:pPr>
          </w:p>
        </w:tc>
        <w:tc>
          <w:tcPr>
            <w:tcW w:w="7938" w:type="dxa"/>
          </w:tcPr>
          <w:p w:rsidR="002971A1" w:rsidRPr="001E0645" w:rsidRDefault="002971A1" w:rsidP="002F49E3">
            <w:pPr>
              <w:rPr>
                <w:rFonts w:cs="Arial"/>
                <w:szCs w:val="20"/>
              </w:rPr>
            </w:pPr>
            <w:r w:rsidRPr="001E0645">
              <w:rPr>
                <w:rFonts w:cs="Arial"/>
                <w:szCs w:val="20"/>
              </w:rPr>
              <w:t>Change to be reviewed, but not requiring gap assessment to be revisited with business</w:t>
            </w:r>
          </w:p>
        </w:tc>
      </w:tr>
      <w:tr w:rsidR="002971A1" w:rsidRPr="001E0645" w:rsidTr="002971A1">
        <w:tc>
          <w:tcPr>
            <w:tcW w:w="675" w:type="dxa"/>
            <w:shd w:val="clear" w:color="auto" w:fill="FF0000"/>
          </w:tcPr>
          <w:p w:rsidR="002971A1" w:rsidRPr="001E0645" w:rsidRDefault="002971A1" w:rsidP="00A7460B">
            <w:pPr>
              <w:rPr>
                <w:rFonts w:cs="Arial"/>
                <w:szCs w:val="20"/>
              </w:rPr>
            </w:pPr>
          </w:p>
        </w:tc>
        <w:tc>
          <w:tcPr>
            <w:tcW w:w="7938" w:type="dxa"/>
          </w:tcPr>
          <w:p w:rsidR="002971A1" w:rsidRPr="001E0645" w:rsidRDefault="002971A1" w:rsidP="002F49E3">
            <w:pPr>
              <w:rPr>
                <w:rFonts w:cs="Arial"/>
                <w:szCs w:val="20"/>
              </w:rPr>
            </w:pPr>
            <w:r w:rsidRPr="001E0645">
              <w:rPr>
                <w:rFonts w:cs="Arial"/>
                <w:szCs w:val="20"/>
              </w:rPr>
              <w:t xml:space="preserve">Significant change requiring detailed review </w:t>
            </w:r>
          </w:p>
        </w:tc>
      </w:tr>
    </w:tbl>
    <w:p w:rsidR="002971A1" w:rsidRDefault="002971A1" w:rsidP="00A7460B">
      <w:pPr>
        <w:rPr>
          <w:rFonts w:cs="Arial"/>
          <w:szCs w:val="20"/>
        </w:rPr>
      </w:pPr>
    </w:p>
    <w:p w:rsidR="00662B67" w:rsidRPr="00662B67" w:rsidRDefault="00662B67" w:rsidP="00A7460B">
      <w:pPr>
        <w:rPr>
          <w:rFonts w:cs="Arial"/>
          <w:i/>
          <w:szCs w:val="20"/>
        </w:rPr>
      </w:pPr>
      <w:r>
        <w:rPr>
          <w:rFonts w:cs="Arial"/>
          <w:szCs w:val="20"/>
        </w:rPr>
        <w:t xml:space="preserve">NOTE:  </w:t>
      </w:r>
      <w:r>
        <w:rPr>
          <w:rFonts w:cs="Arial"/>
          <w:i/>
          <w:szCs w:val="20"/>
        </w:rPr>
        <w:t>Review comparison of MiFID 1 Implementing Directive versus Commission draft Delegated Directive</w:t>
      </w:r>
    </w:p>
    <w:p w:rsidR="002971A1" w:rsidRPr="001E0645" w:rsidRDefault="002971A1" w:rsidP="00B14584">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2171"/>
        <w:gridCol w:w="2423"/>
        <w:gridCol w:w="7395"/>
      </w:tblGrid>
      <w:tr w:rsidR="00662B67" w:rsidRPr="00C14BD4" w:rsidTr="004E3456">
        <w:trPr>
          <w:tblHeader/>
        </w:trPr>
        <w:tc>
          <w:tcPr>
            <w:tcW w:w="2229" w:type="dxa"/>
            <w:shd w:val="clear" w:color="auto" w:fill="32464D"/>
            <w:noWrap/>
          </w:tcPr>
          <w:p w:rsidR="00662B67" w:rsidRPr="00C14BD4" w:rsidRDefault="00662B67" w:rsidP="001955B3">
            <w:pPr>
              <w:jc w:val="center"/>
              <w:rPr>
                <w:rFonts w:cs="Arial"/>
                <w:b/>
                <w:color w:val="FFFFFF" w:themeColor="background1"/>
                <w:szCs w:val="20"/>
              </w:rPr>
            </w:pPr>
            <w:r w:rsidRPr="00C14BD4">
              <w:rPr>
                <w:rFonts w:cs="Arial"/>
                <w:b/>
                <w:color w:val="FFFFFF" w:themeColor="background1"/>
                <w:szCs w:val="20"/>
              </w:rPr>
              <w:t>ESMA Technical Advice</w:t>
            </w:r>
          </w:p>
          <w:p w:rsidR="00662B67" w:rsidRPr="00C14BD4" w:rsidRDefault="00662B67" w:rsidP="001955B3">
            <w:pPr>
              <w:jc w:val="center"/>
              <w:rPr>
                <w:rFonts w:cs="Arial"/>
                <w:b/>
                <w:color w:val="FFFFFF" w:themeColor="background1"/>
                <w:szCs w:val="20"/>
              </w:rPr>
            </w:pPr>
            <w:r w:rsidRPr="00C14BD4">
              <w:rPr>
                <w:rFonts w:cs="Arial"/>
                <w:b/>
                <w:color w:val="FFFFFF" w:themeColor="background1"/>
                <w:szCs w:val="20"/>
              </w:rPr>
              <w:t>Section 2.</w:t>
            </w:r>
            <w:r>
              <w:rPr>
                <w:rFonts w:cs="Arial"/>
                <w:b/>
                <w:color w:val="FFFFFF" w:themeColor="background1"/>
                <w:szCs w:val="20"/>
              </w:rPr>
              <w:t>8</w:t>
            </w:r>
            <w:r w:rsidRPr="00C14BD4">
              <w:rPr>
                <w:rFonts w:cs="Arial"/>
                <w:b/>
                <w:color w:val="FFFFFF" w:themeColor="background1"/>
                <w:szCs w:val="20"/>
              </w:rPr>
              <w:t xml:space="preserve"> page</w:t>
            </w:r>
            <w:r>
              <w:rPr>
                <w:rFonts w:cs="Arial"/>
                <w:b/>
                <w:color w:val="FFFFFF" w:themeColor="background1"/>
                <w:szCs w:val="20"/>
              </w:rPr>
              <w:t>s</w:t>
            </w:r>
            <w:r w:rsidRPr="00C14BD4">
              <w:rPr>
                <w:rFonts w:cs="Arial"/>
                <w:b/>
                <w:color w:val="FFFFFF" w:themeColor="background1"/>
                <w:szCs w:val="20"/>
              </w:rPr>
              <w:t xml:space="preserve"> </w:t>
            </w:r>
            <w:r>
              <w:rPr>
                <w:rFonts w:cs="Arial"/>
                <w:b/>
                <w:color w:val="FFFFFF" w:themeColor="background1"/>
                <w:szCs w:val="20"/>
              </w:rPr>
              <w:t>74 to 78</w:t>
            </w:r>
          </w:p>
          <w:p w:rsidR="00662B67" w:rsidRPr="00C14BD4" w:rsidRDefault="00662B67" w:rsidP="001955B3">
            <w:pPr>
              <w:jc w:val="center"/>
              <w:rPr>
                <w:rFonts w:cs="Arial"/>
                <w:b/>
                <w:color w:val="FFFFFF" w:themeColor="background1"/>
                <w:szCs w:val="20"/>
              </w:rPr>
            </w:pPr>
          </w:p>
        </w:tc>
        <w:tc>
          <w:tcPr>
            <w:tcW w:w="2171" w:type="dxa"/>
            <w:shd w:val="clear" w:color="auto" w:fill="32464D"/>
            <w:noWrap/>
          </w:tcPr>
          <w:p w:rsidR="00662B67" w:rsidRPr="00662B67" w:rsidRDefault="00662B67" w:rsidP="00662B67">
            <w:pPr>
              <w:jc w:val="center"/>
              <w:rPr>
                <w:rFonts w:cs="Arial"/>
                <w:b/>
                <w:color w:val="FFFFFF" w:themeColor="background1"/>
                <w:szCs w:val="20"/>
              </w:rPr>
            </w:pPr>
            <w:r w:rsidRPr="00662B67">
              <w:rPr>
                <w:rFonts w:cs="Arial"/>
                <w:b/>
                <w:color w:val="FFFFFF" w:themeColor="background1"/>
                <w:szCs w:val="20"/>
              </w:rPr>
              <w:t>MiFID Implementing Directive</w:t>
            </w:r>
          </w:p>
          <w:p w:rsidR="00662B67" w:rsidRPr="00C14BD4" w:rsidRDefault="00662B67" w:rsidP="00662B67">
            <w:pPr>
              <w:jc w:val="center"/>
              <w:rPr>
                <w:rFonts w:cs="Arial"/>
                <w:b/>
                <w:color w:val="FFFFFF" w:themeColor="background1"/>
                <w:szCs w:val="20"/>
              </w:rPr>
            </w:pPr>
            <w:r w:rsidRPr="00662B67">
              <w:rPr>
                <w:rFonts w:cs="Arial"/>
                <w:b/>
                <w:color w:val="FFFFFF" w:themeColor="background1"/>
                <w:szCs w:val="20"/>
              </w:rPr>
              <w:t>Article 16 to 20</w:t>
            </w:r>
          </w:p>
        </w:tc>
        <w:tc>
          <w:tcPr>
            <w:tcW w:w="2423" w:type="dxa"/>
            <w:shd w:val="clear" w:color="auto" w:fill="32464D"/>
            <w:noWrap/>
          </w:tcPr>
          <w:p w:rsidR="00662B67" w:rsidRPr="00C14BD4" w:rsidRDefault="00662B67" w:rsidP="001955B3">
            <w:pPr>
              <w:jc w:val="center"/>
              <w:rPr>
                <w:rFonts w:cs="Arial"/>
                <w:b/>
                <w:color w:val="FFFFFF" w:themeColor="background1"/>
                <w:szCs w:val="20"/>
              </w:rPr>
            </w:pPr>
            <w:r w:rsidRPr="00C14BD4">
              <w:rPr>
                <w:rFonts w:cs="Arial"/>
                <w:b/>
                <w:color w:val="FFFFFF" w:themeColor="background1"/>
                <w:szCs w:val="20"/>
              </w:rPr>
              <w:t xml:space="preserve">Commission Draft Delegated </w:t>
            </w:r>
            <w:r>
              <w:rPr>
                <w:rFonts w:cs="Arial"/>
                <w:b/>
                <w:color w:val="FFFFFF" w:themeColor="background1"/>
                <w:szCs w:val="20"/>
              </w:rPr>
              <w:t>Directive</w:t>
            </w:r>
          </w:p>
          <w:p w:rsidR="00662B67" w:rsidRPr="00C14BD4" w:rsidRDefault="00662B67" w:rsidP="00662B67">
            <w:pPr>
              <w:jc w:val="center"/>
              <w:rPr>
                <w:rFonts w:cs="Arial"/>
                <w:b/>
                <w:color w:val="FFFFFF" w:themeColor="background1"/>
                <w:szCs w:val="20"/>
              </w:rPr>
            </w:pPr>
            <w:r w:rsidRPr="00C14BD4">
              <w:rPr>
                <w:rFonts w:cs="Arial"/>
                <w:b/>
                <w:color w:val="FFFFFF" w:themeColor="background1"/>
                <w:szCs w:val="20"/>
              </w:rPr>
              <w:t>Article</w:t>
            </w:r>
            <w:r>
              <w:rPr>
                <w:rFonts w:cs="Arial"/>
                <w:b/>
                <w:color w:val="FFFFFF" w:themeColor="background1"/>
                <w:szCs w:val="20"/>
              </w:rPr>
              <w:t>s</w:t>
            </w:r>
            <w:r w:rsidRPr="00C14BD4">
              <w:rPr>
                <w:rFonts w:cs="Arial"/>
                <w:b/>
                <w:color w:val="FFFFFF" w:themeColor="background1"/>
                <w:szCs w:val="20"/>
              </w:rPr>
              <w:t xml:space="preserve"> 2</w:t>
            </w:r>
            <w:r>
              <w:rPr>
                <w:rFonts w:cs="Arial"/>
                <w:b/>
                <w:color w:val="FFFFFF" w:themeColor="background1"/>
                <w:szCs w:val="20"/>
              </w:rPr>
              <w:t xml:space="preserve"> to 8</w:t>
            </w:r>
          </w:p>
        </w:tc>
        <w:tc>
          <w:tcPr>
            <w:tcW w:w="7395" w:type="dxa"/>
            <w:shd w:val="clear" w:color="auto" w:fill="32464D"/>
            <w:noWrap/>
          </w:tcPr>
          <w:p w:rsidR="00662B67" w:rsidRPr="00C14BD4" w:rsidRDefault="00662B67" w:rsidP="00BF5830">
            <w:pPr>
              <w:jc w:val="center"/>
              <w:rPr>
                <w:rFonts w:cs="Arial"/>
                <w:b/>
                <w:color w:val="FFFFFF" w:themeColor="background1"/>
                <w:szCs w:val="20"/>
              </w:rPr>
            </w:pPr>
            <w:r w:rsidRPr="00C14BD4">
              <w:rPr>
                <w:rFonts w:cs="Arial"/>
                <w:b/>
                <w:color w:val="FFFFFF" w:themeColor="background1"/>
                <w:szCs w:val="20"/>
              </w:rPr>
              <w:t>Summary of Key Changes in Commission Draft Delegated</w:t>
            </w:r>
            <w:r w:rsidR="00BF5830">
              <w:rPr>
                <w:rFonts w:cs="Arial"/>
                <w:b/>
                <w:color w:val="FFFFFF" w:themeColor="background1"/>
                <w:szCs w:val="20"/>
              </w:rPr>
              <w:t xml:space="preserve"> Directive</w:t>
            </w:r>
          </w:p>
        </w:tc>
      </w:tr>
      <w:tr w:rsidR="00662B67" w:rsidRPr="001E0645" w:rsidTr="00662B67">
        <w:trPr>
          <w:trHeight w:val="1964"/>
        </w:trPr>
        <w:tc>
          <w:tcPr>
            <w:tcW w:w="2229" w:type="dxa"/>
            <w:shd w:val="clear" w:color="auto" w:fill="32464D"/>
          </w:tcPr>
          <w:p w:rsidR="00662B67" w:rsidRPr="00C14BD4" w:rsidRDefault="00662B67" w:rsidP="00662B67">
            <w:pPr>
              <w:rPr>
                <w:rFonts w:cs="Arial"/>
                <w:color w:val="FFFFFF" w:themeColor="background1"/>
                <w:szCs w:val="20"/>
              </w:rPr>
            </w:pPr>
            <w:r>
              <w:rPr>
                <w:rFonts w:cs="Arial"/>
                <w:color w:val="FFFFFF" w:themeColor="background1"/>
                <w:szCs w:val="20"/>
              </w:rPr>
              <w:t>N/A</w:t>
            </w:r>
          </w:p>
        </w:tc>
        <w:tc>
          <w:tcPr>
            <w:tcW w:w="2171" w:type="dxa"/>
          </w:tcPr>
          <w:p w:rsidR="00662B67" w:rsidRPr="003D735F" w:rsidRDefault="00662B67" w:rsidP="00C6189B">
            <w:r w:rsidRPr="003D735F">
              <w:t>Article 16(1)</w:t>
            </w:r>
          </w:p>
        </w:tc>
        <w:tc>
          <w:tcPr>
            <w:tcW w:w="2423" w:type="dxa"/>
          </w:tcPr>
          <w:p w:rsidR="00662B67" w:rsidRPr="003D735F" w:rsidRDefault="00662B67" w:rsidP="00C6189B">
            <w:r w:rsidRPr="003D735F">
              <w:t>Article 2(1)</w:t>
            </w:r>
          </w:p>
        </w:tc>
        <w:tc>
          <w:tcPr>
            <w:tcW w:w="7395" w:type="dxa"/>
            <w:shd w:val="clear" w:color="auto" w:fill="FFC000"/>
          </w:tcPr>
          <w:p w:rsidR="00662B67" w:rsidRDefault="00662B67" w:rsidP="00662B67">
            <w:pPr>
              <w:spacing w:after="120"/>
            </w:pPr>
            <w:r w:rsidRPr="003D735F">
              <w:t>Text in draft Delegated Directive drawn from MiFID 1 Implementing Directive.  Generally minor changes – language tidy-up.</w:t>
            </w:r>
          </w:p>
          <w:p w:rsidR="00662B67" w:rsidRDefault="00662B67" w:rsidP="00662B67">
            <w:pPr>
              <w:spacing w:after="120"/>
            </w:pPr>
            <w:r>
              <w:t>Delegated Directive Article 2(1) has been amended such that the following phrase (in quotes and bold) has been removed from the original MiFID1 paragraph and no longer appears in the draft Delegated Directive:</w:t>
            </w:r>
          </w:p>
          <w:p w:rsidR="00662B67" w:rsidRPr="003D735F" w:rsidRDefault="00662B67" w:rsidP="00662B67">
            <w:r>
              <w:t>[Member States shall require that] “</w:t>
            </w:r>
            <w:r w:rsidRPr="00662B67">
              <w:rPr>
                <w:b/>
              </w:rPr>
              <w:t>, for the purposes of safeguarding clients’ rights in relation to financial instruments and funds belonging to them,”</w:t>
            </w:r>
            <w:r>
              <w:t xml:space="preserve"> [investment firms comply with the following requirements].</w:t>
            </w:r>
          </w:p>
        </w:tc>
      </w:tr>
      <w:tr w:rsidR="00DE5043" w:rsidRPr="001E0645" w:rsidTr="00662B67">
        <w:tc>
          <w:tcPr>
            <w:tcW w:w="2229" w:type="dxa"/>
            <w:shd w:val="clear" w:color="auto" w:fill="32464D"/>
          </w:tcPr>
          <w:p w:rsidR="00DE5043" w:rsidRPr="00DE5043" w:rsidRDefault="00DE5043" w:rsidP="0056080F">
            <w:pPr>
              <w:rPr>
                <w:color w:val="FFFFFF" w:themeColor="background1"/>
              </w:rPr>
            </w:pPr>
            <w:r w:rsidRPr="00DE5043">
              <w:rPr>
                <w:color w:val="FFFFFF" w:themeColor="background1"/>
              </w:rPr>
              <w:t>N/A</w:t>
            </w:r>
          </w:p>
        </w:tc>
        <w:tc>
          <w:tcPr>
            <w:tcW w:w="2171" w:type="dxa"/>
          </w:tcPr>
          <w:p w:rsidR="00DE5043" w:rsidRPr="00482421" w:rsidRDefault="00DE5043" w:rsidP="0056080F">
            <w:r w:rsidRPr="00482421">
              <w:t>Article 16(1)(a)</w:t>
            </w:r>
          </w:p>
        </w:tc>
        <w:tc>
          <w:tcPr>
            <w:tcW w:w="2423" w:type="dxa"/>
          </w:tcPr>
          <w:p w:rsidR="00DE5043" w:rsidRPr="00482421" w:rsidRDefault="00DE5043" w:rsidP="0056080F">
            <w:r w:rsidRPr="00482421">
              <w:t>Article 2(1)(a)</w:t>
            </w:r>
          </w:p>
        </w:tc>
        <w:tc>
          <w:tcPr>
            <w:tcW w:w="7395" w:type="dxa"/>
            <w:shd w:val="clear" w:color="auto" w:fill="FFC000"/>
          </w:tcPr>
          <w:p w:rsidR="00DE5043" w:rsidRDefault="00DE5043" w:rsidP="0056080F">
            <w:r w:rsidRPr="00482421">
              <w:t>Text in draft Delegated Directive drawn from MiFID 1 Implementing Directive.  Minor changes – language tidy-up.</w:t>
            </w:r>
          </w:p>
        </w:tc>
      </w:tr>
      <w:tr w:rsidR="00DE5043" w:rsidRPr="001E0645" w:rsidTr="00DE5043">
        <w:tc>
          <w:tcPr>
            <w:tcW w:w="2229" w:type="dxa"/>
            <w:shd w:val="clear" w:color="auto" w:fill="32464D"/>
          </w:tcPr>
          <w:p w:rsidR="00DE5043" w:rsidRPr="00960164" w:rsidRDefault="00DE5043" w:rsidP="00725E37">
            <w:r w:rsidRPr="00F05D28">
              <w:rPr>
                <w:color w:val="FFFFFF" w:themeColor="background1"/>
              </w:rPr>
              <w:t>Paragraph 21</w:t>
            </w:r>
          </w:p>
        </w:tc>
        <w:tc>
          <w:tcPr>
            <w:tcW w:w="2171" w:type="dxa"/>
          </w:tcPr>
          <w:p w:rsidR="00DE5043" w:rsidRPr="00960164" w:rsidRDefault="00DE5043" w:rsidP="00725E37">
            <w:r w:rsidRPr="00960164">
              <w:t>Article 16(1)(b)</w:t>
            </w:r>
          </w:p>
        </w:tc>
        <w:tc>
          <w:tcPr>
            <w:tcW w:w="2423" w:type="dxa"/>
          </w:tcPr>
          <w:p w:rsidR="00DE5043" w:rsidRPr="00960164" w:rsidRDefault="00DE5043" w:rsidP="00725E37">
            <w:r w:rsidRPr="00960164">
              <w:t>Article 2(1)(b)</w:t>
            </w:r>
          </w:p>
        </w:tc>
        <w:tc>
          <w:tcPr>
            <w:tcW w:w="7395" w:type="dxa"/>
            <w:shd w:val="clear" w:color="auto" w:fill="FFC000"/>
            <w:noWrap/>
          </w:tcPr>
          <w:p w:rsidR="00DE5043" w:rsidRDefault="00DE5043" w:rsidP="00DE5043">
            <w:pPr>
              <w:spacing w:after="120"/>
            </w:pPr>
            <w:r w:rsidRPr="00960164">
              <w:t xml:space="preserve">Text in draft Delegated Directive drawn from MiFID 1 Implementing Directive. </w:t>
            </w:r>
          </w:p>
          <w:p w:rsidR="00DE5043" w:rsidRDefault="00DE5043" w:rsidP="00DE5043">
            <w:pPr>
              <w:spacing w:after="120"/>
            </w:pPr>
            <w:r>
              <w:t xml:space="preserve">As directed in Technical Advice paragraph 21, Delegated Directive Article 2(1)(b) has been amended such that the following phrase (in quotes and bold) has been </w:t>
            </w:r>
            <w:r w:rsidRPr="00DE5043">
              <w:rPr>
                <w:u w:val="single"/>
              </w:rPr>
              <w:t>added</w:t>
            </w:r>
            <w:r>
              <w:t xml:space="preserve"> to the new draft Delegated Directive:</w:t>
            </w:r>
          </w:p>
          <w:p w:rsidR="00DE5043" w:rsidRPr="00960164" w:rsidRDefault="00DE5043" w:rsidP="00DE5043">
            <w:r>
              <w:t xml:space="preserve">[they must maintain their records and accounts in a way that ensures their accuracy, and in particular their correspondence to the financial instruments and </w:t>
            </w:r>
            <w:r>
              <w:lastRenderedPageBreak/>
              <w:t>funds held for clients] “</w:t>
            </w:r>
            <w:r w:rsidRPr="00DE5043">
              <w:rPr>
                <w:b/>
              </w:rPr>
              <w:t>and that they may be used as an audit trail</w:t>
            </w:r>
            <w:r>
              <w:t>”;</w:t>
            </w:r>
          </w:p>
        </w:tc>
      </w:tr>
      <w:tr w:rsidR="000A032B" w:rsidRPr="001E0645" w:rsidTr="00DE5043">
        <w:tc>
          <w:tcPr>
            <w:tcW w:w="2229" w:type="dxa"/>
            <w:shd w:val="clear" w:color="auto" w:fill="32464D"/>
          </w:tcPr>
          <w:p w:rsidR="000A032B" w:rsidRPr="000A032B" w:rsidRDefault="000A032B" w:rsidP="003A1A1C">
            <w:pPr>
              <w:rPr>
                <w:color w:val="FFFFFF" w:themeColor="background1"/>
              </w:rPr>
            </w:pPr>
            <w:r w:rsidRPr="000A032B">
              <w:rPr>
                <w:color w:val="FFFFFF" w:themeColor="background1"/>
              </w:rPr>
              <w:lastRenderedPageBreak/>
              <w:t>N/A</w:t>
            </w:r>
          </w:p>
        </w:tc>
        <w:tc>
          <w:tcPr>
            <w:tcW w:w="2171" w:type="dxa"/>
          </w:tcPr>
          <w:p w:rsidR="000A032B" w:rsidRPr="00F903BD" w:rsidRDefault="000A032B" w:rsidP="003A1A1C">
            <w:r w:rsidRPr="00F903BD">
              <w:t>Article 16(1)(c)</w:t>
            </w:r>
          </w:p>
        </w:tc>
        <w:tc>
          <w:tcPr>
            <w:tcW w:w="2423" w:type="dxa"/>
          </w:tcPr>
          <w:p w:rsidR="000A032B" w:rsidRPr="00F903BD" w:rsidRDefault="000A032B" w:rsidP="003A1A1C">
            <w:r w:rsidRPr="00F903BD">
              <w:t>Article 2(1)(c)</w:t>
            </w:r>
          </w:p>
        </w:tc>
        <w:tc>
          <w:tcPr>
            <w:tcW w:w="7395" w:type="dxa"/>
            <w:shd w:val="clear" w:color="auto" w:fill="FFC000"/>
            <w:noWrap/>
          </w:tcPr>
          <w:p w:rsidR="000A032B" w:rsidRPr="00F903BD" w:rsidRDefault="000A032B" w:rsidP="003A1A1C">
            <w:r w:rsidRPr="00F903BD">
              <w:t>Text in draft Delegated Directive drawn from MiFID 1 Implementing Directive.  No changes.</w:t>
            </w:r>
          </w:p>
        </w:tc>
      </w:tr>
      <w:tr w:rsidR="000A032B" w:rsidRPr="001E0645" w:rsidTr="00DE5043">
        <w:tc>
          <w:tcPr>
            <w:tcW w:w="2229" w:type="dxa"/>
            <w:shd w:val="clear" w:color="auto" w:fill="32464D"/>
          </w:tcPr>
          <w:p w:rsidR="000A032B" w:rsidRPr="000A032B" w:rsidRDefault="000A032B" w:rsidP="003A1A1C">
            <w:pPr>
              <w:rPr>
                <w:color w:val="FFFFFF" w:themeColor="background1"/>
              </w:rPr>
            </w:pPr>
            <w:r w:rsidRPr="000A032B">
              <w:rPr>
                <w:color w:val="FFFFFF" w:themeColor="background1"/>
              </w:rPr>
              <w:t>N/A</w:t>
            </w:r>
          </w:p>
        </w:tc>
        <w:tc>
          <w:tcPr>
            <w:tcW w:w="2171" w:type="dxa"/>
          </w:tcPr>
          <w:p w:rsidR="000A032B" w:rsidRPr="00F903BD" w:rsidRDefault="000A032B" w:rsidP="003A1A1C">
            <w:r w:rsidRPr="00F903BD">
              <w:t>Article 16(1)(d)</w:t>
            </w:r>
          </w:p>
        </w:tc>
        <w:tc>
          <w:tcPr>
            <w:tcW w:w="2423" w:type="dxa"/>
          </w:tcPr>
          <w:p w:rsidR="000A032B" w:rsidRPr="00F903BD" w:rsidRDefault="000A032B" w:rsidP="003A1A1C">
            <w:r w:rsidRPr="00F903BD">
              <w:t>Article 2(1)(d)</w:t>
            </w:r>
          </w:p>
        </w:tc>
        <w:tc>
          <w:tcPr>
            <w:tcW w:w="7395" w:type="dxa"/>
            <w:shd w:val="clear" w:color="auto" w:fill="FFC000"/>
            <w:noWrap/>
          </w:tcPr>
          <w:p w:rsidR="000A032B" w:rsidRPr="00F903BD" w:rsidRDefault="000A032B" w:rsidP="003A1A1C">
            <w:r w:rsidRPr="00F903BD">
              <w:t>Text in draft Delegated Directive drawn from MiFID 1 Implementing Directive.  Minor changes – article number cross-reference amended.</w:t>
            </w:r>
          </w:p>
        </w:tc>
      </w:tr>
      <w:tr w:rsidR="000A032B" w:rsidRPr="001E0645" w:rsidTr="00DE5043">
        <w:tc>
          <w:tcPr>
            <w:tcW w:w="2229" w:type="dxa"/>
            <w:shd w:val="clear" w:color="auto" w:fill="32464D"/>
          </w:tcPr>
          <w:p w:rsidR="000A032B" w:rsidRPr="000A032B" w:rsidRDefault="000A032B" w:rsidP="003A1A1C">
            <w:pPr>
              <w:rPr>
                <w:color w:val="FFFFFF" w:themeColor="background1"/>
              </w:rPr>
            </w:pPr>
            <w:r w:rsidRPr="000A032B">
              <w:rPr>
                <w:color w:val="FFFFFF" w:themeColor="background1"/>
              </w:rPr>
              <w:t>N/A</w:t>
            </w:r>
          </w:p>
        </w:tc>
        <w:tc>
          <w:tcPr>
            <w:tcW w:w="2171" w:type="dxa"/>
          </w:tcPr>
          <w:p w:rsidR="000A032B" w:rsidRPr="00F903BD" w:rsidRDefault="000A032B" w:rsidP="003A1A1C">
            <w:r w:rsidRPr="00F903BD">
              <w:t>Article 16(1)(e)</w:t>
            </w:r>
          </w:p>
        </w:tc>
        <w:tc>
          <w:tcPr>
            <w:tcW w:w="2423" w:type="dxa"/>
          </w:tcPr>
          <w:p w:rsidR="000A032B" w:rsidRPr="00F903BD" w:rsidRDefault="000A032B" w:rsidP="003A1A1C">
            <w:r w:rsidRPr="00F903BD">
              <w:t>Article 2(1)(e)</w:t>
            </w:r>
          </w:p>
        </w:tc>
        <w:tc>
          <w:tcPr>
            <w:tcW w:w="7395" w:type="dxa"/>
            <w:shd w:val="clear" w:color="auto" w:fill="FFC000"/>
            <w:noWrap/>
          </w:tcPr>
          <w:p w:rsidR="000A032B" w:rsidRPr="00F903BD" w:rsidRDefault="000A032B" w:rsidP="003A1A1C">
            <w:r w:rsidRPr="00F903BD">
              <w:t>Text in draft Delegated Directive drawn from MiFID 1 Implementing Directive.  Minor changes – article number cross-reference amended.</w:t>
            </w:r>
          </w:p>
        </w:tc>
      </w:tr>
      <w:tr w:rsidR="000A032B" w:rsidRPr="001E0645" w:rsidTr="00DE5043">
        <w:tc>
          <w:tcPr>
            <w:tcW w:w="2229" w:type="dxa"/>
            <w:shd w:val="clear" w:color="auto" w:fill="32464D"/>
          </w:tcPr>
          <w:p w:rsidR="000A032B" w:rsidRPr="000A032B" w:rsidRDefault="000A032B" w:rsidP="003A1A1C">
            <w:pPr>
              <w:rPr>
                <w:color w:val="FFFFFF" w:themeColor="background1"/>
              </w:rPr>
            </w:pPr>
            <w:r w:rsidRPr="000A032B">
              <w:rPr>
                <w:color w:val="FFFFFF" w:themeColor="background1"/>
              </w:rPr>
              <w:t>N/A</w:t>
            </w:r>
          </w:p>
        </w:tc>
        <w:tc>
          <w:tcPr>
            <w:tcW w:w="2171" w:type="dxa"/>
          </w:tcPr>
          <w:p w:rsidR="000A032B" w:rsidRPr="00F903BD" w:rsidRDefault="000A032B" w:rsidP="003A1A1C">
            <w:r w:rsidRPr="00F903BD">
              <w:t>Article 16(1)(f)</w:t>
            </w:r>
          </w:p>
        </w:tc>
        <w:tc>
          <w:tcPr>
            <w:tcW w:w="2423" w:type="dxa"/>
          </w:tcPr>
          <w:p w:rsidR="000A032B" w:rsidRPr="00F903BD" w:rsidRDefault="000A032B" w:rsidP="003A1A1C">
            <w:r w:rsidRPr="00F903BD">
              <w:t>Article 2(1)(f)</w:t>
            </w:r>
          </w:p>
        </w:tc>
        <w:tc>
          <w:tcPr>
            <w:tcW w:w="7395" w:type="dxa"/>
            <w:shd w:val="clear" w:color="auto" w:fill="FFC000"/>
            <w:noWrap/>
          </w:tcPr>
          <w:p w:rsidR="000A032B" w:rsidRDefault="000A032B" w:rsidP="003A1A1C">
            <w:r w:rsidRPr="00F903BD">
              <w:t>Text in draft Delegated Directive drawn from MiFID 1 Implementing Directive.  No changes.</w:t>
            </w:r>
          </w:p>
        </w:tc>
      </w:tr>
      <w:tr w:rsidR="000A032B" w:rsidRPr="001E0645" w:rsidTr="00DE5043">
        <w:tc>
          <w:tcPr>
            <w:tcW w:w="2229" w:type="dxa"/>
            <w:shd w:val="clear" w:color="auto" w:fill="32464D"/>
          </w:tcPr>
          <w:p w:rsidR="000A032B" w:rsidRPr="000A032B" w:rsidRDefault="000A032B" w:rsidP="007B7765">
            <w:pPr>
              <w:rPr>
                <w:color w:val="FFFFFF" w:themeColor="background1"/>
              </w:rPr>
            </w:pPr>
            <w:r w:rsidRPr="000A032B">
              <w:rPr>
                <w:color w:val="FFFFFF" w:themeColor="background1"/>
              </w:rPr>
              <w:t>N/A</w:t>
            </w:r>
          </w:p>
        </w:tc>
        <w:tc>
          <w:tcPr>
            <w:tcW w:w="2171" w:type="dxa"/>
          </w:tcPr>
          <w:p w:rsidR="000A032B" w:rsidRPr="00AC41ED" w:rsidRDefault="000A032B" w:rsidP="007B7765">
            <w:r w:rsidRPr="00AC41ED">
              <w:t>Article 16(2)</w:t>
            </w:r>
          </w:p>
        </w:tc>
        <w:tc>
          <w:tcPr>
            <w:tcW w:w="2423" w:type="dxa"/>
          </w:tcPr>
          <w:p w:rsidR="000A032B" w:rsidRPr="00AC41ED" w:rsidRDefault="000A032B" w:rsidP="007B7765">
            <w:r w:rsidRPr="00AC41ED">
              <w:t>Article 2(2)</w:t>
            </w:r>
          </w:p>
        </w:tc>
        <w:tc>
          <w:tcPr>
            <w:tcW w:w="7395" w:type="dxa"/>
            <w:shd w:val="clear" w:color="auto" w:fill="FFC000"/>
            <w:noWrap/>
          </w:tcPr>
          <w:p w:rsidR="000A032B" w:rsidRDefault="000A032B" w:rsidP="007B7765">
            <w:r w:rsidRPr="00AC41ED">
              <w:t xml:space="preserve">Text in draft Delegated Directive drawn from MiFID 1 Implementing Directive.  Minor changes – language tidy-up, re-ordering of sentences and amendments to number cross-references. </w:t>
            </w:r>
          </w:p>
        </w:tc>
      </w:tr>
      <w:tr w:rsidR="000A032B" w:rsidRPr="001E0645" w:rsidTr="000A032B">
        <w:trPr>
          <w:trHeight w:val="1405"/>
        </w:trPr>
        <w:tc>
          <w:tcPr>
            <w:tcW w:w="2229" w:type="dxa"/>
            <w:shd w:val="clear" w:color="auto" w:fill="32464D"/>
          </w:tcPr>
          <w:p w:rsidR="000A032B" w:rsidRPr="007526D9" w:rsidRDefault="000A032B" w:rsidP="009D4BB5">
            <w:r w:rsidRPr="000A032B">
              <w:rPr>
                <w:color w:val="FFFFFF" w:themeColor="background1"/>
              </w:rPr>
              <w:t>Paragraph 18</w:t>
            </w:r>
          </w:p>
        </w:tc>
        <w:tc>
          <w:tcPr>
            <w:tcW w:w="2171" w:type="dxa"/>
          </w:tcPr>
          <w:p w:rsidR="000A032B" w:rsidRPr="007526D9" w:rsidRDefault="000A032B" w:rsidP="009D4BB5">
            <w:r w:rsidRPr="007526D9">
              <w:t>Article 16(3)</w:t>
            </w:r>
          </w:p>
        </w:tc>
        <w:tc>
          <w:tcPr>
            <w:tcW w:w="2423" w:type="dxa"/>
          </w:tcPr>
          <w:p w:rsidR="000A032B" w:rsidRPr="007526D9" w:rsidRDefault="000A032B" w:rsidP="009D4BB5">
            <w:r w:rsidRPr="007526D9">
              <w:t>Article 2(3)</w:t>
            </w:r>
          </w:p>
        </w:tc>
        <w:tc>
          <w:tcPr>
            <w:tcW w:w="7395" w:type="dxa"/>
            <w:shd w:val="clear" w:color="auto" w:fill="92D050"/>
          </w:tcPr>
          <w:p w:rsidR="000A032B" w:rsidRDefault="000A032B" w:rsidP="000A032B">
            <w:pPr>
              <w:spacing w:after="120"/>
            </w:pPr>
            <w:r w:rsidRPr="007526D9">
              <w:t>Text in first sub-paragraph draft Delegated Directive drawn from M</w:t>
            </w:r>
            <w:r>
              <w:t>iFID 1 Implementing Directive.</w:t>
            </w:r>
          </w:p>
          <w:p w:rsidR="000A032B" w:rsidRDefault="000A032B" w:rsidP="000A032B">
            <w:pPr>
              <w:spacing w:after="120"/>
            </w:pPr>
            <w:r>
              <w:t>New text in second sub-paragraph, as directed in Technical Advice paragraph 18:</w:t>
            </w:r>
          </w:p>
          <w:p w:rsidR="000A032B" w:rsidRPr="007526D9" w:rsidRDefault="000A032B" w:rsidP="000A032B">
            <w:pPr>
              <w:spacing w:after="120"/>
            </w:pPr>
            <w:r>
              <w:t>“</w:t>
            </w:r>
            <w:r w:rsidRPr="000A032B">
              <w:rPr>
                <w:i/>
              </w:rPr>
              <w:t>When relying on such equivalent requirements under Article 2(1)(d) or (e), Member States shall ensure that investment firms inform clients that in such instances they do not benefit from the provisions envisaged under Directive 2014/65/EU [MiFID2] and this [Delegated] Directive.</w:t>
            </w:r>
            <w:r>
              <w:t>”</w:t>
            </w:r>
          </w:p>
        </w:tc>
      </w:tr>
      <w:tr w:rsidR="000A032B" w:rsidRPr="001E0645" w:rsidTr="000A032B">
        <w:trPr>
          <w:trHeight w:val="4796"/>
        </w:trPr>
        <w:tc>
          <w:tcPr>
            <w:tcW w:w="2229" w:type="dxa"/>
            <w:shd w:val="clear" w:color="auto" w:fill="32464D"/>
          </w:tcPr>
          <w:p w:rsidR="000A032B" w:rsidRPr="009B5385" w:rsidRDefault="000A032B" w:rsidP="00947160">
            <w:r w:rsidRPr="000A032B">
              <w:rPr>
                <w:color w:val="FFFFFF" w:themeColor="background1"/>
              </w:rPr>
              <w:lastRenderedPageBreak/>
              <w:t>Paragraphs 14, 15 and 16</w:t>
            </w:r>
          </w:p>
        </w:tc>
        <w:tc>
          <w:tcPr>
            <w:tcW w:w="2171" w:type="dxa"/>
          </w:tcPr>
          <w:p w:rsidR="000A032B" w:rsidRPr="009B5385" w:rsidRDefault="000A032B" w:rsidP="00947160">
            <w:r w:rsidRPr="009B5385">
              <w:t>N/A</w:t>
            </w:r>
          </w:p>
        </w:tc>
        <w:tc>
          <w:tcPr>
            <w:tcW w:w="2423" w:type="dxa"/>
          </w:tcPr>
          <w:p w:rsidR="000A032B" w:rsidRPr="009B5385" w:rsidRDefault="000A032B" w:rsidP="00947160">
            <w:r w:rsidRPr="009B5385">
              <w:t>Article 2(4)</w:t>
            </w:r>
          </w:p>
        </w:tc>
        <w:tc>
          <w:tcPr>
            <w:tcW w:w="7395" w:type="dxa"/>
            <w:shd w:val="clear" w:color="auto" w:fill="92D050"/>
          </w:tcPr>
          <w:p w:rsidR="000A032B" w:rsidRDefault="000A032B" w:rsidP="000A032B">
            <w:pPr>
              <w:spacing w:after="120"/>
            </w:pPr>
            <w:r w:rsidRPr="009B5385">
              <w:t xml:space="preserve">As directed in Technical Advice paragraphs 14, 15 and 16, new text added to Delegated Directive in relation to </w:t>
            </w:r>
            <w:r w:rsidRPr="000A032B">
              <w:rPr>
                <w:b/>
              </w:rPr>
              <w:t>inappropriate security interests, liens or rights of set-off over client financial instruments and funds and recording liens and other encumbrances</w:t>
            </w:r>
            <w:r w:rsidRPr="009B5385">
              <w:t>:</w:t>
            </w:r>
            <w:r>
              <w:t xml:space="preserve"> </w:t>
            </w:r>
          </w:p>
          <w:p w:rsidR="000A032B" w:rsidRPr="000A032B" w:rsidRDefault="000A032B" w:rsidP="000A032B">
            <w:pPr>
              <w:spacing w:after="120"/>
              <w:rPr>
                <w:i/>
              </w:rPr>
            </w:pPr>
            <w:r w:rsidRPr="000A032B">
              <w:rPr>
                <w:i/>
              </w:rPr>
              <w:t>“Member States shall ensure that security interests, liens or rights of set-off over client financial instruments or funds enabling a third party to dispose of client’s financial instruments or funds in order to recover debts that do not relate to the client or provision of services to the client are not permitted except where this is required by applicable law in a third country jurisdiction in which the client funds or financial instruments are held</w:t>
            </w:r>
          </w:p>
          <w:p w:rsidR="000A032B" w:rsidRDefault="000A032B" w:rsidP="000A032B">
            <w:pPr>
              <w:spacing w:after="120"/>
            </w:pPr>
            <w:r w:rsidRPr="000A032B">
              <w:rPr>
                <w:i/>
              </w:rPr>
              <w:t>Member States shall require investment firms, where the firm is obliged to enter into agreements that create such security interests, liens or rights of set-off, to disclose that information to clients indicating to them the risks associated with those arrangements.</w:t>
            </w:r>
            <w:r>
              <w:t xml:space="preserve"> </w:t>
            </w:r>
          </w:p>
          <w:p w:rsidR="000A032B" w:rsidRPr="009B5385" w:rsidRDefault="000A032B" w:rsidP="000A032B">
            <w:r w:rsidRPr="000A032B">
              <w:rPr>
                <w:i/>
              </w:rPr>
              <w:t>Where security interests, liens or rights of set-off are granted by the firm over client financial instruments or funds, or where the firm has been informed that they are granted, they shall be recorded in client contracts and the firm’s own accounts to make the ownership status of client assets clear, such as in the event of an insolvency.”</w:t>
            </w:r>
          </w:p>
        </w:tc>
      </w:tr>
      <w:tr w:rsidR="000A032B" w:rsidRPr="001E0645" w:rsidTr="008744F5">
        <w:trPr>
          <w:trHeight w:val="1961"/>
        </w:trPr>
        <w:tc>
          <w:tcPr>
            <w:tcW w:w="2229" w:type="dxa"/>
            <w:shd w:val="clear" w:color="auto" w:fill="32464D"/>
          </w:tcPr>
          <w:p w:rsidR="000A032B" w:rsidRPr="000A032B" w:rsidRDefault="000A032B" w:rsidP="00ED2372">
            <w:pPr>
              <w:rPr>
                <w:color w:val="FFFFFF" w:themeColor="background1"/>
              </w:rPr>
            </w:pPr>
            <w:r w:rsidRPr="000A032B">
              <w:rPr>
                <w:color w:val="FFFFFF" w:themeColor="background1"/>
              </w:rPr>
              <w:t>Paragraph 20</w:t>
            </w:r>
          </w:p>
        </w:tc>
        <w:tc>
          <w:tcPr>
            <w:tcW w:w="2171" w:type="dxa"/>
          </w:tcPr>
          <w:p w:rsidR="000A032B" w:rsidRPr="00470BEA" w:rsidRDefault="000A032B" w:rsidP="00ED2372">
            <w:r w:rsidRPr="00470BEA">
              <w:t>N/A</w:t>
            </w:r>
          </w:p>
        </w:tc>
        <w:tc>
          <w:tcPr>
            <w:tcW w:w="2423" w:type="dxa"/>
          </w:tcPr>
          <w:p w:rsidR="000A032B" w:rsidRPr="00470BEA" w:rsidRDefault="000A032B" w:rsidP="00ED2372">
            <w:r w:rsidRPr="00470BEA">
              <w:t>Article 2(5)(a) to (f)</w:t>
            </w:r>
          </w:p>
        </w:tc>
        <w:tc>
          <w:tcPr>
            <w:tcW w:w="7395" w:type="dxa"/>
            <w:shd w:val="clear" w:color="auto" w:fill="92D050"/>
          </w:tcPr>
          <w:p w:rsidR="008744F5" w:rsidRDefault="000A032B" w:rsidP="008744F5">
            <w:pPr>
              <w:spacing w:after="120"/>
            </w:pPr>
            <w:r w:rsidRPr="00470BEA">
              <w:t>As directed in Technical Advice paragraph 20, new text added to Delegated Directive:</w:t>
            </w:r>
          </w:p>
          <w:p w:rsidR="008744F5" w:rsidRPr="008744F5" w:rsidRDefault="008744F5" w:rsidP="008744F5">
            <w:pPr>
              <w:spacing w:after="120"/>
              <w:rPr>
                <w:i/>
              </w:rPr>
            </w:pPr>
            <w:r w:rsidRPr="008744F5">
              <w:t>“</w:t>
            </w:r>
            <w:r w:rsidRPr="008744F5">
              <w:rPr>
                <w:i/>
              </w:rPr>
              <w:t>Member States shall require that investment firms make information pertaining to clients' financial instruments and funds readily available to the following entities: competent authorities, appointed insolvency practitioners and those responsible for the resolution of failed institutions. The information to be made available shall include the following: (a) related internal accounts and records that readily identify the balances of funds and financial instruments held for each client;</w:t>
            </w:r>
          </w:p>
          <w:p w:rsidR="008744F5" w:rsidRPr="008744F5" w:rsidRDefault="008744F5" w:rsidP="008744F5">
            <w:pPr>
              <w:spacing w:after="120"/>
              <w:rPr>
                <w:i/>
              </w:rPr>
            </w:pPr>
            <w:r w:rsidRPr="008744F5">
              <w:rPr>
                <w:i/>
              </w:rPr>
              <w:t xml:space="preserve">(b) where client funds are held by the investment firm in accordance with Article </w:t>
            </w:r>
            <w:r w:rsidRPr="008744F5">
              <w:rPr>
                <w:i/>
              </w:rPr>
              <w:lastRenderedPageBreak/>
              <w:t>4, as well as details of the accounts where client funds are held and the relevant agreements with those entities;</w:t>
            </w:r>
          </w:p>
          <w:p w:rsidR="008744F5" w:rsidRPr="008744F5" w:rsidRDefault="008744F5" w:rsidP="008744F5">
            <w:pPr>
              <w:spacing w:after="120"/>
              <w:rPr>
                <w:i/>
              </w:rPr>
            </w:pPr>
            <w:r w:rsidRPr="008744F5">
              <w:rPr>
                <w:i/>
              </w:rPr>
              <w:t>(c) where financial instruments held by the investment firm in accordance with Article 3, as well as details of accounts opened with third parties and the relevant agreements with those entities;</w:t>
            </w:r>
          </w:p>
          <w:p w:rsidR="008744F5" w:rsidRPr="008744F5" w:rsidRDefault="008744F5" w:rsidP="008744F5">
            <w:pPr>
              <w:spacing w:after="120"/>
              <w:rPr>
                <w:i/>
              </w:rPr>
            </w:pPr>
            <w:r w:rsidRPr="008744F5">
              <w:rPr>
                <w:i/>
              </w:rPr>
              <w:t>(d) details of third parties carrying out any related (outsourced) tasks and details of any outsourced tasks</w:t>
            </w:r>
          </w:p>
          <w:p w:rsidR="008744F5" w:rsidRPr="008744F5" w:rsidRDefault="008744F5" w:rsidP="008744F5">
            <w:pPr>
              <w:spacing w:after="120"/>
              <w:rPr>
                <w:i/>
              </w:rPr>
            </w:pPr>
            <w:r w:rsidRPr="008744F5">
              <w:rPr>
                <w:i/>
              </w:rPr>
              <w:t>(e) key individuals of the firm involved in related processes, including those responsible for oversight of the firm’s requirements in relation to the safeguarding of client assets; and</w:t>
            </w:r>
          </w:p>
          <w:p w:rsidR="000A032B" w:rsidRPr="00470BEA" w:rsidRDefault="008744F5" w:rsidP="008744F5">
            <w:r w:rsidRPr="008744F5">
              <w:rPr>
                <w:i/>
              </w:rPr>
              <w:t>(f) agreements relevant to establish client ownership over assets.</w:t>
            </w:r>
            <w:r>
              <w:t>”</w:t>
            </w:r>
          </w:p>
        </w:tc>
      </w:tr>
      <w:tr w:rsidR="008744F5" w:rsidRPr="001E0645" w:rsidTr="008744F5">
        <w:tc>
          <w:tcPr>
            <w:tcW w:w="2229" w:type="dxa"/>
            <w:shd w:val="clear" w:color="auto" w:fill="32464D"/>
          </w:tcPr>
          <w:p w:rsidR="008744F5" w:rsidRPr="008744F5" w:rsidRDefault="008744F5" w:rsidP="00933DE6">
            <w:pPr>
              <w:rPr>
                <w:color w:val="FFFFFF" w:themeColor="background1"/>
              </w:rPr>
            </w:pPr>
            <w:r w:rsidRPr="008744F5">
              <w:rPr>
                <w:color w:val="FFFFFF" w:themeColor="background1"/>
              </w:rPr>
              <w:lastRenderedPageBreak/>
              <w:t>N/A</w:t>
            </w:r>
          </w:p>
        </w:tc>
        <w:tc>
          <w:tcPr>
            <w:tcW w:w="2171" w:type="dxa"/>
          </w:tcPr>
          <w:p w:rsidR="008744F5" w:rsidRPr="00892924" w:rsidRDefault="008744F5" w:rsidP="00933DE6">
            <w:r w:rsidRPr="00892924">
              <w:t>Article 17(1)</w:t>
            </w:r>
          </w:p>
        </w:tc>
        <w:tc>
          <w:tcPr>
            <w:tcW w:w="2423" w:type="dxa"/>
          </w:tcPr>
          <w:p w:rsidR="008744F5" w:rsidRPr="00892924" w:rsidRDefault="008744F5" w:rsidP="00933DE6">
            <w:r w:rsidRPr="00892924">
              <w:t>Article 3(1)</w:t>
            </w:r>
          </w:p>
        </w:tc>
        <w:tc>
          <w:tcPr>
            <w:tcW w:w="7395" w:type="dxa"/>
            <w:shd w:val="clear" w:color="auto" w:fill="92D050"/>
          </w:tcPr>
          <w:p w:rsidR="008744F5" w:rsidRPr="00892924" w:rsidRDefault="008744F5" w:rsidP="00933DE6">
            <w:r w:rsidRPr="00892924">
              <w:t>Text in draft Delegated Directive drawn from MiFID 1 Implementing Directive.  Minor changes – language tidy-up.</w:t>
            </w:r>
          </w:p>
        </w:tc>
      </w:tr>
      <w:tr w:rsidR="008744F5" w:rsidRPr="001E0645" w:rsidTr="008744F5">
        <w:tc>
          <w:tcPr>
            <w:tcW w:w="2229" w:type="dxa"/>
            <w:shd w:val="clear" w:color="auto" w:fill="32464D"/>
          </w:tcPr>
          <w:p w:rsidR="008744F5" w:rsidRPr="008744F5" w:rsidRDefault="008744F5" w:rsidP="00933DE6">
            <w:pPr>
              <w:rPr>
                <w:color w:val="FFFFFF" w:themeColor="background1"/>
              </w:rPr>
            </w:pPr>
            <w:r w:rsidRPr="008744F5">
              <w:rPr>
                <w:color w:val="FFFFFF" w:themeColor="background1"/>
              </w:rPr>
              <w:t>N/A</w:t>
            </w:r>
          </w:p>
        </w:tc>
        <w:tc>
          <w:tcPr>
            <w:tcW w:w="2171" w:type="dxa"/>
          </w:tcPr>
          <w:p w:rsidR="008744F5" w:rsidRPr="00892924" w:rsidRDefault="008744F5" w:rsidP="00933DE6">
            <w:r w:rsidRPr="00892924">
              <w:t>Article 17(2)</w:t>
            </w:r>
          </w:p>
        </w:tc>
        <w:tc>
          <w:tcPr>
            <w:tcW w:w="2423" w:type="dxa"/>
          </w:tcPr>
          <w:p w:rsidR="008744F5" w:rsidRPr="00892924" w:rsidRDefault="008744F5" w:rsidP="00933DE6">
            <w:r w:rsidRPr="00892924">
              <w:t>Article 3(2)</w:t>
            </w:r>
          </w:p>
        </w:tc>
        <w:tc>
          <w:tcPr>
            <w:tcW w:w="7395" w:type="dxa"/>
            <w:shd w:val="clear" w:color="auto" w:fill="92D050"/>
          </w:tcPr>
          <w:p w:rsidR="008744F5" w:rsidRPr="00892924" w:rsidRDefault="008744F5" w:rsidP="00933DE6">
            <w:r w:rsidRPr="00892924">
              <w:t>Text in draft Delegated Directive drawn from MiFID 1 Implementing Directive.  Minor changes – language tidy-up.</w:t>
            </w:r>
          </w:p>
        </w:tc>
      </w:tr>
      <w:tr w:rsidR="008744F5" w:rsidRPr="001E0645" w:rsidTr="008744F5">
        <w:tc>
          <w:tcPr>
            <w:tcW w:w="2229" w:type="dxa"/>
            <w:shd w:val="clear" w:color="auto" w:fill="32464D"/>
          </w:tcPr>
          <w:p w:rsidR="008744F5" w:rsidRPr="008744F5" w:rsidRDefault="008744F5" w:rsidP="00933DE6">
            <w:pPr>
              <w:rPr>
                <w:color w:val="FFFFFF" w:themeColor="background1"/>
              </w:rPr>
            </w:pPr>
            <w:r w:rsidRPr="008744F5">
              <w:rPr>
                <w:color w:val="FFFFFF" w:themeColor="background1"/>
              </w:rPr>
              <w:t>N/A</w:t>
            </w:r>
          </w:p>
        </w:tc>
        <w:tc>
          <w:tcPr>
            <w:tcW w:w="2171" w:type="dxa"/>
          </w:tcPr>
          <w:p w:rsidR="008744F5" w:rsidRPr="00892924" w:rsidRDefault="008744F5" w:rsidP="00933DE6">
            <w:r w:rsidRPr="00892924">
              <w:t>Article 17(3)</w:t>
            </w:r>
          </w:p>
        </w:tc>
        <w:tc>
          <w:tcPr>
            <w:tcW w:w="2423" w:type="dxa"/>
          </w:tcPr>
          <w:p w:rsidR="008744F5" w:rsidRPr="00892924" w:rsidRDefault="008744F5" w:rsidP="00933DE6">
            <w:r w:rsidRPr="00892924">
              <w:t>Article 3(3)</w:t>
            </w:r>
          </w:p>
        </w:tc>
        <w:tc>
          <w:tcPr>
            <w:tcW w:w="7395" w:type="dxa"/>
            <w:shd w:val="clear" w:color="auto" w:fill="92D050"/>
          </w:tcPr>
          <w:p w:rsidR="008744F5" w:rsidRPr="00892924" w:rsidRDefault="008744F5" w:rsidP="00933DE6">
            <w:r w:rsidRPr="00892924">
              <w:t>Text in draft Delegated Directive drawn from MiFID 1 Implementing Directive.  No changes.</w:t>
            </w:r>
          </w:p>
        </w:tc>
      </w:tr>
      <w:tr w:rsidR="008744F5" w:rsidRPr="001E0645" w:rsidTr="008744F5">
        <w:tc>
          <w:tcPr>
            <w:tcW w:w="2229" w:type="dxa"/>
            <w:shd w:val="clear" w:color="auto" w:fill="32464D"/>
          </w:tcPr>
          <w:p w:rsidR="008744F5" w:rsidRPr="008744F5" w:rsidRDefault="008744F5" w:rsidP="00933DE6">
            <w:pPr>
              <w:rPr>
                <w:color w:val="FFFFFF" w:themeColor="background1"/>
              </w:rPr>
            </w:pPr>
            <w:r w:rsidRPr="008744F5">
              <w:rPr>
                <w:color w:val="FFFFFF" w:themeColor="background1"/>
              </w:rPr>
              <w:t>N/A</w:t>
            </w:r>
          </w:p>
        </w:tc>
        <w:tc>
          <w:tcPr>
            <w:tcW w:w="2171" w:type="dxa"/>
          </w:tcPr>
          <w:p w:rsidR="008744F5" w:rsidRPr="00892924" w:rsidRDefault="008744F5" w:rsidP="00933DE6">
            <w:r w:rsidRPr="00892924">
              <w:t>Article 17(3)(a)</w:t>
            </w:r>
          </w:p>
        </w:tc>
        <w:tc>
          <w:tcPr>
            <w:tcW w:w="2423" w:type="dxa"/>
          </w:tcPr>
          <w:p w:rsidR="008744F5" w:rsidRPr="00892924" w:rsidRDefault="008744F5" w:rsidP="00933DE6">
            <w:r w:rsidRPr="00892924">
              <w:t>Article 3(3)(a)</w:t>
            </w:r>
          </w:p>
        </w:tc>
        <w:tc>
          <w:tcPr>
            <w:tcW w:w="7395" w:type="dxa"/>
            <w:shd w:val="clear" w:color="auto" w:fill="92D050"/>
          </w:tcPr>
          <w:p w:rsidR="008744F5" w:rsidRPr="00892924" w:rsidRDefault="008744F5" w:rsidP="00933DE6">
            <w:r w:rsidRPr="00892924">
              <w:t>Text in draft Delegated Directive drawn from MiFID 1 Implementing Directive.  No changes.</w:t>
            </w:r>
          </w:p>
        </w:tc>
      </w:tr>
      <w:tr w:rsidR="008744F5" w:rsidRPr="001E0645" w:rsidTr="008744F5">
        <w:tc>
          <w:tcPr>
            <w:tcW w:w="2229" w:type="dxa"/>
            <w:shd w:val="clear" w:color="auto" w:fill="32464D"/>
          </w:tcPr>
          <w:p w:rsidR="008744F5" w:rsidRPr="008744F5" w:rsidRDefault="008744F5" w:rsidP="00933DE6">
            <w:pPr>
              <w:rPr>
                <w:color w:val="FFFFFF" w:themeColor="background1"/>
              </w:rPr>
            </w:pPr>
            <w:r w:rsidRPr="008744F5">
              <w:rPr>
                <w:color w:val="FFFFFF" w:themeColor="background1"/>
              </w:rPr>
              <w:t>N/A</w:t>
            </w:r>
          </w:p>
        </w:tc>
        <w:tc>
          <w:tcPr>
            <w:tcW w:w="2171" w:type="dxa"/>
          </w:tcPr>
          <w:p w:rsidR="008744F5" w:rsidRPr="00892924" w:rsidRDefault="008744F5" w:rsidP="00933DE6">
            <w:r w:rsidRPr="00892924">
              <w:t>Article 17(3)(b)</w:t>
            </w:r>
          </w:p>
        </w:tc>
        <w:tc>
          <w:tcPr>
            <w:tcW w:w="2423" w:type="dxa"/>
          </w:tcPr>
          <w:p w:rsidR="008744F5" w:rsidRPr="00892924" w:rsidRDefault="008744F5" w:rsidP="00933DE6">
            <w:r w:rsidRPr="00892924">
              <w:t>Article 3(3)(b)</w:t>
            </w:r>
          </w:p>
        </w:tc>
        <w:tc>
          <w:tcPr>
            <w:tcW w:w="7395" w:type="dxa"/>
            <w:shd w:val="clear" w:color="auto" w:fill="92D050"/>
          </w:tcPr>
          <w:p w:rsidR="008744F5" w:rsidRDefault="008744F5" w:rsidP="00933DE6">
            <w:r w:rsidRPr="00892924">
              <w:t>Text in draft Delegated Directive drawn from MiFID 1 Implementing Directive.  Minor changes – language tidy-up.</w:t>
            </w:r>
          </w:p>
        </w:tc>
      </w:tr>
      <w:tr w:rsidR="008744F5" w:rsidRPr="001E0645" w:rsidTr="008744F5">
        <w:trPr>
          <w:trHeight w:val="1185"/>
        </w:trPr>
        <w:tc>
          <w:tcPr>
            <w:tcW w:w="2229" w:type="dxa"/>
            <w:shd w:val="clear" w:color="auto" w:fill="32464D"/>
          </w:tcPr>
          <w:p w:rsidR="008744F5" w:rsidRPr="008744F5" w:rsidRDefault="008744F5" w:rsidP="00516681">
            <w:pPr>
              <w:rPr>
                <w:color w:val="FFFFFF" w:themeColor="background1"/>
              </w:rPr>
            </w:pPr>
            <w:r w:rsidRPr="008744F5">
              <w:rPr>
                <w:color w:val="FFFFFF" w:themeColor="background1"/>
              </w:rPr>
              <w:t>N/A</w:t>
            </w:r>
          </w:p>
        </w:tc>
        <w:tc>
          <w:tcPr>
            <w:tcW w:w="2171" w:type="dxa"/>
          </w:tcPr>
          <w:p w:rsidR="008744F5" w:rsidRPr="00F86235" w:rsidRDefault="008744F5" w:rsidP="00516681">
            <w:r w:rsidRPr="00F86235">
              <w:t>N/A</w:t>
            </w:r>
          </w:p>
        </w:tc>
        <w:tc>
          <w:tcPr>
            <w:tcW w:w="2423" w:type="dxa"/>
          </w:tcPr>
          <w:p w:rsidR="008744F5" w:rsidRPr="00F86235" w:rsidRDefault="008744F5" w:rsidP="00516681">
            <w:r w:rsidRPr="00F86235">
              <w:t>Article 3(4)</w:t>
            </w:r>
          </w:p>
        </w:tc>
        <w:tc>
          <w:tcPr>
            <w:tcW w:w="7395" w:type="dxa"/>
            <w:shd w:val="clear" w:color="auto" w:fill="FF0000"/>
          </w:tcPr>
          <w:p w:rsidR="008744F5" w:rsidRDefault="008744F5" w:rsidP="008744F5">
            <w:pPr>
              <w:spacing w:after="120"/>
            </w:pPr>
            <w:r w:rsidRPr="00F86235">
              <w:t>New paragraph added to Delegated Directive:</w:t>
            </w:r>
          </w:p>
          <w:p w:rsidR="008744F5" w:rsidRPr="00F86235" w:rsidRDefault="008744F5" w:rsidP="008744F5">
            <w:pPr>
              <w:spacing w:after="120"/>
            </w:pPr>
            <w:r w:rsidRPr="008744F5">
              <w:t>“Member States shall ensure the requirements under paragraph 2 and 3 shall also apply when the third-party has delegated any of its functions concerning the holding and safekeeping of financial instruments to another third-party.”</w:t>
            </w:r>
          </w:p>
        </w:tc>
      </w:tr>
      <w:tr w:rsidR="00BF5830" w:rsidRPr="00BF5830" w:rsidTr="00BF5830">
        <w:tc>
          <w:tcPr>
            <w:tcW w:w="14218" w:type="dxa"/>
            <w:gridSpan w:val="4"/>
            <w:shd w:val="clear" w:color="auto" w:fill="32464D"/>
          </w:tcPr>
          <w:p w:rsidR="008744F5" w:rsidRPr="00BF5830" w:rsidRDefault="008744F5" w:rsidP="008744F5">
            <w:pPr>
              <w:spacing w:after="120"/>
              <w:rPr>
                <w:b/>
                <w:color w:val="FFFFFF" w:themeColor="background1"/>
              </w:rPr>
            </w:pPr>
            <w:r w:rsidRPr="00BF5830">
              <w:rPr>
                <w:b/>
                <w:color w:val="FFFFFF" w:themeColor="background1"/>
              </w:rPr>
              <w:t>Depositing client funds</w:t>
            </w:r>
          </w:p>
        </w:tc>
      </w:tr>
      <w:tr w:rsidR="008744F5" w:rsidRPr="001E0645" w:rsidTr="008744F5">
        <w:tc>
          <w:tcPr>
            <w:tcW w:w="2229" w:type="dxa"/>
            <w:shd w:val="clear" w:color="auto" w:fill="32464D"/>
          </w:tcPr>
          <w:p w:rsidR="008744F5" w:rsidRPr="008744F5" w:rsidRDefault="008744F5" w:rsidP="00F300CC">
            <w:pPr>
              <w:rPr>
                <w:color w:val="FFFFFF" w:themeColor="background1"/>
              </w:rPr>
            </w:pPr>
            <w:r w:rsidRPr="008744F5">
              <w:rPr>
                <w:color w:val="FFFFFF" w:themeColor="background1"/>
              </w:rPr>
              <w:t>N/A</w:t>
            </w:r>
          </w:p>
        </w:tc>
        <w:tc>
          <w:tcPr>
            <w:tcW w:w="2171" w:type="dxa"/>
          </w:tcPr>
          <w:p w:rsidR="008744F5" w:rsidRPr="00000ACC" w:rsidRDefault="008744F5" w:rsidP="00F300CC">
            <w:r w:rsidRPr="00000ACC">
              <w:t>Article 18(1)</w:t>
            </w:r>
          </w:p>
        </w:tc>
        <w:tc>
          <w:tcPr>
            <w:tcW w:w="2423" w:type="dxa"/>
          </w:tcPr>
          <w:p w:rsidR="008744F5" w:rsidRPr="00000ACC" w:rsidRDefault="008744F5" w:rsidP="00F300CC">
            <w:r w:rsidRPr="00000ACC">
              <w:t>Article 4(1)</w:t>
            </w:r>
          </w:p>
        </w:tc>
        <w:tc>
          <w:tcPr>
            <w:tcW w:w="7395" w:type="dxa"/>
            <w:shd w:val="clear" w:color="auto" w:fill="FFC000"/>
          </w:tcPr>
          <w:p w:rsidR="008744F5" w:rsidRDefault="008744F5" w:rsidP="00F300CC">
            <w:r w:rsidRPr="00000ACC">
              <w:t>Text in draft Delegated Directive drawn from MiFID 1 Implementing Directive.  Minor changes – language tidy-up.</w:t>
            </w:r>
          </w:p>
        </w:tc>
      </w:tr>
      <w:tr w:rsidR="008744F5" w:rsidRPr="001E0645" w:rsidTr="008744F5">
        <w:tc>
          <w:tcPr>
            <w:tcW w:w="2229" w:type="dxa"/>
            <w:shd w:val="clear" w:color="auto" w:fill="32464D"/>
          </w:tcPr>
          <w:p w:rsidR="008744F5" w:rsidRPr="008744F5" w:rsidRDefault="008744F5" w:rsidP="00000CD4">
            <w:pPr>
              <w:rPr>
                <w:color w:val="FFFFFF" w:themeColor="background1"/>
              </w:rPr>
            </w:pPr>
            <w:r w:rsidRPr="008744F5">
              <w:rPr>
                <w:color w:val="FFFFFF" w:themeColor="background1"/>
              </w:rPr>
              <w:lastRenderedPageBreak/>
              <w:t>N/A</w:t>
            </w:r>
          </w:p>
        </w:tc>
        <w:tc>
          <w:tcPr>
            <w:tcW w:w="2171" w:type="dxa"/>
          </w:tcPr>
          <w:p w:rsidR="008744F5" w:rsidRPr="00D85146" w:rsidRDefault="008744F5" w:rsidP="00000CD4">
            <w:r w:rsidRPr="00D85146">
              <w:t>Article 18(2)</w:t>
            </w:r>
          </w:p>
        </w:tc>
        <w:tc>
          <w:tcPr>
            <w:tcW w:w="2423" w:type="dxa"/>
          </w:tcPr>
          <w:p w:rsidR="008744F5" w:rsidRPr="00D85146" w:rsidRDefault="008744F5" w:rsidP="00000CD4">
            <w:r w:rsidRPr="00D85146">
              <w:t>Article 1(4) [Definition section]</w:t>
            </w:r>
          </w:p>
        </w:tc>
        <w:tc>
          <w:tcPr>
            <w:tcW w:w="7395" w:type="dxa"/>
            <w:shd w:val="clear" w:color="auto" w:fill="FFC000"/>
          </w:tcPr>
          <w:p w:rsidR="008744F5" w:rsidRDefault="008744F5" w:rsidP="00000CD4">
            <w:r w:rsidRPr="00D85146">
              <w:t>MiFID 1 Implementing Directive Article 18(2) – meaning of “</w:t>
            </w:r>
            <w:r w:rsidRPr="00EF404B">
              <w:rPr>
                <w:b/>
              </w:rPr>
              <w:t>qualifying money market fund</w:t>
            </w:r>
            <w:r w:rsidRPr="00D85146">
              <w:t>” – now appears in Delegated Directive Article 1(4) [Definitions section]. Generally minor changes, but new text in relation to considering such funds to be of “high quality” and in relation to credit rating agencies registered and supervised by ESMA.</w:t>
            </w:r>
          </w:p>
        </w:tc>
      </w:tr>
      <w:tr w:rsidR="00EF404B" w:rsidRPr="001E0645" w:rsidTr="00EF404B">
        <w:trPr>
          <w:trHeight w:val="2110"/>
        </w:trPr>
        <w:tc>
          <w:tcPr>
            <w:tcW w:w="2229" w:type="dxa"/>
            <w:shd w:val="clear" w:color="auto" w:fill="32464D"/>
          </w:tcPr>
          <w:p w:rsidR="00EF404B" w:rsidRPr="00CB6151" w:rsidRDefault="00EF404B" w:rsidP="00025DF5">
            <w:r w:rsidRPr="00EF404B">
              <w:rPr>
                <w:color w:val="FFFFFF" w:themeColor="background1"/>
              </w:rPr>
              <w:t>Paragraph 10</w:t>
            </w:r>
          </w:p>
        </w:tc>
        <w:tc>
          <w:tcPr>
            <w:tcW w:w="2171" w:type="dxa"/>
          </w:tcPr>
          <w:p w:rsidR="00EF404B" w:rsidRPr="00CB6151" w:rsidRDefault="00EF404B" w:rsidP="00025DF5">
            <w:r w:rsidRPr="00CB6151">
              <w:t>Article 18(3)</w:t>
            </w:r>
          </w:p>
        </w:tc>
        <w:tc>
          <w:tcPr>
            <w:tcW w:w="2423" w:type="dxa"/>
          </w:tcPr>
          <w:p w:rsidR="00EF404B" w:rsidRPr="00CB6151" w:rsidRDefault="00EF404B" w:rsidP="00025DF5">
            <w:r w:rsidRPr="00CB6151">
              <w:t>Article 4(2)</w:t>
            </w:r>
          </w:p>
        </w:tc>
        <w:tc>
          <w:tcPr>
            <w:tcW w:w="7395" w:type="dxa"/>
            <w:shd w:val="clear" w:color="auto" w:fill="FFC000"/>
          </w:tcPr>
          <w:p w:rsidR="00EF404B" w:rsidRDefault="00EF404B" w:rsidP="00EF404B">
            <w:pPr>
              <w:spacing w:after="120"/>
            </w:pPr>
            <w:r w:rsidRPr="00CB6151">
              <w:t>Text in draft Delegated Directive drawn from MiFID 1 Implementing Directive.</w:t>
            </w:r>
          </w:p>
          <w:p w:rsidR="00EF404B" w:rsidRDefault="00EF404B" w:rsidP="00EF404B">
            <w:pPr>
              <w:spacing w:after="120"/>
            </w:pPr>
            <w:r>
              <w:t>As directed in Technical Advice paragraph 10, Delegated Directive Article 4(2) first paragraph amended to include the requirement that investment firms consider the need for diversification of the client funds as part of their due diligence.</w:t>
            </w:r>
          </w:p>
          <w:p w:rsidR="00EF404B" w:rsidRDefault="00EF404B" w:rsidP="00EF404B">
            <w:pPr>
              <w:spacing w:after="120"/>
            </w:pPr>
            <w:r>
              <w:t>Delegated Directive Article 4(2) second paragraph is copied from MiFID 1 Implementing Directive.</w:t>
            </w:r>
          </w:p>
          <w:p w:rsidR="00EF404B" w:rsidRDefault="00EF404B" w:rsidP="00EF404B">
            <w:pPr>
              <w:spacing w:after="120"/>
            </w:pPr>
            <w:r>
              <w:t>Delegated Directive Article 4(3) third paragraph contains an additional sentence at the end:</w:t>
            </w:r>
          </w:p>
          <w:p w:rsidR="00EF404B" w:rsidRPr="00CB6151" w:rsidRDefault="00EF404B" w:rsidP="00EF404B">
            <w:pPr>
              <w:spacing w:after="120"/>
            </w:pPr>
            <w:r>
              <w:t>“</w:t>
            </w:r>
            <w:r w:rsidRPr="00EF404B">
              <w:rPr>
                <w:i/>
              </w:rPr>
              <w:t>In order to ensure this right to consent is effective, investment firms shall inform clients that funds placed with a qualifying money market fund will not be held in accordance with the requirements for safeguarding client funds set out in this Directive.</w:t>
            </w:r>
            <w:r>
              <w:t>”</w:t>
            </w:r>
          </w:p>
        </w:tc>
      </w:tr>
      <w:tr w:rsidR="00EF404B" w:rsidRPr="001E0645" w:rsidTr="00EF404B">
        <w:trPr>
          <w:trHeight w:val="920"/>
        </w:trPr>
        <w:tc>
          <w:tcPr>
            <w:tcW w:w="2229" w:type="dxa"/>
            <w:shd w:val="clear" w:color="auto" w:fill="32464D"/>
          </w:tcPr>
          <w:p w:rsidR="00EF404B" w:rsidRPr="00EF404B" w:rsidRDefault="00EF404B" w:rsidP="00D80348">
            <w:pPr>
              <w:rPr>
                <w:color w:val="FFFFFF" w:themeColor="background1"/>
              </w:rPr>
            </w:pPr>
            <w:r w:rsidRPr="00EF404B">
              <w:rPr>
                <w:color w:val="FFFFFF" w:themeColor="background1"/>
              </w:rPr>
              <w:t>Paragraph 11</w:t>
            </w:r>
          </w:p>
        </w:tc>
        <w:tc>
          <w:tcPr>
            <w:tcW w:w="2171" w:type="dxa"/>
          </w:tcPr>
          <w:p w:rsidR="00EF404B" w:rsidRPr="005C082B" w:rsidRDefault="00EF404B" w:rsidP="00D80348">
            <w:r w:rsidRPr="005C082B">
              <w:t>N/A</w:t>
            </w:r>
          </w:p>
        </w:tc>
        <w:tc>
          <w:tcPr>
            <w:tcW w:w="2423" w:type="dxa"/>
          </w:tcPr>
          <w:p w:rsidR="00EF404B" w:rsidRPr="005C082B" w:rsidRDefault="00EF404B" w:rsidP="00D80348">
            <w:r w:rsidRPr="005C082B">
              <w:t>Recital 12 last sentence</w:t>
            </w:r>
          </w:p>
        </w:tc>
        <w:tc>
          <w:tcPr>
            <w:tcW w:w="7395" w:type="dxa"/>
            <w:shd w:val="clear" w:color="auto" w:fill="FFC000"/>
          </w:tcPr>
          <w:p w:rsidR="00EF404B" w:rsidRDefault="00EF404B" w:rsidP="00D80348">
            <w:r w:rsidRPr="005C082B">
              <w:t>Technical Advice Paragraph 11 – “</w:t>
            </w:r>
            <w:r w:rsidRPr="00EF404B">
              <w:rPr>
                <w:i/>
              </w:rPr>
              <w:t>where an investment firm has transferred client funds to a transaction account in order to make a specific transaction for the client, such funds should not be subject to a requirement to diversify</w:t>
            </w:r>
            <w:r w:rsidRPr="005C082B">
              <w:t>” – now appears in Delegated Directive Article 12 last sentence.</w:t>
            </w:r>
          </w:p>
        </w:tc>
      </w:tr>
      <w:tr w:rsidR="00EF404B" w:rsidRPr="001E0645" w:rsidTr="008744F5">
        <w:tc>
          <w:tcPr>
            <w:tcW w:w="2229" w:type="dxa"/>
            <w:shd w:val="clear" w:color="auto" w:fill="32464D"/>
          </w:tcPr>
          <w:p w:rsidR="00EF404B" w:rsidRPr="00CE0407" w:rsidRDefault="00EF404B" w:rsidP="003C3692">
            <w:r w:rsidRPr="00CA6340">
              <w:rPr>
                <w:color w:val="FFFFFF" w:themeColor="background1"/>
              </w:rPr>
              <w:t>Paragraph 12</w:t>
            </w:r>
          </w:p>
        </w:tc>
        <w:tc>
          <w:tcPr>
            <w:tcW w:w="2171" w:type="dxa"/>
          </w:tcPr>
          <w:p w:rsidR="00EF404B" w:rsidRPr="00CE0407" w:rsidRDefault="00EF404B" w:rsidP="003C3692">
            <w:r w:rsidRPr="00CE0407">
              <w:t>N/A</w:t>
            </w:r>
          </w:p>
        </w:tc>
        <w:tc>
          <w:tcPr>
            <w:tcW w:w="2423" w:type="dxa"/>
          </w:tcPr>
          <w:p w:rsidR="00EF404B" w:rsidRPr="00CE0407" w:rsidRDefault="00EF404B" w:rsidP="003C3692">
            <w:r w:rsidRPr="00CE0407">
              <w:t>Article 4(3) first paragraph</w:t>
            </w:r>
          </w:p>
        </w:tc>
        <w:tc>
          <w:tcPr>
            <w:tcW w:w="7395" w:type="dxa"/>
            <w:shd w:val="clear" w:color="auto" w:fill="92D050"/>
          </w:tcPr>
          <w:p w:rsidR="00EF404B" w:rsidRDefault="00EF404B" w:rsidP="00EF404B">
            <w:pPr>
              <w:spacing w:after="120"/>
            </w:pPr>
            <w:r w:rsidRPr="00CE0407">
              <w:t>As directed in Technical Advice paragraph 20, new text added to Delegated Directive.  Minor changes from Technical Advice – language tidy-up:</w:t>
            </w:r>
            <w:r>
              <w:t xml:space="preserve"> </w:t>
            </w:r>
          </w:p>
          <w:p w:rsidR="00EF404B" w:rsidRPr="00CE0407" w:rsidRDefault="00EF404B" w:rsidP="00CA6340">
            <w:pPr>
              <w:spacing w:after="120"/>
            </w:pPr>
            <w:r w:rsidRPr="00EF404B">
              <w:rPr>
                <w:i/>
              </w:rPr>
              <w:t>“Member States shall require that, where investment firms deposit client funds with a credit institution, bank or money market fund of the same group as the investment firm, they limit the funds that they deposit with any such group entity or combination of any such group entities so that funds do not exceed 20% of all such funds.</w:t>
            </w:r>
            <w:r w:rsidRPr="00EF404B">
              <w:t>”</w:t>
            </w:r>
          </w:p>
        </w:tc>
      </w:tr>
      <w:tr w:rsidR="00CA6340" w:rsidRPr="001E0645" w:rsidTr="00CA6340">
        <w:trPr>
          <w:trHeight w:val="260"/>
        </w:trPr>
        <w:tc>
          <w:tcPr>
            <w:tcW w:w="2229" w:type="dxa"/>
            <w:shd w:val="clear" w:color="auto" w:fill="32464D"/>
          </w:tcPr>
          <w:p w:rsidR="00CA6340" w:rsidRPr="00AB4B9C" w:rsidRDefault="00CA6340" w:rsidP="000766F4">
            <w:r w:rsidRPr="00CA6340">
              <w:rPr>
                <w:color w:val="FFFFFF" w:themeColor="background1"/>
              </w:rPr>
              <w:t>Paragraph 13</w:t>
            </w:r>
          </w:p>
        </w:tc>
        <w:tc>
          <w:tcPr>
            <w:tcW w:w="2171" w:type="dxa"/>
          </w:tcPr>
          <w:p w:rsidR="00CA6340" w:rsidRPr="00AB4B9C" w:rsidRDefault="00CA6340" w:rsidP="000766F4">
            <w:r w:rsidRPr="00AB4B9C">
              <w:t>N/A</w:t>
            </w:r>
          </w:p>
        </w:tc>
        <w:tc>
          <w:tcPr>
            <w:tcW w:w="2423" w:type="dxa"/>
          </w:tcPr>
          <w:p w:rsidR="00CA6340" w:rsidRPr="00AB4B9C" w:rsidRDefault="00CA6340" w:rsidP="000766F4">
            <w:r w:rsidRPr="00AB4B9C">
              <w:t>Article 4(3) second paragraph</w:t>
            </w:r>
          </w:p>
        </w:tc>
        <w:tc>
          <w:tcPr>
            <w:tcW w:w="7395" w:type="dxa"/>
            <w:shd w:val="clear" w:color="auto" w:fill="92D050"/>
          </w:tcPr>
          <w:p w:rsidR="00CA6340" w:rsidRDefault="00CA6340" w:rsidP="00CA6340">
            <w:pPr>
              <w:spacing w:after="120"/>
            </w:pPr>
            <w:r w:rsidRPr="00AB4B9C">
              <w:t>As directed in Technical Advice paragraph 20, new text added to Delegated Directive.  Minor changes from Technical Advice – language tidy-up:</w:t>
            </w:r>
            <w:r>
              <w:t xml:space="preserve"> </w:t>
            </w:r>
          </w:p>
          <w:p w:rsidR="00CA6340" w:rsidRPr="00AB4B9C" w:rsidRDefault="00CA6340" w:rsidP="00CA6340">
            <w:r w:rsidRPr="00CA6340">
              <w:t>“</w:t>
            </w:r>
            <w:r w:rsidRPr="00CA6340">
              <w:rPr>
                <w:i/>
              </w:rPr>
              <w:t>An investment firm may not comply with this limit where it is able to demonstrate that, in view of the nature, scale and complexity of its business, and also the safety offered by the third parties considered in the previous subparagraph, and including in any case the small balance of client funds the investment firm holds the requirement under the previous paragraph is not proportionate. Investment firms shall periodically review the assessment made in accordance with this subparagraph and shall notify their initial and reviewed assessments to NCAs.”</w:t>
            </w:r>
          </w:p>
        </w:tc>
      </w:tr>
      <w:tr w:rsidR="00BF5830" w:rsidRPr="00BF5830" w:rsidTr="00BF5830">
        <w:tc>
          <w:tcPr>
            <w:tcW w:w="14218" w:type="dxa"/>
            <w:gridSpan w:val="4"/>
            <w:shd w:val="clear" w:color="auto" w:fill="32464D"/>
          </w:tcPr>
          <w:p w:rsidR="00CA6340" w:rsidRPr="00BF5830" w:rsidRDefault="00CA6340" w:rsidP="008744F5">
            <w:pPr>
              <w:spacing w:after="120"/>
              <w:rPr>
                <w:color w:val="FFFFFF" w:themeColor="background1"/>
              </w:rPr>
            </w:pPr>
            <w:r w:rsidRPr="00BF5830">
              <w:rPr>
                <w:color w:val="FFFFFF" w:themeColor="background1"/>
              </w:rPr>
              <w:t>Use of client financial instruments</w:t>
            </w:r>
          </w:p>
        </w:tc>
      </w:tr>
      <w:tr w:rsidR="00606663" w:rsidRPr="001E0645" w:rsidTr="00606663">
        <w:trPr>
          <w:trHeight w:val="1314"/>
        </w:trPr>
        <w:tc>
          <w:tcPr>
            <w:tcW w:w="2229" w:type="dxa"/>
            <w:shd w:val="clear" w:color="auto" w:fill="32464D"/>
          </w:tcPr>
          <w:p w:rsidR="00606663" w:rsidRPr="00606663" w:rsidRDefault="00606663" w:rsidP="003B79CA">
            <w:pPr>
              <w:rPr>
                <w:color w:val="FFFFFF" w:themeColor="background1"/>
              </w:rPr>
            </w:pPr>
            <w:r w:rsidRPr="00606663">
              <w:rPr>
                <w:color w:val="FFFFFF" w:themeColor="background1"/>
              </w:rPr>
              <w:t>Paragraph 9</w:t>
            </w:r>
          </w:p>
        </w:tc>
        <w:tc>
          <w:tcPr>
            <w:tcW w:w="2171" w:type="dxa"/>
          </w:tcPr>
          <w:p w:rsidR="00606663" w:rsidRPr="009552C0" w:rsidRDefault="00606663" w:rsidP="003B79CA">
            <w:r w:rsidRPr="009552C0">
              <w:t>Article 19(1)</w:t>
            </w:r>
          </w:p>
        </w:tc>
        <w:tc>
          <w:tcPr>
            <w:tcW w:w="2423" w:type="dxa"/>
          </w:tcPr>
          <w:p w:rsidR="00606663" w:rsidRPr="009552C0" w:rsidRDefault="00606663" w:rsidP="003B79CA">
            <w:r w:rsidRPr="009552C0">
              <w:t>Article 5(1)</w:t>
            </w:r>
          </w:p>
        </w:tc>
        <w:tc>
          <w:tcPr>
            <w:tcW w:w="7395" w:type="dxa"/>
            <w:shd w:val="clear" w:color="auto" w:fill="FFC000"/>
          </w:tcPr>
          <w:p w:rsidR="00606663" w:rsidRDefault="00606663" w:rsidP="00606663">
            <w:pPr>
              <w:spacing w:after="120"/>
            </w:pPr>
            <w:r w:rsidRPr="009552C0">
              <w:t>Text in draft Delegated Directive drawn from MiFID 1 Implementing Directive.</w:t>
            </w:r>
          </w:p>
          <w:p w:rsidR="00606663" w:rsidRDefault="00606663" w:rsidP="00606663">
            <w:pPr>
              <w:spacing w:after="120"/>
            </w:pPr>
            <w:r>
              <w:t>As directed in Technical Advice paragraph 9, Delegated Directive Article 5(1)(a) amended to include requirement that the client’s consent must be “</w:t>
            </w:r>
            <w:r w:rsidRPr="00606663">
              <w:rPr>
                <w:b/>
              </w:rPr>
              <w:t>affirmatively executed by signature or equivalent</w:t>
            </w:r>
            <w:r>
              <w:t>”. In addition, the Delegated Directive now refers generally to “clients”, whereas the MiFID 1 Implementing Directive specifically referred to “retail clients”.</w:t>
            </w:r>
          </w:p>
          <w:p w:rsidR="00606663" w:rsidRPr="009552C0" w:rsidRDefault="00606663" w:rsidP="00606663">
            <w:pPr>
              <w:spacing w:after="120"/>
            </w:pPr>
            <w:r>
              <w:t>Otherwise, minor changes – language tidy-up.</w:t>
            </w:r>
          </w:p>
        </w:tc>
      </w:tr>
      <w:tr w:rsidR="00606663" w:rsidRPr="001E0645" w:rsidTr="00606663">
        <w:trPr>
          <w:trHeight w:val="477"/>
        </w:trPr>
        <w:tc>
          <w:tcPr>
            <w:tcW w:w="2229" w:type="dxa"/>
            <w:shd w:val="clear" w:color="auto" w:fill="32464D"/>
          </w:tcPr>
          <w:p w:rsidR="00606663" w:rsidRPr="00606663" w:rsidRDefault="00606663" w:rsidP="00BD2833">
            <w:pPr>
              <w:rPr>
                <w:color w:val="FFFFFF" w:themeColor="background1"/>
              </w:rPr>
            </w:pPr>
            <w:r w:rsidRPr="00606663">
              <w:rPr>
                <w:color w:val="FFFFFF" w:themeColor="background1"/>
              </w:rPr>
              <w:t>N/A</w:t>
            </w:r>
          </w:p>
        </w:tc>
        <w:tc>
          <w:tcPr>
            <w:tcW w:w="2171" w:type="dxa"/>
          </w:tcPr>
          <w:p w:rsidR="00606663" w:rsidRPr="00DD6162" w:rsidRDefault="00606663" w:rsidP="00BD2833">
            <w:r w:rsidRPr="00DD6162">
              <w:t>Article 19(2)</w:t>
            </w:r>
          </w:p>
        </w:tc>
        <w:tc>
          <w:tcPr>
            <w:tcW w:w="2423" w:type="dxa"/>
          </w:tcPr>
          <w:p w:rsidR="00606663" w:rsidRPr="00DD6162" w:rsidRDefault="00606663" w:rsidP="00BD2833">
            <w:r w:rsidRPr="00DD6162">
              <w:t>Article 5(2)</w:t>
            </w:r>
          </w:p>
        </w:tc>
        <w:tc>
          <w:tcPr>
            <w:tcW w:w="7395" w:type="dxa"/>
            <w:shd w:val="clear" w:color="auto" w:fill="FFC000"/>
          </w:tcPr>
          <w:p w:rsidR="00606663" w:rsidRDefault="00606663" w:rsidP="00BD2833">
            <w:r w:rsidRPr="00DD6162">
              <w:t>Text in draft Delegated Directive drawn from MiFID 1 Implementing Directive.  Minor changes – language tidy-up.</w:t>
            </w:r>
          </w:p>
        </w:tc>
      </w:tr>
      <w:tr w:rsidR="00606663" w:rsidRPr="001E0645" w:rsidTr="00606663">
        <w:trPr>
          <w:trHeight w:val="1689"/>
        </w:trPr>
        <w:tc>
          <w:tcPr>
            <w:tcW w:w="2229" w:type="dxa"/>
            <w:shd w:val="clear" w:color="auto" w:fill="32464D"/>
          </w:tcPr>
          <w:p w:rsidR="00606663" w:rsidRPr="001176D8" w:rsidRDefault="00606663" w:rsidP="0088175E">
            <w:r w:rsidRPr="00606663">
              <w:rPr>
                <w:color w:val="FFFFFF" w:themeColor="background1"/>
              </w:rPr>
              <w:t>Paragraph 19</w:t>
            </w:r>
          </w:p>
        </w:tc>
        <w:tc>
          <w:tcPr>
            <w:tcW w:w="2171" w:type="dxa"/>
          </w:tcPr>
          <w:p w:rsidR="00606663" w:rsidRPr="001176D8" w:rsidRDefault="00606663" w:rsidP="0088175E">
            <w:r w:rsidRPr="001176D8">
              <w:t>N/A</w:t>
            </w:r>
          </w:p>
        </w:tc>
        <w:tc>
          <w:tcPr>
            <w:tcW w:w="2423" w:type="dxa"/>
          </w:tcPr>
          <w:p w:rsidR="00606663" w:rsidRPr="001176D8" w:rsidRDefault="00606663" w:rsidP="0088175E">
            <w:r w:rsidRPr="001176D8">
              <w:t>Article 5(3)</w:t>
            </w:r>
          </w:p>
        </w:tc>
        <w:tc>
          <w:tcPr>
            <w:tcW w:w="7395" w:type="dxa"/>
            <w:shd w:val="clear" w:color="auto" w:fill="FFC000"/>
          </w:tcPr>
          <w:p w:rsidR="00606663" w:rsidRDefault="00606663" w:rsidP="00606663">
            <w:pPr>
              <w:spacing w:after="120"/>
            </w:pPr>
            <w:r w:rsidRPr="001176D8">
              <w:t>As directed in Technical Advice paragraph 19, new provision added to Delegated Directive outlining requirements for preventing unauthorised use of client financial instruments.</w:t>
            </w:r>
            <w:r>
              <w:t xml:space="preserve"> </w:t>
            </w:r>
          </w:p>
          <w:p w:rsidR="00606663" w:rsidRPr="001176D8" w:rsidRDefault="00606663" w:rsidP="00606663">
            <w:pPr>
              <w:spacing w:after="120"/>
            </w:pPr>
            <w:r w:rsidRPr="00606663">
              <w:t>Delegate Directive Article 5(3) first paragraph includes additional wording that the requirement applies to investment firms using client financial instruments “</w:t>
            </w:r>
            <w:r w:rsidRPr="00606663">
              <w:rPr>
                <w:b/>
              </w:rPr>
              <w:t>for their own account or the account of any other person</w:t>
            </w:r>
            <w:r w:rsidRPr="00606663">
              <w:t>”.</w:t>
            </w:r>
          </w:p>
        </w:tc>
      </w:tr>
      <w:tr w:rsidR="00606663" w:rsidRPr="001E0645" w:rsidTr="00606663">
        <w:trPr>
          <w:trHeight w:val="990"/>
        </w:trPr>
        <w:tc>
          <w:tcPr>
            <w:tcW w:w="2229" w:type="dxa"/>
            <w:shd w:val="clear" w:color="auto" w:fill="32464D"/>
          </w:tcPr>
          <w:p w:rsidR="00606663" w:rsidRPr="00606663" w:rsidRDefault="00606663" w:rsidP="00BC62A7">
            <w:pPr>
              <w:rPr>
                <w:color w:val="FFFFFF" w:themeColor="background1"/>
              </w:rPr>
            </w:pPr>
            <w:r w:rsidRPr="00606663">
              <w:rPr>
                <w:color w:val="FFFFFF" w:themeColor="background1"/>
              </w:rPr>
              <w:t>Paragraph 8</w:t>
            </w:r>
          </w:p>
        </w:tc>
        <w:tc>
          <w:tcPr>
            <w:tcW w:w="2171" w:type="dxa"/>
          </w:tcPr>
          <w:p w:rsidR="00606663" w:rsidRPr="00862EA6" w:rsidRDefault="00606663" w:rsidP="00BC62A7">
            <w:r w:rsidRPr="00862EA6">
              <w:t>N/A</w:t>
            </w:r>
          </w:p>
        </w:tc>
        <w:tc>
          <w:tcPr>
            <w:tcW w:w="2423" w:type="dxa"/>
          </w:tcPr>
          <w:p w:rsidR="00606663" w:rsidRPr="00862EA6" w:rsidRDefault="00606663" w:rsidP="00BC62A7">
            <w:r w:rsidRPr="00862EA6">
              <w:t>Article 5(4)</w:t>
            </w:r>
          </w:p>
        </w:tc>
        <w:tc>
          <w:tcPr>
            <w:tcW w:w="7395" w:type="dxa"/>
            <w:shd w:val="clear" w:color="auto" w:fill="92D050"/>
          </w:tcPr>
          <w:p w:rsidR="00606663" w:rsidRPr="00862EA6" w:rsidRDefault="00606663" w:rsidP="00BC62A7">
            <w:r w:rsidRPr="00862EA6">
              <w:t>As directed in Technical Advice paragraph 8, Delegated Directive Article 5(4) specifies investment firms must ensure the borrower of the client assets provides appropriate collateral and that the firm monitors the continued appropriateness of such collateral and maintains the balance with the value of the client instruments.</w:t>
            </w:r>
          </w:p>
        </w:tc>
      </w:tr>
      <w:tr w:rsidR="00606663" w:rsidRPr="001E0645" w:rsidTr="00606663">
        <w:trPr>
          <w:trHeight w:val="976"/>
        </w:trPr>
        <w:tc>
          <w:tcPr>
            <w:tcW w:w="2229" w:type="dxa"/>
            <w:shd w:val="clear" w:color="auto" w:fill="32464D"/>
          </w:tcPr>
          <w:p w:rsidR="00606663" w:rsidRPr="00606663" w:rsidRDefault="00606663" w:rsidP="00BC62A7">
            <w:pPr>
              <w:rPr>
                <w:color w:val="FFFFFF" w:themeColor="background1"/>
              </w:rPr>
            </w:pPr>
            <w:r w:rsidRPr="00606663">
              <w:rPr>
                <w:color w:val="FFFFFF" w:themeColor="background1"/>
              </w:rPr>
              <w:t>Paragraph 7 and paragraph 3</w:t>
            </w:r>
          </w:p>
        </w:tc>
        <w:tc>
          <w:tcPr>
            <w:tcW w:w="2171" w:type="dxa"/>
          </w:tcPr>
          <w:p w:rsidR="00606663" w:rsidRPr="00862EA6" w:rsidRDefault="00606663" w:rsidP="00BC62A7">
            <w:r w:rsidRPr="00862EA6">
              <w:t>N/A</w:t>
            </w:r>
          </w:p>
        </w:tc>
        <w:tc>
          <w:tcPr>
            <w:tcW w:w="2423" w:type="dxa"/>
          </w:tcPr>
          <w:p w:rsidR="00606663" w:rsidRPr="00862EA6" w:rsidRDefault="00606663" w:rsidP="00BC62A7">
            <w:r w:rsidRPr="00862EA6">
              <w:t>Article 5(5)</w:t>
            </w:r>
          </w:p>
        </w:tc>
        <w:tc>
          <w:tcPr>
            <w:tcW w:w="7395" w:type="dxa"/>
            <w:shd w:val="clear" w:color="auto" w:fill="92D050"/>
          </w:tcPr>
          <w:p w:rsidR="00606663" w:rsidRDefault="00606663" w:rsidP="00BC62A7">
            <w:r w:rsidRPr="00862EA6">
              <w:t>As directed in Technical Advice paragraph 7, Delegated Directive Article 5(5) specifies that investment firms must not enter into arrangements which are prohibited under MiFID 2 Article 16(10) – i.e. investment firms are prohibited from concluding TTCAs with retail clients.</w:t>
            </w:r>
          </w:p>
        </w:tc>
      </w:tr>
      <w:tr w:rsidR="00BF5830" w:rsidRPr="00BF5830" w:rsidTr="00BF5830">
        <w:trPr>
          <w:trHeight w:val="267"/>
        </w:trPr>
        <w:tc>
          <w:tcPr>
            <w:tcW w:w="14218" w:type="dxa"/>
            <w:gridSpan w:val="4"/>
            <w:shd w:val="clear" w:color="auto" w:fill="32464D"/>
          </w:tcPr>
          <w:p w:rsidR="00606663" w:rsidRPr="00BF5830" w:rsidRDefault="00606663" w:rsidP="00606663">
            <w:pPr>
              <w:spacing w:after="120"/>
              <w:rPr>
                <w:color w:val="FFFFFF" w:themeColor="background1"/>
              </w:rPr>
            </w:pPr>
            <w:r w:rsidRPr="00BF5830">
              <w:rPr>
                <w:color w:val="FFFFFF" w:themeColor="background1"/>
              </w:rPr>
              <w:t>Inappropriate use of title transfer collateral arrangements</w:t>
            </w:r>
          </w:p>
        </w:tc>
      </w:tr>
      <w:tr w:rsidR="00606663" w:rsidRPr="001E0645" w:rsidTr="00606663">
        <w:trPr>
          <w:trHeight w:val="910"/>
        </w:trPr>
        <w:tc>
          <w:tcPr>
            <w:tcW w:w="2229" w:type="dxa"/>
            <w:shd w:val="clear" w:color="auto" w:fill="32464D"/>
          </w:tcPr>
          <w:p w:rsidR="00606663" w:rsidRPr="00D05BC1" w:rsidRDefault="00606663" w:rsidP="001A48F0">
            <w:r w:rsidRPr="00606663">
              <w:rPr>
                <w:color w:val="FFFFFF" w:themeColor="background1"/>
              </w:rPr>
              <w:t>Paragraph 5</w:t>
            </w:r>
          </w:p>
        </w:tc>
        <w:tc>
          <w:tcPr>
            <w:tcW w:w="2171" w:type="dxa"/>
          </w:tcPr>
          <w:p w:rsidR="00606663" w:rsidRPr="00D05BC1" w:rsidRDefault="00606663" w:rsidP="001A48F0">
            <w:r w:rsidRPr="00D05BC1">
              <w:t>N/A</w:t>
            </w:r>
          </w:p>
        </w:tc>
        <w:tc>
          <w:tcPr>
            <w:tcW w:w="2423" w:type="dxa"/>
          </w:tcPr>
          <w:p w:rsidR="00606663" w:rsidRPr="00D05BC1" w:rsidRDefault="00606663" w:rsidP="001A48F0">
            <w:r w:rsidRPr="00D05BC1">
              <w:t>Article 6(1)</w:t>
            </w:r>
          </w:p>
        </w:tc>
        <w:tc>
          <w:tcPr>
            <w:tcW w:w="7395" w:type="dxa"/>
            <w:shd w:val="clear" w:color="auto" w:fill="92D050"/>
          </w:tcPr>
          <w:p w:rsidR="00606663" w:rsidRDefault="00606663" w:rsidP="001A48F0">
            <w:r w:rsidRPr="00D05BC1">
              <w:t>As directed in Technical Advice paragraph 5, Delegated Directive Article 6(1) specifies that firms must consider, and be able to demonstrate that they have done so, the use of TTCAs in the context of the relationship between the client’s obligation to the firm and the client assets subject to the TTCA arrangements.</w:t>
            </w:r>
          </w:p>
        </w:tc>
      </w:tr>
      <w:tr w:rsidR="00606663" w:rsidRPr="001E0645" w:rsidTr="00606663">
        <w:trPr>
          <w:trHeight w:val="910"/>
        </w:trPr>
        <w:tc>
          <w:tcPr>
            <w:tcW w:w="2229" w:type="dxa"/>
            <w:shd w:val="clear" w:color="auto" w:fill="32464D"/>
          </w:tcPr>
          <w:p w:rsidR="00606663" w:rsidRPr="00606663" w:rsidRDefault="00606663" w:rsidP="00572198">
            <w:pPr>
              <w:rPr>
                <w:color w:val="FFFFFF" w:themeColor="background1"/>
              </w:rPr>
            </w:pPr>
            <w:r w:rsidRPr="00606663">
              <w:rPr>
                <w:color w:val="FFFFFF" w:themeColor="background1"/>
              </w:rPr>
              <w:t>Paragraph 4</w:t>
            </w:r>
          </w:p>
        </w:tc>
        <w:tc>
          <w:tcPr>
            <w:tcW w:w="2171" w:type="dxa"/>
          </w:tcPr>
          <w:p w:rsidR="00606663" w:rsidRPr="00723739" w:rsidRDefault="00606663" w:rsidP="00572198">
            <w:r w:rsidRPr="00723739">
              <w:t>N/A</w:t>
            </w:r>
          </w:p>
        </w:tc>
        <w:tc>
          <w:tcPr>
            <w:tcW w:w="2423" w:type="dxa"/>
          </w:tcPr>
          <w:p w:rsidR="00606663" w:rsidRPr="00723739" w:rsidRDefault="00606663" w:rsidP="00572198">
            <w:r w:rsidRPr="00723739">
              <w:t>Article 6(2)</w:t>
            </w:r>
          </w:p>
        </w:tc>
        <w:tc>
          <w:tcPr>
            <w:tcW w:w="7395" w:type="dxa"/>
            <w:shd w:val="clear" w:color="auto" w:fill="92D050"/>
          </w:tcPr>
          <w:p w:rsidR="00606663" w:rsidRPr="00723739" w:rsidRDefault="00606663" w:rsidP="00572198">
            <w:r w:rsidRPr="00723739">
              <w:t>As directed in Technical Advice paragraph 4, Delegated Directive Article 6(2) lists the factors to take into account when considering and documenting the appropriateness of the TTCAs. Minor changes – language tidy-up.</w:t>
            </w:r>
          </w:p>
        </w:tc>
      </w:tr>
      <w:tr w:rsidR="00606663" w:rsidRPr="001E0645" w:rsidTr="004E74D6">
        <w:trPr>
          <w:trHeight w:val="910"/>
        </w:trPr>
        <w:tc>
          <w:tcPr>
            <w:tcW w:w="2229" w:type="dxa"/>
            <w:shd w:val="clear" w:color="auto" w:fill="32464D"/>
          </w:tcPr>
          <w:p w:rsidR="00606663" w:rsidRPr="00606663" w:rsidRDefault="00606663" w:rsidP="00572198">
            <w:pPr>
              <w:rPr>
                <w:color w:val="FFFFFF" w:themeColor="background1"/>
              </w:rPr>
            </w:pPr>
            <w:r w:rsidRPr="00606663">
              <w:rPr>
                <w:color w:val="FFFFFF" w:themeColor="background1"/>
              </w:rPr>
              <w:t>Paragraph 6</w:t>
            </w:r>
          </w:p>
        </w:tc>
        <w:tc>
          <w:tcPr>
            <w:tcW w:w="2171" w:type="dxa"/>
          </w:tcPr>
          <w:p w:rsidR="00606663" w:rsidRPr="008419EE" w:rsidRDefault="00606663" w:rsidP="002E3809">
            <w:r w:rsidRPr="008419EE">
              <w:t>N/A</w:t>
            </w:r>
          </w:p>
        </w:tc>
        <w:tc>
          <w:tcPr>
            <w:tcW w:w="2423" w:type="dxa"/>
          </w:tcPr>
          <w:p w:rsidR="00606663" w:rsidRDefault="00606663" w:rsidP="002E3809">
            <w:r w:rsidRPr="008419EE">
              <w:t>Article 6(3)</w:t>
            </w:r>
          </w:p>
        </w:tc>
        <w:tc>
          <w:tcPr>
            <w:tcW w:w="7395" w:type="dxa"/>
            <w:shd w:val="clear" w:color="auto" w:fill="FFC000"/>
          </w:tcPr>
          <w:p w:rsidR="00606663" w:rsidRDefault="00606663" w:rsidP="00606663">
            <w:pPr>
              <w:spacing w:after="120"/>
            </w:pPr>
            <w:r>
              <w:t>As directed in Technical Advice paragraph 6, Delegated Directive Article 6(3) specifies that investment firms must highlight to clients the risks involved and the effect of any TTCAs on client assets.</w:t>
            </w:r>
          </w:p>
          <w:p w:rsidR="00606663" w:rsidRPr="00723739" w:rsidRDefault="00606663" w:rsidP="00606663">
            <w:r w:rsidRPr="00606663">
              <w:rPr>
                <w:b/>
              </w:rPr>
              <w:t>NOTE</w:t>
            </w:r>
            <w:r>
              <w:t>: the Technical Advice referred to highlighting the risks to “clients”, while the Delegated Directive now refers to highlighting to “</w:t>
            </w:r>
            <w:r w:rsidRPr="004E74D6">
              <w:rPr>
                <w:b/>
              </w:rPr>
              <w:t>professional clients and eligible counterparties</w:t>
            </w:r>
            <w:r>
              <w:t xml:space="preserve">”. As noted in </w:t>
            </w:r>
            <w:r w:rsidRPr="004E74D6">
              <w:rPr>
                <w:b/>
              </w:rPr>
              <w:t>Technical Advice paragraph 3</w:t>
            </w:r>
            <w:r>
              <w:t>, MiFID2 Article 16(10) prohibits firms from concluding TTCAs with retail clients.</w:t>
            </w:r>
          </w:p>
        </w:tc>
      </w:tr>
      <w:tr w:rsidR="004E74D6" w:rsidRPr="001E0645" w:rsidTr="004E74D6">
        <w:trPr>
          <w:trHeight w:val="296"/>
        </w:trPr>
        <w:tc>
          <w:tcPr>
            <w:tcW w:w="14218" w:type="dxa"/>
            <w:gridSpan w:val="4"/>
            <w:shd w:val="clear" w:color="auto" w:fill="32464D"/>
          </w:tcPr>
          <w:p w:rsidR="004E74D6" w:rsidRPr="00D05BC1" w:rsidRDefault="004E74D6" w:rsidP="001A48F0">
            <w:r w:rsidRPr="004E74D6">
              <w:rPr>
                <w:color w:val="FFFFFF" w:themeColor="background1"/>
              </w:rPr>
              <w:t>Governance arrangements concerning the safeguarding of client assets</w:t>
            </w:r>
          </w:p>
        </w:tc>
      </w:tr>
      <w:tr w:rsidR="004E74D6" w:rsidRPr="001E0645" w:rsidTr="004E74D6">
        <w:trPr>
          <w:trHeight w:val="556"/>
        </w:trPr>
        <w:tc>
          <w:tcPr>
            <w:tcW w:w="2229" w:type="dxa"/>
            <w:shd w:val="clear" w:color="auto" w:fill="32464D"/>
          </w:tcPr>
          <w:p w:rsidR="004E74D6" w:rsidRPr="00AE2CFE" w:rsidRDefault="004E74D6" w:rsidP="00FF5C5C">
            <w:r w:rsidRPr="004E74D6">
              <w:rPr>
                <w:color w:val="FFFFFF" w:themeColor="background1"/>
              </w:rPr>
              <w:t>Paragraphs 1 and 2</w:t>
            </w:r>
          </w:p>
        </w:tc>
        <w:tc>
          <w:tcPr>
            <w:tcW w:w="2171" w:type="dxa"/>
          </w:tcPr>
          <w:p w:rsidR="004E74D6" w:rsidRPr="00AE2CFE" w:rsidRDefault="004E74D6" w:rsidP="00FF5C5C">
            <w:r w:rsidRPr="00AE2CFE">
              <w:t>N/A</w:t>
            </w:r>
          </w:p>
        </w:tc>
        <w:tc>
          <w:tcPr>
            <w:tcW w:w="2423" w:type="dxa"/>
          </w:tcPr>
          <w:p w:rsidR="004E74D6" w:rsidRPr="00AE2CFE" w:rsidRDefault="004E74D6" w:rsidP="00FF5C5C">
            <w:r w:rsidRPr="00AE2CFE">
              <w:t>Article 7</w:t>
            </w:r>
          </w:p>
        </w:tc>
        <w:tc>
          <w:tcPr>
            <w:tcW w:w="7395" w:type="dxa"/>
            <w:shd w:val="clear" w:color="auto" w:fill="92D050"/>
          </w:tcPr>
          <w:p w:rsidR="004E74D6" w:rsidRDefault="004E74D6" w:rsidP="00FF5C5C">
            <w:r w:rsidRPr="00AE2CFE">
              <w:t>As directed in Technical Advice paragraphs 1 and 2, Delegated Directive Article 7 specifies that</w:t>
            </w:r>
          </w:p>
        </w:tc>
      </w:tr>
      <w:tr w:rsidR="004E74D6" w:rsidRPr="001E0645" w:rsidTr="004E74D6">
        <w:trPr>
          <w:trHeight w:val="423"/>
        </w:trPr>
        <w:tc>
          <w:tcPr>
            <w:tcW w:w="14218" w:type="dxa"/>
            <w:gridSpan w:val="4"/>
            <w:shd w:val="clear" w:color="auto" w:fill="32464D"/>
          </w:tcPr>
          <w:p w:rsidR="004E74D6" w:rsidRPr="00D05BC1" w:rsidRDefault="004E74D6" w:rsidP="001A48F0">
            <w:r w:rsidRPr="004E74D6">
              <w:rPr>
                <w:color w:val="FFFFFF" w:themeColor="background1"/>
              </w:rPr>
              <w:t>Reports by external auditors</w:t>
            </w:r>
          </w:p>
        </w:tc>
      </w:tr>
      <w:tr w:rsidR="004E74D6" w:rsidRPr="001E0645" w:rsidTr="00606663">
        <w:trPr>
          <w:trHeight w:val="910"/>
        </w:trPr>
        <w:tc>
          <w:tcPr>
            <w:tcW w:w="2229" w:type="dxa"/>
            <w:shd w:val="clear" w:color="auto" w:fill="32464D"/>
          </w:tcPr>
          <w:p w:rsidR="004E74D6" w:rsidRPr="004E74D6" w:rsidRDefault="004E74D6" w:rsidP="0096649A">
            <w:pPr>
              <w:rPr>
                <w:color w:val="FFFFFF" w:themeColor="background1"/>
              </w:rPr>
            </w:pPr>
            <w:r w:rsidRPr="004E74D6">
              <w:rPr>
                <w:color w:val="FFFFFF" w:themeColor="background1"/>
              </w:rPr>
              <w:t>N/A</w:t>
            </w:r>
          </w:p>
        </w:tc>
        <w:tc>
          <w:tcPr>
            <w:tcW w:w="2171" w:type="dxa"/>
          </w:tcPr>
          <w:p w:rsidR="004E74D6" w:rsidRPr="00903A05" w:rsidRDefault="004E74D6" w:rsidP="0096649A">
            <w:r w:rsidRPr="00903A05">
              <w:t>Article 20</w:t>
            </w:r>
          </w:p>
        </w:tc>
        <w:tc>
          <w:tcPr>
            <w:tcW w:w="2423" w:type="dxa"/>
          </w:tcPr>
          <w:p w:rsidR="004E74D6" w:rsidRPr="00903A05" w:rsidRDefault="004E74D6" w:rsidP="0096649A">
            <w:r w:rsidRPr="00903A05">
              <w:t>Article 8</w:t>
            </w:r>
          </w:p>
        </w:tc>
        <w:tc>
          <w:tcPr>
            <w:tcW w:w="7395" w:type="dxa"/>
            <w:shd w:val="clear" w:color="auto" w:fill="92D050"/>
          </w:tcPr>
          <w:p w:rsidR="004E74D6" w:rsidRPr="00903A05" w:rsidRDefault="004E74D6" w:rsidP="0096649A">
            <w:r w:rsidRPr="00903A05">
              <w:t>Text in draft Delegated Directive drawn from MiFID 1 Implementing Directive – provision relating to reports by external auditors.  Minor changes – language tidy-up</w:t>
            </w:r>
          </w:p>
        </w:tc>
      </w:tr>
    </w:tbl>
    <w:p w:rsidR="004E74D6" w:rsidRDefault="004E74D6" w:rsidP="004E74D6">
      <w:pPr>
        <w:spacing w:before="120" w:after="120"/>
        <w:rPr>
          <w:rFonts w:cs="Arial"/>
          <w:b/>
          <w:color w:val="FF0000"/>
          <w:szCs w:val="20"/>
        </w:rPr>
      </w:pPr>
      <w:r>
        <w:rPr>
          <w:rFonts w:cs="Arial"/>
          <w:b/>
          <w:color w:val="FF0000"/>
          <w:szCs w:val="20"/>
        </w:rPr>
        <w:t>* NEW*</w:t>
      </w:r>
    </w:p>
    <w:p w:rsidR="004E74D6" w:rsidRDefault="004E74D6" w:rsidP="004E74D6">
      <w:pPr>
        <w:rPr>
          <w:rFonts w:cs="Arial"/>
          <w:szCs w:val="20"/>
        </w:rPr>
      </w:pPr>
      <w:r>
        <w:rPr>
          <w:rFonts w:cs="Arial"/>
          <w:szCs w:val="20"/>
        </w:rPr>
        <w:t xml:space="preserve">Additional provisions in </w:t>
      </w:r>
      <w:hyperlink r:id="rId9" w:history="1">
        <w:r>
          <w:rPr>
            <w:rStyle w:val="Hyperlink"/>
            <w:rFonts w:cs="Arial"/>
            <w:szCs w:val="20"/>
          </w:rPr>
          <w:t>Draft Delegated Regulation</w:t>
        </w:r>
      </w:hyperlink>
      <w:r>
        <w:rPr>
          <w:rFonts w:cs="Arial"/>
          <w:szCs w:val="20"/>
        </w:rPr>
        <w:t xml:space="preserve"> to elaborate </w:t>
      </w:r>
      <w:hyperlink r:id="rId10" w:history="1">
        <w:r>
          <w:rPr>
            <w:rStyle w:val="Hyperlink"/>
            <w:rFonts w:cs="Arial"/>
            <w:szCs w:val="20"/>
          </w:rPr>
          <w:t>MiFID 2</w:t>
        </w:r>
      </w:hyperlink>
      <w:r>
        <w:rPr>
          <w:rFonts w:cs="Arial"/>
          <w:szCs w:val="20"/>
        </w:rPr>
        <w:t xml:space="preserve"> (Level 1) Article 24(4)</w:t>
      </w:r>
    </w:p>
    <w:p w:rsidR="004E74D6" w:rsidRDefault="004E74D6" w:rsidP="004E74D6">
      <w:pPr>
        <w:rPr>
          <w:rFonts w:cs="Arial"/>
          <w:szCs w:val="20"/>
        </w:rPr>
      </w:pPr>
    </w:p>
    <w:tbl>
      <w:tblPr>
        <w:tblStyle w:val="TableGrid"/>
        <w:tblW w:w="0" w:type="auto"/>
        <w:tblLook w:val="04A0" w:firstRow="1" w:lastRow="0" w:firstColumn="1" w:lastColumn="0" w:noHBand="0" w:noVBand="1"/>
      </w:tblPr>
      <w:tblGrid>
        <w:gridCol w:w="14218"/>
      </w:tblGrid>
      <w:tr w:rsidR="00BF5830" w:rsidRPr="00BF5830" w:rsidTr="00BF5830">
        <w:tc>
          <w:tcPr>
            <w:tcW w:w="14218" w:type="dxa"/>
            <w:shd w:val="clear" w:color="auto" w:fill="32464D"/>
          </w:tcPr>
          <w:p w:rsidR="004E74D6" w:rsidRPr="00BF5830" w:rsidRDefault="004E74D6" w:rsidP="00026275">
            <w:pPr>
              <w:rPr>
                <w:color w:val="FFFFFF" w:themeColor="background1"/>
              </w:rPr>
            </w:pPr>
            <w:r w:rsidRPr="00BF5830">
              <w:rPr>
                <w:rFonts w:cs="Arial"/>
                <w:b/>
                <w:color w:val="FFFFFF" w:themeColor="background1"/>
                <w:szCs w:val="20"/>
              </w:rPr>
              <w:t>Information concerning safeguarding of client financial instruments or client funds</w:t>
            </w:r>
          </w:p>
        </w:tc>
      </w:tr>
    </w:tbl>
    <w:p w:rsidR="004E74D6" w:rsidRDefault="004E74D6" w:rsidP="004E74D6"/>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536"/>
        <w:gridCol w:w="7512"/>
      </w:tblGrid>
      <w:tr w:rsidR="008A45B2" w:rsidRPr="00BF5830" w:rsidTr="00BF5830">
        <w:trPr>
          <w:trHeight w:val="477"/>
          <w:tblHeader/>
        </w:trPr>
        <w:tc>
          <w:tcPr>
            <w:tcW w:w="2235" w:type="dxa"/>
            <w:shd w:val="clear" w:color="auto" w:fill="32464D"/>
          </w:tcPr>
          <w:p w:rsidR="008A45B2" w:rsidRPr="00BF5830" w:rsidRDefault="008A45B2" w:rsidP="008A45B2">
            <w:pPr>
              <w:spacing w:after="120"/>
              <w:jc w:val="left"/>
              <w:rPr>
                <w:b/>
              </w:rPr>
            </w:pPr>
            <w:r w:rsidRPr="00BF5830">
              <w:rPr>
                <w:b/>
                <w:color w:val="FFFFFF" w:themeColor="background1"/>
              </w:rPr>
              <w:t>MiFID 2 (Level 1) Article 24(4)</w:t>
            </w:r>
          </w:p>
        </w:tc>
        <w:tc>
          <w:tcPr>
            <w:tcW w:w="4536" w:type="dxa"/>
            <w:shd w:val="clear" w:color="auto" w:fill="32464D"/>
          </w:tcPr>
          <w:p w:rsidR="008A45B2" w:rsidRPr="00BF5830" w:rsidRDefault="008A45B2" w:rsidP="00BF5830">
            <w:pPr>
              <w:rPr>
                <w:b/>
                <w:color w:val="FFFFFF" w:themeColor="background1"/>
              </w:rPr>
            </w:pPr>
            <w:r w:rsidRPr="00BF5830">
              <w:rPr>
                <w:b/>
                <w:color w:val="FFFFFF" w:themeColor="background1"/>
              </w:rPr>
              <w:t xml:space="preserve">Commission Draft Delegated Regulation Article </w:t>
            </w:r>
            <w:r w:rsidR="00BF5830" w:rsidRPr="00BF5830">
              <w:rPr>
                <w:b/>
                <w:color w:val="FFFFFF" w:themeColor="background1"/>
              </w:rPr>
              <w:t>49</w:t>
            </w:r>
          </w:p>
        </w:tc>
        <w:tc>
          <w:tcPr>
            <w:tcW w:w="7512" w:type="dxa"/>
            <w:shd w:val="clear" w:color="auto" w:fill="32464D"/>
          </w:tcPr>
          <w:p w:rsidR="008A45B2" w:rsidRPr="00BF5830" w:rsidRDefault="008A45B2" w:rsidP="00BF5830">
            <w:pPr>
              <w:rPr>
                <w:b/>
                <w:color w:val="FFFFFF" w:themeColor="background1"/>
              </w:rPr>
            </w:pPr>
            <w:r w:rsidRPr="00BF5830">
              <w:rPr>
                <w:rFonts w:cs="Arial"/>
                <w:b/>
                <w:color w:val="FFFFFF" w:themeColor="background1"/>
                <w:szCs w:val="20"/>
              </w:rPr>
              <w:t xml:space="preserve">Summary of Key Changes in Commission Draft Delegated </w:t>
            </w:r>
            <w:r w:rsidR="00BF5830" w:rsidRPr="00BF5830">
              <w:rPr>
                <w:rFonts w:cs="Arial"/>
                <w:b/>
                <w:color w:val="FFFFFF" w:themeColor="background1"/>
                <w:szCs w:val="20"/>
              </w:rPr>
              <w:t>Regulation</w:t>
            </w:r>
          </w:p>
        </w:tc>
      </w:tr>
      <w:tr w:rsidR="008A45B2" w:rsidRPr="001E0645" w:rsidTr="008A45B2">
        <w:trPr>
          <w:trHeight w:val="740"/>
        </w:trPr>
        <w:tc>
          <w:tcPr>
            <w:tcW w:w="2235" w:type="dxa"/>
            <w:shd w:val="clear" w:color="auto" w:fill="32464D"/>
          </w:tcPr>
          <w:p w:rsidR="008A45B2" w:rsidRPr="009946E2" w:rsidRDefault="008A45B2" w:rsidP="00731196">
            <w:r w:rsidRPr="008A45B2">
              <w:rPr>
                <w:color w:val="FFFFFF" w:themeColor="background1"/>
              </w:rPr>
              <w:t>Article 24(4)</w:t>
            </w:r>
          </w:p>
        </w:tc>
        <w:tc>
          <w:tcPr>
            <w:tcW w:w="4536" w:type="dxa"/>
          </w:tcPr>
          <w:p w:rsidR="008A45B2" w:rsidRPr="009946E2" w:rsidRDefault="008A45B2" w:rsidP="00731196">
            <w:r w:rsidRPr="009946E2">
              <w:t>Article 49(1)</w:t>
            </w:r>
          </w:p>
        </w:tc>
        <w:tc>
          <w:tcPr>
            <w:tcW w:w="7512" w:type="dxa"/>
            <w:shd w:val="clear" w:color="auto" w:fill="auto"/>
          </w:tcPr>
          <w:p w:rsidR="008A45B2" w:rsidRDefault="008A45B2" w:rsidP="00731196">
            <w:r w:rsidRPr="009946E2">
              <w:t>“Investment firms holding financial instruments or funds belonging to clients shall provide those clients or potential clients with the information specified in paragraphs 2 to 7 where relevant.”</w:t>
            </w:r>
          </w:p>
        </w:tc>
      </w:tr>
      <w:tr w:rsidR="008A45B2" w:rsidRPr="001E0645" w:rsidTr="008A45B2">
        <w:trPr>
          <w:trHeight w:val="260"/>
        </w:trPr>
        <w:tc>
          <w:tcPr>
            <w:tcW w:w="2235" w:type="dxa"/>
            <w:shd w:val="clear" w:color="auto" w:fill="32464D"/>
          </w:tcPr>
          <w:p w:rsidR="008A45B2" w:rsidRPr="008A45B2" w:rsidRDefault="008A45B2" w:rsidP="00363A2A">
            <w:pPr>
              <w:rPr>
                <w:color w:val="FFFFFF" w:themeColor="background1"/>
              </w:rPr>
            </w:pPr>
            <w:r w:rsidRPr="008A45B2">
              <w:rPr>
                <w:color w:val="FFFFFF" w:themeColor="background1"/>
              </w:rPr>
              <w:t>Article 24(4)</w:t>
            </w:r>
          </w:p>
        </w:tc>
        <w:tc>
          <w:tcPr>
            <w:tcW w:w="4536" w:type="dxa"/>
          </w:tcPr>
          <w:p w:rsidR="008A45B2" w:rsidRPr="008A45B2" w:rsidRDefault="008A45B2" w:rsidP="008A45B2">
            <w:pPr>
              <w:rPr>
                <w:color w:val="FFFFFF" w:themeColor="background1"/>
              </w:rPr>
            </w:pPr>
            <w:r w:rsidRPr="008A45B2">
              <w:t>Article 49(2)</w:t>
            </w:r>
          </w:p>
        </w:tc>
        <w:tc>
          <w:tcPr>
            <w:tcW w:w="7512" w:type="dxa"/>
            <w:shd w:val="clear" w:color="auto" w:fill="auto"/>
          </w:tcPr>
          <w:p w:rsidR="008A45B2" w:rsidRPr="008A45B2" w:rsidRDefault="008A45B2" w:rsidP="008A45B2">
            <w:pPr>
              <w:rPr>
                <w:color w:val="FFFFFF" w:themeColor="background1"/>
              </w:rPr>
            </w:pPr>
            <w:r>
              <w:rPr>
                <w:rFonts w:cs="Arial"/>
                <w:szCs w:val="20"/>
              </w:rPr>
              <w:t>“The investment firm shall inform the client or potential client where the financial instruments or funds of that client may be held by a third party on behalf of the investment firm and of the responsibility of the investment firm under the applicable national law for any acts or omissions of the third party and the consequences for the client of the insolvency of the third party.”</w:t>
            </w:r>
          </w:p>
        </w:tc>
      </w:tr>
      <w:tr w:rsidR="008A45B2" w:rsidRPr="001E0645" w:rsidTr="008A45B2">
        <w:trPr>
          <w:trHeight w:val="910"/>
        </w:trPr>
        <w:tc>
          <w:tcPr>
            <w:tcW w:w="2235" w:type="dxa"/>
            <w:shd w:val="clear" w:color="auto" w:fill="32464D"/>
          </w:tcPr>
          <w:p w:rsidR="008A45B2" w:rsidRPr="00F05D28" w:rsidRDefault="008A45B2" w:rsidP="00363A2A">
            <w:pPr>
              <w:rPr>
                <w:color w:val="FFFFFF" w:themeColor="background1"/>
              </w:rPr>
            </w:pPr>
            <w:r w:rsidRPr="00F05D28">
              <w:rPr>
                <w:color w:val="FFFFFF" w:themeColor="background1"/>
              </w:rPr>
              <w:t>Article 24(4)</w:t>
            </w:r>
          </w:p>
        </w:tc>
        <w:tc>
          <w:tcPr>
            <w:tcW w:w="4536" w:type="dxa"/>
          </w:tcPr>
          <w:p w:rsidR="008A45B2" w:rsidRPr="00D76169" w:rsidRDefault="008A45B2" w:rsidP="00363A2A">
            <w:r w:rsidRPr="00D76169">
              <w:t>Article 49(3)</w:t>
            </w:r>
          </w:p>
        </w:tc>
        <w:tc>
          <w:tcPr>
            <w:tcW w:w="7512" w:type="dxa"/>
            <w:shd w:val="clear" w:color="auto" w:fill="auto"/>
          </w:tcPr>
          <w:p w:rsidR="008A45B2" w:rsidRPr="00D76169" w:rsidRDefault="008A45B2" w:rsidP="00363A2A">
            <w:r w:rsidRPr="00D76169">
              <w:t>“Where financial instruments of the client or potential client may, if permitted by national law, be held in an omnibus account by a third party, the investment firm shall inform the client of this fact and shall provide a prominent warning of the resulting risks.”</w:t>
            </w:r>
          </w:p>
        </w:tc>
      </w:tr>
      <w:tr w:rsidR="008A45B2" w:rsidRPr="001E0645" w:rsidTr="008A45B2">
        <w:trPr>
          <w:trHeight w:val="910"/>
        </w:trPr>
        <w:tc>
          <w:tcPr>
            <w:tcW w:w="2235" w:type="dxa"/>
            <w:shd w:val="clear" w:color="auto" w:fill="32464D"/>
          </w:tcPr>
          <w:p w:rsidR="008A45B2" w:rsidRPr="00F05D28" w:rsidRDefault="008A45B2" w:rsidP="00363A2A">
            <w:pPr>
              <w:rPr>
                <w:color w:val="FFFFFF" w:themeColor="background1"/>
              </w:rPr>
            </w:pPr>
            <w:r w:rsidRPr="00F05D28">
              <w:rPr>
                <w:color w:val="FFFFFF" w:themeColor="background1"/>
              </w:rPr>
              <w:t>Article 24(4)</w:t>
            </w:r>
          </w:p>
        </w:tc>
        <w:tc>
          <w:tcPr>
            <w:tcW w:w="4536" w:type="dxa"/>
          </w:tcPr>
          <w:p w:rsidR="008A45B2" w:rsidRPr="00D76169" w:rsidRDefault="008A45B2" w:rsidP="00363A2A">
            <w:r w:rsidRPr="00D76169">
              <w:t>Article 49(4)</w:t>
            </w:r>
          </w:p>
        </w:tc>
        <w:tc>
          <w:tcPr>
            <w:tcW w:w="7512" w:type="dxa"/>
            <w:shd w:val="clear" w:color="auto" w:fill="auto"/>
          </w:tcPr>
          <w:p w:rsidR="008A45B2" w:rsidRPr="00D76169" w:rsidRDefault="008A45B2" w:rsidP="00363A2A">
            <w:r w:rsidRPr="00D76169">
              <w:t>“The investment firm shall inform the client or potential client where it is not possible under national law for client financial instruments held with a third party to be separately identifiable from the proprietary financial instruments of that third party or of the investment firm and shall provide a prominent warning of the resulting risks.”</w:t>
            </w:r>
          </w:p>
        </w:tc>
      </w:tr>
      <w:tr w:rsidR="008A45B2" w:rsidRPr="001E0645" w:rsidTr="008A45B2">
        <w:trPr>
          <w:trHeight w:val="910"/>
        </w:trPr>
        <w:tc>
          <w:tcPr>
            <w:tcW w:w="2235" w:type="dxa"/>
            <w:shd w:val="clear" w:color="auto" w:fill="32464D"/>
          </w:tcPr>
          <w:p w:rsidR="008A45B2" w:rsidRPr="00F05D28" w:rsidRDefault="008A45B2" w:rsidP="00363A2A">
            <w:pPr>
              <w:rPr>
                <w:color w:val="FFFFFF" w:themeColor="background1"/>
              </w:rPr>
            </w:pPr>
            <w:r w:rsidRPr="00F05D28">
              <w:rPr>
                <w:color w:val="FFFFFF" w:themeColor="background1"/>
              </w:rPr>
              <w:t>Article 24(4)</w:t>
            </w:r>
          </w:p>
        </w:tc>
        <w:tc>
          <w:tcPr>
            <w:tcW w:w="4536" w:type="dxa"/>
          </w:tcPr>
          <w:p w:rsidR="008A45B2" w:rsidRPr="00D76169" w:rsidRDefault="008A45B2" w:rsidP="00363A2A">
            <w:r w:rsidRPr="00D76169">
              <w:t>Article 49(5)</w:t>
            </w:r>
          </w:p>
        </w:tc>
        <w:tc>
          <w:tcPr>
            <w:tcW w:w="7512" w:type="dxa"/>
            <w:shd w:val="clear" w:color="auto" w:fill="auto"/>
          </w:tcPr>
          <w:p w:rsidR="008A45B2" w:rsidRPr="00D76169" w:rsidRDefault="008A45B2" w:rsidP="00363A2A">
            <w:r w:rsidRPr="00D76169">
              <w:t>“The investment firm shall inform the client or potential client where accounts that contain financial instruments or funds belonging to that client or potential client are or will be subject to the law of a jurisdiction other than that of a Member State and shall indicate that the rights of the client or potential client relating to those financial instruments or funds may differ accordingly.”</w:t>
            </w:r>
          </w:p>
        </w:tc>
      </w:tr>
      <w:tr w:rsidR="008A45B2" w:rsidRPr="001E0645" w:rsidTr="008A45B2">
        <w:trPr>
          <w:trHeight w:val="910"/>
        </w:trPr>
        <w:tc>
          <w:tcPr>
            <w:tcW w:w="2235" w:type="dxa"/>
            <w:shd w:val="clear" w:color="auto" w:fill="32464D"/>
          </w:tcPr>
          <w:p w:rsidR="008A45B2" w:rsidRPr="00F05D28" w:rsidRDefault="008A45B2" w:rsidP="00363A2A">
            <w:pPr>
              <w:rPr>
                <w:color w:val="FFFFFF" w:themeColor="background1"/>
              </w:rPr>
            </w:pPr>
            <w:r w:rsidRPr="00F05D28">
              <w:rPr>
                <w:color w:val="FFFFFF" w:themeColor="background1"/>
              </w:rPr>
              <w:t>Article 24(4)</w:t>
            </w:r>
          </w:p>
        </w:tc>
        <w:tc>
          <w:tcPr>
            <w:tcW w:w="4536" w:type="dxa"/>
          </w:tcPr>
          <w:p w:rsidR="008A45B2" w:rsidRPr="00D76169" w:rsidRDefault="008A45B2" w:rsidP="00363A2A">
            <w:r w:rsidRPr="00D76169">
              <w:t>Article 49(6)</w:t>
            </w:r>
          </w:p>
        </w:tc>
        <w:tc>
          <w:tcPr>
            <w:tcW w:w="7512" w:type="dxa"/>
            <w:shd w:val="clear" w:color="auto" w:fill="auto"/>
          </w:tcPr>
          <w:p w:rsidR="008A45B2" w:rsidRPr="00D76169" w:rsidRDefault="008A45B2" w:rsidP="00363A2A">
            <w:r w:rsidRPr="00D76169">
              <w:t>“An investment firm shall inform the client about the existence and the terms of any security interest or lien which the firm has or may have over the client's financial instruments or funds, or any right of set-off it holds in relation to those instruments or funds. Where applicable, it shall also inform the client of the fact that a depository may have a security interest or lien over, or right of set-off in relation to those instruments or funds.”</w:t>
            </w:r>
          </w:p>
        </w:tc>
      </w:tr>
      <w:tr w:rsidR="008A45B2" w:rsidRPr="001E0645" w:rsidTr="008A45B2">
        <w:trPr>
          <w:trHeight w:val="910"/>
        </w:trPr>
        <w:tc>
          <w:tcPr>
            <w:tcW w:w="2235" w:type="dxa"/>
            <w:shd w:val="clear" w:color="auto" w:fill="32464D"/>
          </w:tcPr>
          <w:p w:rsidR="008A45B2" w:rsidRPr="00F05D28" w:rsidRDefault="008A45B2" w:rsidP="00363A2A">
            <w:pPr>
              <w:rPr>
                <w:color w:val="FFFFFF" w:themeColor="background1"/>
              </w:rPr>
            </w:pPr>
            <w:r w:rsidRPr="00F05D28">
              <w:rPr>
                <w:color w:val="FFFFFF" w:themeColor="background1"/>
              </w:rPr>
              <w:t>Article 24(4)</w:t>
            </w:r>
          </w:p>
        </w:tc>
        <w:tc>
          <w:tcPr>
            <w:tcW w:w="4536" w:type="dxa"/>
          </w:tcPr>
          <w:p w:rsidR="008A45B2" w:rsidRPr="00D76169" w:rsidRDefault="008A45B2" w:rsidP="00363A2A">
            <w:r w:rsidRPr="00D76169">
              <w:t>Article 49(7)</w:t>
            </w:r>
          </w:p>
        </w:tc>
        <w:tc>
          <w:tcPr>
            <w:tcW w:w="7512" w:type="dxa"/>
            <w:shd w:val="clear" w:color="auto" w:fill="auto"/>
          </w:tcPr>
          <w:p w:rsidR="008A45B2" w:rsidRDefault="008A45B2" w:rsidP="00363A2A">
            <w:r w:rsidRPr="00D76169">
              <w:t>“An investment firm, before entering into securities financing transactions in relation to financial instruments held by it on behalf of a client, or before otherwise using such financial instruments for its own account or the account of another client shall in good time before the use of those instruments provide the client, in a durable medium, with clear, full and accurate information on the obligations and responsibilities of the investment firm with respect to the use of those financial instruments, including the terms for their restitution, and on the risks involved.”</w:t>
            </w:r>
          </w:p>
        </w:tc>
      </w:tr>
    </w:tbl>
    <w:p w:rsidR="002971A1" w:rsidRPr="001E0645" w:rsidRDefault="002971A1">
      <w:pPr>
        <w:rPr>
          <w:rFonts w:cs="Arial"/>
          <w:szCs w:val="20"/>
        </w:rPr>
      </w:pPr>
    </w:p>
    <w:p w:rsidR="004E3456" w:rsidRDefault="004E3456" w:rsidP="004E3456">
      <w:pPr>
        <w:jc w:val="left"/>
        <w:rPr>
          <w:szCs w:val="20"/>
        </w:rPr>
      </w:pPr>
      <w:r>
        <w:rPr>
          <w:szCs w:val="20"/>
        </w:rPr>
        <w:br w:type="page"/>
      </w:r>
    </w:p>
    <w:p w:rsidR="004E3456" w:rsidRDefault="004E3456">
      <w:pPr>
        <w:jc w:val="left"/>
        <w:sectPr w:rsidR="004E3456" w:rsidSect="00F05D28">
          <w:headerReference w:type="default" r:id="rId11"/>
          <w:footerReference w:type="default" r:id="rId12"/>
          <w:pgSz w:w="16838" w:h="11906" w:orient="landscape" w:code="9"/>
          <w:pgMar w:top="1418" w:right="1418" w:bottom="1418" w:left="1418" w:header="709" w:footer="709" w:gutter="0"/>
          <w:cols w:space="708"/>
          <w:docGrid w:linePitch="360"/>
        </w:sectPr>
      </w:pPr>
    </w:p>
    <w:p w:rsidR="004E3456" w:rsidRDefault="004E3456">
      <w:pPr>
        <w:jc w:val="left"/>
      </w:pPr>
    </w:p>
    <w:p w:rsidR="004E3456" w:rsidRDefault="004E3456" w:rsidP="004E3456">
      <w:pPr>
        <w:pStyle w:val="ssPara1"/>
        <w:jc w:val="left"/>
        <w:rPr>
          <w:b/>
        </w:rPr>
      </w:pPr>
      <w:r>
        <w:rPr>
          <w:b/>
        </w:rPr>
        <w:t>Technical Advice – pg 74-78</w:t>
      </w:r>
    </w:p>
    <w:p w:rsidR="004E3456" w:rsidRPr="004E3456" w:rsidRDefault="004E3456" w:rsidP="004E3456">
      <w:pPr>
        <w:pStyle w:val="ssPara1"/>
        <w:jc w:val="left"/>
        <w:rPr>
          <w:b/>
        </w:rPr>
      </w:pPr>
      <w:r w:rsidRPr="004E3456">
        <w:rPr>
          <w:b/>
        </w:rPr>
        <w:t xml:space="preserve">Governance arrangements concerning the safeguarding of client assets </w:t>
      </w:r>
    </w:p>
    <w:p w:rsidR="004E3456" w:rsidRDefault="004E3456" w:rsidP="004E3456">
      <w:pPr>
        <w:pStyle w:val="ssPara1"/>
        <w:ind w:left="720" w:hanging="720"/>
        <w:jc w:val="left"/>
      </w:pPr>
      <w:r>
        <w:t>1.</w:t>
      </w:r>
      <w:r>
        <w:tab/>
        <w:t xml:space="preserve">Investment firms shall appoint a single officer of sufficient skill and authority with specific responsibility for matters relating to the firm’s compliance with its obligations regarding the safeguarding of client instruments and funds. </w:t>
      </w:r>
    </w:p>
    <w:p w:rsidR="004E3456" w:rsidRDefault="004E3456" w:rsidP="004E3456">
      <w:pPr>
        <w:pStyle w:val="ssPara1"/>
        <w:ind w:left="720" w:hanging="720"/>
        <w:jc w:val="left"/>
      </w:pPr>
      <w:r>
        <w:t xml:space="preserve">2. </w:t>
      </w:r>
      <w:r>
        <w:tab/>
        <w:t xml:space="preserve">In accordance with the MiFID proportionality principle, investment firms shall decide where it is appropriate for the officer appointed under (1) to be dedicated solely to this task, or to have additional responsibilities. </w:t>
      </w:r>
    </w:p>
    <w:p w:rsidR="004E3456" w:rsidRPr="004E3456" w:rsidRDefault="004E3456" w:rsidP="004E3456">
      <w:pPr>
        <w:pStyle w:val="ssPara1"/>
        <w:jc w:val="left"/>
        <w:rPr>
          <w:b/>
        </w:rPr>
      </w:pPr>
      <w:r w:rsidRPr="004E3456">
        <w:rPr>
          <w:b/>
        </w:rPr>
        <w:t xml:space="preserve">Inappropriate use of title transfer collateral arrangements (TTCAs) for non-retail clients </w:t>
      </w:r>
    </w:p>
    <w:p w:rsidR="004E3456" w:rsidRDefault="004E3456" w:rsidP="004E3456">
      <w:pPr>
        <w:pStyle w:val="ssPara1"/>
        <w:ind w:left="720" w:hanging="720"/>
        <w:jc w:val="left"/>
      </w:pPr>
      <w:r>
        <w:t xml:space="preserve">3. </w:t>
      </w:r>
      <w:r>
        <w:tab/>
        <w:t xml:space="preserve">Article 16(10) of MiFID II prohibits firms from concluding TTCAs with retail clients for the purpose of securing or covering present or future, actual or contingent or prospective obligations. For non-retail clients, investment firms shall not conclude TTCAs without proper consideration. </w:t>
      </w:r>
    </w:p>
    <w:p w:rsidR="004E3456" w:rsidRDefault="004E3456" w:rsidP="004E3456">
      <w:pPr>
        <w:pStyle w:val="ssPara1"/>
        <w:ind w:left="720" w:hanging="720"/>
        <w:jc w:val="left"/>
      </w:pPr>
      <w:r>
        <w:t xml:space="preserve">4. </w:t>
      </w:r>
      <w:r>
        <w:tab/>
        <w:t xml:space="preserve">TTCAs are not appropriate where: </w:t>
      </w:r>
    </w:p>
    <w:p w:rsidR="004E3456" w:rsidRDefault="004E3456" w:rsidP="004E3456">
      <w:pPr>
        <w:pStyle w:val="ssPara1"/>
        <w:ind w:left="720"/>
        <w:jc w:val="left"/>
      </w:pPr>
      <w:r>
        <w:t xml:space="preserve">i. there is only a very weak connection between the client’s obligation to the firm and the use of TTCAs, including where the likelihood of a liability arising is low or negligible; </w:t>
      </w:r>
    </w:p>
    <w:p w:rsidR="004E3456" w:rsidRDefault="004E3456" w:rsidP="004E3456">
      <w:pPr>
        <w:pStyle w:val="ssPara1"/>
        <w:ind w:left="720"/>
        <w:jc w:val="left"/>
      </w:pPr>
      <w:r>
        <w:t>ii. the amount of client funds or financial instruments subject to TTCAs far exceeds the client’s obligation, or is even unlimited if the client has any obligation at all to the firm; or</w:t>
      </w:r>
    </w:p>
    <w:p w:rsidR="004E3456" w:rsidRDefault="004E3456" w:rsidP="004E3456">
      <w:pPr>
        <w:pStyle w:val="ssPara1"/>
        <w:ind w:left="720"/>
        <w:jc w:val="left"/>
      </w:pPr>
      <w:r>
        <w:t xml:space="preserve"> iii. firms insist that all clients’ assets must be subject to TTCAs, without considering what obligation each client has to the firm. </w:t>
      </w:r>
    </w:p>
    <w:p w:rsidR="004E3456" w:rsidRDefault="004E3456" w:rsidP="004E3456">
      <w:pPr>
        <w:pStyle w:val="ssPara1"/>
        <w:ind w:left="720" w:hanging="720"/>
        <w:jc w:val="left"/>
      </w:pPr>
      <w:r>
        <w:t xml:space="preserve">5. </w:t>
      </w:r>
      <w:r>
        <w:tab/>
        <w:t xml:space="preserve">Investment firms shall consider and be able to demonstrate that they have properly considered the use of TTCA in the context of the relationship between the client’s obligation to the firm and the client assets subjected to TTCA by the firm. </w:t>
      </w:r>
    </w:p>
    <w:p w:rsidR="004E3456" w:rsidRDefault="004E3456" w:rsidP="004E3456">
      <w:pPr>
        <w:pStyle w:val="ssPara1"/>
        <w:ind w:left="720" w:hanging="720"/>
        <w:jc w:val="left"/>
      </w:pPr>
      <w:r>
        <w:t>6.</w:t>
      </w:r>
      <w:r>
        <w:tab/>
        <w:t xml:space="preserve">Where using TTCAs, Investment firms shall highlight to clients the risks involved and the effect of any TTCA on the client’s assets. </w:t>
      </w:r>
    </w:p>
    <w:p w:rsidR="004E3456" w:rsidRPr="004E3456" w:rsidRDefault="004E3456" w:rsidP="004E3456">
      <w:pPr>
        <w:pStyle w:val="ssPara1"/>
        <w:ind w:left="720" w:hanging="720"/>
        <w:jc w:val="left"/>
        <w:rPr>
          <w:b/>
        </w:rPr>
      </w:pPr>
      <w:r w:rsidRPr="004E3456">
        <w:rPr>
          <w:b/>
        </w:rPr>
        <w:t xml:space="preserve">Securities financing transactions and TTCAs </w:t>
      </w:r>
    </w:p>
    <w:p w:rsidR="004E3456" w:rsidRDefault="004E3456" w:rsidP="004E3456">
      <w:pPr>
        <w:pStyle w:val="ssPara1"/>
        <w:ind w:left="720" w:hanging="720"/>
        <w:jc w:val="left"/>
      </w:pPr>
      <w:r>
        <w:t xml:space="preserve">7. </w:t>
      </w:r>
      <w:r>
        <w:tab/>
        <w:t xml:space="preserve">While some transactions permitted under Article19 of the MiFID Implementing Directive may require the transfer of title, it shall not be possible to make use of Article 19 to effect arrangements that are prohibited under Article 16(10) of MiFID II. </w:t>
      </w:r>
    </w:p>
    <w:p w:rsidR="004E3456" w:rsidRPr="004E3456" w:rsidRDefault="004E3456" w:rsidP="004E3456">
      <w:pPr>
        <w:pStyle w:val="ssPara1"/>
        <w:ind w:left="720" w:hanging="720"/>
        <w:jc w:val="left"/>
        <w:rPr>
          <w:b/>
        </w:rPr>
      </w:pPr>
      <w:r w:rsidRPr="004E3456">
        <w:rPr>
          <w:b/>
        </w:rPr>
        <w:t xml:space="preserve">Securities financing transactions and collateralisation </w:t>
      </w:r>
    </w:p>
    <w:p w:rsidR="004E3456" w:rsidRDefault="004E3456" w:rsidP="004E3456">
      <w:pPr>
        <w:pStyle w:val="ssPara1"/>
        <w:ind w:left="720" w:hanging="720"/>
        <w:jc w:val="left"/>
      </w:pPr>
      <w:r>
        <w:t xml:space="preserve">8. </w:t>
      </w:r>
      <w:r>
        <w:tab/>
        <w:t xml:space="preserve">Investment firms shall adopt specific arrangements for retail and non-retail clients to ensure that the borrower of client assets provides the appropriate collateral and that the firm monitors the continued appropriateness of such collateral and takes the necessary steps to maintain the balance with the value of client assets. </w:t>
      </w:r>
    </w:p>
    <w:p w:rsidR="004E3456" w:rsidRDefault="004E3456" w:rsidP="004E3456">
      <w:pPr>
        <w:pStyle w:val="ssPara1"/>
        <w:ind w:left="720" w:hanging="720"/>
        <w:jc w:val="left"/>
      </w:pPr>
      <w:r>
        <w:t xml:space="preserve"> 9. </w:t>
      </w:r>
      <w:r>
        <w:tab/>
        <w:t xml:space="preserve">Where an investment firm enters into arrangements for securities financing transactions under Article 19(1)(a) of the MiFID Implementing Directive, the express prior consent of the client shall be clear, recorded in writing, and affirmatively executed by signature or equivalent. In addition, Article 19 should clarify that prior client consent is required for use of client assets by any person. </w:t>
      </w:r>
    </w:p>
    <w:p w:rsidR="004E3456" w:rsidRPr="004E3456" w:rsidRDefault="004E3456" w:rsidP="004E3456">
      <w:pPr>
        <w:pStyle w:val="ssPara1"/>
        <w:ind w:left="720" w:hanging="720"/>
        <w:jc w:val="left"/>
        <w:rPr>
          <w:b/>
        </w:rPr>
      </w:pPr>
      <w:r w:rsidRPr="004E3456">
        <w:rPr>
          <w:b/>
        </w:rPr>
        <w:t xml:space="preserve">Considering diversification of an investment firm’s holding of client funds as part of due diligence requirements </w:t>
      </w:r>
    </w:p>
    <w:p w:rsidR="004E3456" w:rsidRDefault="004E3456" w:rsidP="004E3456">
      <w:pPr>
        <w:pStyle w:val="ssPara1"/>
        <w:ind w:left="720" w:hanging="720"/>
        <w:jc w:val="left"/>
      </w:pPr>
      <w:r>
        <w:t xml:space="preserve">10. </w:t>
      </w:r>
      <w:r>
        <w:tab/>
        <w:t xml:space="preserve">An investment firm that deposits client funds at a third party in accordance with Article 18(1) of the MiFID Implementing Directive shall consider the diversification of these funds as part of their due diligence in the selection, appointment and periodic review of that third party (as set out in Article 18(3) of the MiFID Implementing Directive). </w:t>
      </w:r>
    </w:p>
    <w:p w:rsidR="004E3456" w:rsidRDefault="004E3456" w:rsidP="004E3456">
      <w:pPr>
        <w:pStyle w:val="ssPara1"/>
        <w:ind w:left="720" w:hanging="720"/>
        <w:jc w:val="left"/>
      </w:pPr>
      <w:r>
        <w:t xml:space="preserve">11. </w:t>
      </w:r>
      <w:r>
        <w:tab/>
        <w:t xml:space="preserve">Where an investment firm has transferred client funds to a transaction account in order to make a specific transaction, such funds shall not be subject to a requirement to diversify. </w:t>
      </w:r>
    </w:p>
    <w:p w:rsidR="004E3456" w:rsidRPr="004E3456" w:rsidRDefault="004E3456" w:rsidP="004E3456">
      <w:pPr>
        <w:pStyle w:val="ssPara1"/>
        <w:ind w:left="720" w:hanging="720"/>
        <w:jc w:val="left"/>
        <w:rPr>
          <w:b/>
        </w:rPr>
      </w:pPr>
      <w:r w:rsidRPr="004E3456">
        <w:rPr>
          <w:b/>
        </w:rPr>
        <w:t xml:space="preserve">Intragroup deposits of client funds </w:t>
      </w:r>
    </w:p>
    <w:p w:rsidR="004E3456" w:rsidRDefault="004E3456" w:rsidP="004E3456">
      <w:pPr>
        <w:pStyle w:val="ssPara1"/>
        <w:ind w:left="720" w:hanging="720"/>
        <w:jc w:val="left"/>
      </w:pPr>
      <w:r>
        <w:t xml:space="preserve">12. </w:t>
      </w:r>
      <w:r>
        <w:tab/>
        <w:t xml:space="preserve">Where an investment firm deposits client funds at a third party (as per Article 18(1) of the MiFID Implementing Directive) and that third party is within its own group, an intragroup deposit limit of 20% of such funds shall be imposed. </w:t>
      </w:r>
    </w:p>
    <w:p w:rsidR="004E3456" w:rsidRDefault="004E3456" w:rsidP="004E3456">
      <w:pPr>
        <w:pStyle w:val="ssPara1"/>
        <w:ind w:left="720" w:hanging="720"/>
        <w:jc w:val="left"/>
      </w:pPr>
      <w:r>
        <w:t xml:space="preserve">13. </w:t>
      </w:r>
      <w:r>
        <w:tab/>
        <w:t xml:space="preserve">However, an investment firm shall be allowed not to comply with the previous paragraph if it is able to demonstrate that, in view of the nature, scale and complexity of its business, and also the safety offered by the third parties considered in the previous paragraph, and including in any case the small balance of client funds it holds, the requirement under the previous paragraph is not proportionate. Investment firms shall periodically review the assessment made in accordance with this paragraph and should notify their initial and reviewed assessment(s) to NCAs. </w:t>
      </w:r>
    </w:p>
    <w:p w:rsidR="004E3456" w:rsidRPr="004E3456" w:rsidRDefault="004E3456" w:rsidP="004E3456">
      <w:pPr>
        <w:pStyle w:val="ssPara1"/>
        <w:jc w:val="left"/>
        <w:rPr>
          <w:b/>
        </w:rPr>
      </w:pPr>
      <w:r w:rsidRPr="004E3456">
        <w:rPr>
          <w:b/>
        </w:rPr>
        <w:t xml:space="preserve">Inappropriate security interests, liens or rights of set-off over client financial instruments and funds and recording liens and other encumbrances </w:t>
      </w:r>
    </w:p>
    <w:p w:rsidR="004E3456" w:rsidRDefault="004E3456" w:rsidP="004E3456">
      <w:pPr>
        <w:pStyle w:val="ssPara1"/>
        <w:ind w:left="720" w:hanging="720"/>
        <w:jc w:val="left"/>
      </w:pPr>
      <w:r>
        <w:t xml:space="preserve">14. </w:t>
      </w:r>
      <w:r>
        <w:tab/>
        <w:t xml:space="preserve">Security interests, liens or rights of set-off over client assets that enable a third party to dispose of these assets in order to recover debts that do not relate to the clients or provision of services to the clients shall not be permitted except in cases where this is required by applicable law in a third country jurisdiction. </w:t>
      </w:r>
    </w:p>
    <w:p w:rsidR="004E3456" w:rsidRDefault="004E3456" w:rsidP="004E3456">
      <w:pPr>
        <w:pStyle w:val="ssPara1"/>
        <w:ind w:left="720" w:hanging="720"/>
        <w:jc w:val="left"/>
      </w:pPr>
      <w:r>
        <w:t xml:space="preserve">15. </w:t>
      </w:r>
      <w:r>
        <w:tab/>
        <w:t xml:space="preserve">Where a firm is obliged to enter into agreements that create such security interests, liens or rights of set-off, the firm shall disclose this information to clients so that they are informed of the risks associated with these arrangements. </w:t>
      </w:r>
    </w:p>
    <w:p w:rsidR="004E3456" w:rsidRDefault="004E3456" w:rsidP="004E3456">
      <w:pPr>
        <w:pStyle w:val="ssPara1"/>
        <w:ind w:left="720" w:hanging="720"/>
        <w:jc w:val="left"/>
      </w:pPr>
      <w:r>
        <w:t xml:space="preserve">16. </w:t>
      </w:r>
      <w:r>
        <w:tab/>
        <w:t xml:space="preserve">Where security interests, liens or rights of set-off are granted by the firm over client assets, or where the firm has been informed that they are granted, these shall be recorded in client 77 contracts and the firm’s own accounts to make the ownership status of client assets clear, e.g. in the event of an insolvency. </w:t>
      </w:r>
    </w:p>
    <w:p w:rsidR="004E3456" w:rsidRPr="004E3456" w:rsidRDefault="004E3456" w:rsidP="004E3456">
      <w:pPr>
        <w:pStyle w:val="ssPara1"/>
        <w:ind w:left="720" w:hanging="720"/>
        <w:jc w:val="left"/>
        <w:rPr>
          <w:b/>
        </w:rPr>
      </w:pPr>
      <w:r w:rsidRPr="004E3456">
        <w:rPr>
          <w:b/>
        </w:rPr>
        <w:t xml:space="preserve">Segregation of client financial instruments in third country jurisdictions </w:t>
      </w:r>
    </w:p>
    <w:p w:rsidR="004E3456" w:rsidRDefault="004E3456" w:rsidP="004E3456">
      <w:pPr>
        <w:pStyle w:val="ssPara1"/>
        <w:ind w:left="720" w:hanging="720"/>
        <w:jc w:val="left"/>
      </w:pPr>
      <w:r>
        <w:t>17.</w:t>
      </w:r>
      <w:r>
        <w:tab/>
        <w:t xml:space="preserve"> Investment firms shall only be permitted to rely on ‘other equivalent measures’ as outlined in Article 16(1)(d) of the MiFID Implementing Directive when they are unable to comply with the segregation requirements in third country jurisdictions, due to reasons of applicable law. In these cases, Member States shall be responsible for specifying the necessary ‘other equivalent measures’ to be taken. </w:t>
      </w:r>
    </w:p>
    <w:p w:rsidR="004E3456" w:rsidRDefault="004E3456" w:rsidP="004E3456">
      <w:pPr>
        <w:pStyle w:val="ssPara1"/>
        <w:ind w:left="720" w:hanging="720"/>
        <w:jc w:val="left"/>
      </w:pPr>
      <w:r>
        <w:t xml:space="preserve">18. </w:t>
      </w:r>
      <w:r>
        <w:tab/>
        <w:t xml:space="preserve">A specific disclosure shall be made to clients when relying on ‘other equivalent measures’ under Article 16(1)(d) of the MiFID Implementing Directive to make clients aware they do not benefit from the provisions envisaged under MiFID in these instances. </w:t>
      </w:r>
    </w:p>
    <w:p w:rsidR="004E3456" w:rsidRPr="004E3456" w:rsidRDefault="004E3456" w:rsidP="004E3456">
      <w:pPr>
        <w:pStyle w:val="ssPara1"/>
        <w:ind w:left="720" w:hanging="720"/>
        <w:jc w:val="left"/>
        <w:rPr>
          <w:b/>
        </w:rPr>
      </w:pPr>
      <w:r w:rsidRPr="004E3456">
        <w:rPr>
          <w:b/>
        </w:rPr>
        <w:t xml:space="preserve">Preventing unauthorised use of client financial instruments </w:t>
      </w:r>
    </w:p>
    <w:p w:rsidR="004E3456" w:rsidRDefault="004E3456" w:rsidP="004E3456">
      <w:pPr>
        <w:pStyle w:val="ssPara1"/>
        <w:ind w:left="720" w:hanging="720"/>
        <w:jc w:val="left"/>
      </w:pPr>
      <w:r w:rsidRPr="004E3456">
        <w:t xml:space="preserve">19. </w:t>
      </w:r>
      <w:r>
        <w:tab/>
      </w:r>
      <w:r w:rsidRPr="004E3456">
        <w:t xml:space="preserve">Investment firms shall take appropriate measures to prevent the unauthorised use of client </w:t>
      </w:r>
      <w:r>
        <w:t xml:space="preserve">financial instruments. These measures may include (but are not limited to): </w:t>
      </w:r>
    </w:p>
    <w:p w:rsidR="004E3456" w:rsidRDefault="004E3456" w:rsidP="004E3456">
      <w:pPr>
        <w:pStyle w:val="ssPara1"/>
        <w:ind w:left="720"/>
        <w:jc w:val="left"/>
      </w:pPr>
      <w:r>
        <w:t xml:space="preserve">i. the conclusion of agreements with clients on measures to be taken by the investment firms in case the client does not have the provision on its account on the settlement date (e.g. borrowing of the corresponding securities on behalf of the client or unwinding the position); </w:t>
      </w:r>
    </w:p>
    <w:p w:rsidR="004E3456" w:rsidRDefault="004E3456" w:rsidP="004E3456">
      <w:pPr>
        <w:pStyle w:val="ssPara1"/>
        <w:ind w:left="720"/>
        <w:jc w:val="left"/>
      </w:pPr>
      <w:r>
        <w:t>ii. the close monitoring, by the investment firm, of its projected ability to deliver on the settlement date and the putting in place remedial measures if this cannot be done; and</w:t>
      </w:r>
    </w:p>
    <w:p w:rsidR="004E3456" w:rsidRDefault="004E3456" w:rsidP="004E3456">
      <w:pPr>
        <w:pStyle w:val="ssPara1"/>
        <w:ind w:left="720"/>
        <w:jc w:val="left"/>
      </w:pPr>
      <w:r>
        <w:t xml:space="preserve">iii. the close monitoring and prompt requesting of undelivered securities outstanding on the settlement day and beyond. </w:t>
      </w:r>
    </w:p>
    <w:p w:rsidR="004E3456" w:rsidRPr="004E3456" w:rsidRDefault="004E3456" w:rsidP="004E3456">
      <w:pPr>
        <w:pStyle w:val="ssPara1"/>
        <w:jc w:val="left"/>
        <w:rPr>
          <w:b/>
        </w:rPr>
      </w:pPr>
      <w:r w:rsidRPr="004E3456">
        <w:rPr>
          <w:b/>
        </w:rPr>
        <w:t xml:space="preserve">Making information readily available to insolvency practitioners and relevant authorities and strengthening record-keeping requirements </w:t>
      </w:r>
    </w:p>
    <w:p w:rsidR="004E3456" w:rsidRDefault="004E3456" w:rsidP="004E3456">
      <w:pPr>
        <w:pStyle w:val="ssPara1"/>
        <w:ind w:left="720" w:hanging="720"/>
        <w:jc w:val="left"/>
      </w:pPr>
      <w:r>
        <w:t>20.</w:t>
      </w:r>
      <w:r>
        <w:tab/>
        <w:t xml:space="preserve">Investment firms shall make information readily available to NCAs, insolvency practitioners and those responsible for the resolution of failed institutions, including the following information: </w:t>
      </w:r>
    </w:p>
    <w:p w:rsidR="004E3456" w:rsidRDefault="004E3456" w:rsidP="004E3456">
      <w:pPr>
        <w:pStyle w:val="ssPara1"/>
        <w:ind w:left="720"/>
        <w:jc w:val="left"/>
      </w:pPr>
      <w:r>
        <w:t>i. related internal accounts and records (reconciliations, client ledgers, cash books etc.) that readily identify the balances of funds and instruments held for each client;</w:t>
      </w:r>
    </w:p>
    <w:p w:rsidR="004E3456" w:rsidRDefault="004E3456" w:rsidP="004E3456">
      <w:pPr>
        <w:pStyle w:val="ssPara1"/>
        <w:ind w:left="720"/>
        <w:jc w:val="left"/>
      </w:pPr>
      <w:r>
        <w:t>ii. where client funds are held by the investment firm in accordance with Article 18 of the MiFID Implementing Directive, details of the accounts where client funds are held (bank or qualifying money market fund) and the relevant agreements with those entities</w:t>
      </w:r>
    </w:p>
    <w:p w:rsidR="004E3456" w:rsidRDefault="004E3456" w:rsidP="004E3456">
      <w:pPr>
        <w:pStyle w:val="ssPara1"/>
        <w:ind w:left="720"/>
        <w:jc w:val="left"/>
      </w:pPr>
      <w:r>
        <w:t>iii. where financial instruments held by the investment firm in accordance with Article 17 of 78 the MiFID Implementing Directive, details of accounts opened with third parties and the relevant agreements with those entities;</w:t>
      </w:r>
    </w:p>
    <w:p w:rsidR="004E3456" w:rsidRDefault="004E3456" w:rsidP="004E3456">
      <w:pPr>
        <w:pStyle w:val="ssPara1"/>
        <w:ind w:left="720"/>
        <w:jc w:val="left"/>
      </w:pPr>
      <w:r>
        <w:t xml:space="preserve">iv. details of third parties carrying out any related (outsourced) tasks; </w:t>
      </w:r>
    </w:p>
    <w:p w:rsidR="004E3456" w:rsidRDefault="004E3456" w:rsidP="004E3456">
      <w:pPr>
        <w:pStyle w:val="ssPara1"/>
        <w:ind w:left="720"/>
        <w:jc w:val="left"/>
      </w:pPr>
      <w:r>
        <w:t>v. key individuals of the firm involved in related processes, including those responsible for oversight of the firm’s requirements in relation to the safeguarding of client assets; and</w:t>
      </w:r>
    </w:p>
    <w:p w:rsidR="004E3456" w:rsidRDefault="004E3456" w:rsidP="004E3456">
      <w:pPr>
        <w:pStyle w:val="ssPara1"/>
        <w:ind w:left="720"/>
        <w:jc w:val="left"/>
      </w:pPr>
      <w:r>
        <w:t xml:space="preserve">vi. relevant client agreements. </w:t>
      </w:r>
    </w:p>
    <w:p w:rsidR="002971A1" w:rsidRDefault="004E3456" w:rsidP="004E3456">
      <w:pPr>
        <w:pStyle w:val="ssPara1"/>
        <w:ind w:left="720" w:hanging="720"/>
        <w:jc w:val="left"/>
      </w:pPr>
      <w:r>
        <w:t xml:space="preserve">21. </w:t>
      </w:r>
      <w:r>
        <w:tab/>
        <w:t>The record-keeping requirements in existing Article 16 of the MiFID Implementing Directive should also state that records shall be maintained in such a way ‘that they may be used as an audit trail’, in line with IOSCO Principle 1.</w:t>
      </w:r>
    </w:p>
    <w:p w:rsidR="00BF5830" w:rsidRDefault="00BF5830" w:rsidP="004E3456">
      <w:pPr>
        <w:pStyle w:val="ssPara1"/>
        <w:ind w:left="720" w:hanging="720"/>
        <w:jc w:val="left"/>
      </w:pPr>
    </w:p>
    <w:p w:rsidR="00BF5830" w:rsidRDefault="00BF5830" w:rsidP="004E3456">
      <w:pPr>
        <w:pStyle w:val="ssPara1"/>
        <w:ind w:left="720" w:hanging="720"/>
        <w:jc w:val="left"/>
        <w:rPr>
          <w:b/>
          <w:szCs w:val="20"/>
        </w:rPr>
      </w:pPr>
      <w:r w:rsidRPr="00BF5830">
        <w:rPr>
          <w:b/>
          <w:szCs w:val="20"/>
        </w:rPr>
        <w:t xml:space="preserve">See </w:t>
      </w:r>
      <w:hyperlink r:id="rId13" w:tgtFrame="_blank" w:history="1">
        <w:r w:rsidRPr="00BF5830">
          <w:rPr>
            <w:rStyle w:val="Hyperlink"/>
            <w:rFonts w:cs="Arial"/>
            <w:b/>
            <w:color w:val="00675D"/>
            <w:szCs w:val="20"/>
            <w:bdr w:val="none" w:sz="0" w:space="0" w:color="auto" w:frame="1"/>
            <w:shd w:val="clear" w:color="auto" w:fill="FFFFFF"/>
          </w:rPr>
          <w:t>Commission Delegated Directive (DA1) - 07 April 2016</w:t>
        </w:r>
      </w:hyperlink>
    </w:p>
    <w:p w:rsidR="00BF5830" w:rsidRPr="00BF5830" w:rsidRDefault="00BF5830" w:rsidP="00BF5830">
      <w:pPr>
        <w:shd w:val="clear" w:color="auto" w:fill="FFFFFF"/>
        <w:spacing w:line="270" w:lineRule="atLeast"/>
        <w:jc w:val="left"/>
        <w:rPr>
          <w:rFonts w:cs="Arial"/>
          <w:b/>
          <w:color w:val="4B5156"/>
          <w:szCs w:val="20"/>
        </w:rPr>
      </w:pPr>
      <w:r w:rsidRPr="00BF5830">
        <w:rPr>
          <w:rFonts w:cs="Arial"/>
          <w:b/>
          <w:color w:val="4B5156"/>
          <w:szCs w:val="20"/>
        </w:rPr>
        <w:t xml:space="preserve">And </w:t>
      </w:r>
      <w:hyperlink r:id="rId14" w:tgtFrame="_blank" w:history="1">
        <w:r w:rsidRPr="00BF5830">
          <w:rPr>
            <w:rStyle w:val="Hyperlink"/>
            <w:rFonts w:cs="Arial"/>
            <w:b/>
            <w:color w:val="00675D"/>
            <w:szCs w:val="20"/>
            <w:bdr w:val="none" w:sz="0" w:space="0" w:color="auto" w:frame="1"/>
          </w:rPr>
          <w:t xml:space="preserve">DR April 2016 - </w:t>
        </w:r>
        <w:proofErr w:type="spellStart"/>
        <w:r w:rsidRPr="00BF5830">
          <w:rPr>
            <w:rStyle w:val="Hyperlink"/>
            <w:rFonts w:cs="Arial"/>
            <w:b/>
            <w:color w:val="00675D"/>
            <w:szCs w:val="20"/>
            <w:bdr w:val="none" w:sz="0" w:space="0" w:color="auto" w:frame="1"/>
          </w:rPr>
          <w:t>Chp</w:t>
        </w:r>
        <w:proofErr w:type="spellEnd"/>
        <w:r w:rsidRPr="00BF5830">
          <w:rPr>
            <w:rStyle w:val="Hyperlink"/>
            <w:rFonts w:cs="Arial"/>
            <w:b/>
            <w:color w:val="00675D"/>
            <w:szCs w:val="20"/>
            <w:bdr w:val="none" w:sz="0" w:space="0" w:color="auto" w:frame="1"/>
          </w:rPr>
          <w:t xml:space="preserve"> 3 S1, Art 44-51 Information to Clients and Potential Clients</w:t>
        </w:r>
      </w:hyperlink>
      <w:r w:rsidRPr="00BF5830">
        <w:rPr>
          <w:rFonts w:cs="Arial"/>
          <w:b/>
          <w:color w:val="4B5156"/>
          <w:szCs w:val="20"/>
        </w:rPr>
        <w:t> </w:t>
      </w:r>
    </w:p>
    <w:p w:rsidR="00BF5830" w:rsidRPr="00BF5830" w:rsidRDefault="00BF5830" w:rsidP="004E3456">
      <w:pPr>
        <w:pStyle w:val="ssPara1"/>
        <w:ind w:left="720" w:hanging="720"/>
        <w:jc w:val="left"/>
        <w:rPr>
          <w:b/>
          <w:szCs w:val="20"/>
        </w:rPr>
      </w:pPr>
    </w:p>
    <w:sectPr w:rsidR="00BF5830" w:rsidRPr="00BF5830" w:rsidSect="004E345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D66" w:rsidRDefault="00ED4D66" w:rsidP="00C14BD4">
      <w:r>
        <w:separator/>
      </w:r>
    </w:p>
  </w:endnote>
  <w:endnote w:type="continuationSeparator" w:id="0">
    <w:p w:rsidR="00ED4D66" w:rsidRDefault="00ED4D66" w:rsidP="00C1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xpert Sans Regular">
    <w:altName w:val="Courier New"/>
    <w:panose1 w:val="00000000000000000000"/>
    <w:charset w:val="00"/>
    <w:family w:val="auto"/>
    <w:notTrueType/>
    <w:pitch w:val="variable"/>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3FC" w:rsidRPr="003252CD" w:rsidRDefault="001F53FC">
    <w:pPr>
      <w:rPr>
        <w:sz w:val="12"/>
        <w:szCs w:val="12"/>
      </w:rPr>
    </w:pPr>
  </w:p>
  <w:p w:rsidR="001F53FC" w:rsidRPr="003252CD" w:rsidRDefault="001F53FC" w:rsidP="00E74DB4">
    <w:pPr>
      <w:rPr>
        <w:sz w:val="12"/>
        <w:szCs w:val="12"/>
      </w:rPr>
    </w:pPr>
    <w:r w:rsidRPr="003252CD">
      <w:rPr>
        <w:sz w:val="12"/>
        <w:szCs w:val="12"/>
      </w:rPr>
      <w:t xml:space="preserve"> </w:t>
    </w:r>
    <w:r w:rsidR="0064577C" w:rsidRPr="003252CD">
      <w:rPr>
        <w:sz w:val="12"/>
        <w:szCs w:val="12"/>
      </w:rPr>
      <w:fldChar w:fldCharType="begin"/>
    </w:r>
    <w:r w:rsidRPr="003252CD">
      <w:rPr>
        <w:sz w:val="12"/>
        <w:szCs w:val="12"/>
      </w:rPr>
      <w:instrText xml:space="preserve"> DOCPROPERTY  document_number </w:instrText>
    </w:r>
    <w:r w:rsidR="0064577C" w:rsidRPr="003252CD">
      <w:rPr>
        <w:sz w:val="12"/>
        <w:szCs w:val="12"/>
      </w:rPr>
      <w:fldChar w:fldCharType="separate"/>
    </w:r>
    <w:r w:rsidR="00381DDC">
      <w:rPr>
        <w:sz w:val="12"/>
        <w:szCs w:val="12"/>
      </w:rPr>
      <w:t>62052754 V1 -  - UK1</w:t>
    </w:r>
    <w:r w:rsidR="0064577C" w:rsidRPr="003252CD">
      <w:rPr>
        <w:sz w:val="12"/>
        <w:szCs w:val="12"/>
      </w:rPr>
      <w:fldChar w:fldCharType="end"/>
    </w:r>
    <w:r w:rsidRPr="003252CD">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D66" w:rsidRDefault="00ED4D66" w:rsidP="00C14BD4">
      <w:r>
        <w:separator/>
      </w:r>
    </w:p>
  </w:footnote>
  <w:footnote w:type="continuationSeparator" w:id="0">
    <w:p w:rsidR="00ED4D66" w:rsidRDefault="00ED4D66" w:rsidP="00C14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BD4" w:rsidRDefault="00C14BD4" w:rsidP="00A7460B">
    <w:pPr>
      <w:jc w:val="right"/>
      <w:rPr>
        <w:rFonts w:cs="Arial"/>
        <w:sz w:val="16"/>
        <w:szCs w:val="16"/>
      </w:rPr>
    </w:pPr>
    <w:r>
      <w:rPr>
        <w:rFonts w:cs="Arial"/>
        <w:noProof/>
        <w:sz w:val="16"/>
        <w:szCs w:val="16"/>
        <w:lang w:eastAsia="en-GB"/>
      </w:rPr>
      <w:drawing>
        <wp:inline distT="0" distB="0" distL="0" distR="0" wp14:anchorId="0D93B4F8" wp14:editId="7692385A">
          <wp:extent cx="2505673" cy="609653"/>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FID2 Manager logo.png"/>
                  <pic:cNvPicPr/>
                </pic:nvPicPr>
                <pic:blipFill>
                  <a:blip r:embed="rId1">
                    <a:extLst>
                      <a:ext uri="{28A0092B-C50C-407E-A947-70E740481C1C}">
                        <a14:useLocalDpi xmlns:a14="http://schemas.microsoft.com/office/drawing/2010/main" val="0"/>
                      </a:ext>
                    </a:extLst>
                  </a:blip>
                  <a:stretch>
                    <a:fillRect/>
                  </a:stretch>
                </pic:blipFill>
                <pic:spPr>
                  <a:xfrm>
                    <a:off x="0" y="0"/>
                    <a:ext cx="2505673" cy="609653"/>
                  </a:xfrm>
                  <a:prstGeom prst="rect">
                    <a:avLst/>
                  </a:prstGeom>
                </pic:spPr>
              </pic:pic>
            </a:graphicData>
          </a:graphic>
        </wp:inline>
      </w:drawing>
    </w:r>
  </w:p>
  <w:p w:rsidR="00A7460B" w:rsidRPr="00A7460B" w:rsidRDefault="004E3456" w:rsidP="00A7460B">
    <w:pPr>
      <w:jc w:val="right"/>
      <w:rPr>
        <w:rFonts w:cs="Arial"/>
        <w:sz w:val="16"/>
        <w:szCs w:val="16"/>
      </w:rPr>
    </w:pPr>
    <w:r>
      <w:rPr>
        <w:rFonts w:cs="Arial"/>
        <w:sz w:val="16"/>
        <w:szCs w:val="16"/>
      </w:rPr>
      <w:t>20 June 20</w:t>
    </w:r>
    <w:r w:rsidR="00A7460B" w:rsidRPr="00A7460B">
      <w:rPr>
        <w:rFonts w:cs="Arial"/>
        <w:sz w:val="16"/>
        <w:szCs w:val="16"/>
      </w:rPr>
      <w:t>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12FE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3621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E25B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F21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F48E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492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9681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C48C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66DE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E806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A3027"/>
    <w:multiLevelType w:val="multilevel"/>
    <w:tmpl w:val="3650ECEA"/>
    <w:name w:val="Schedule"/>
    <w:lvl w:ilvl="0">
      <w:start w:val="1"/>
      <w:numFmt w:val="none"/>
      <w:pStyle w:val="ssRestartSchedule"/>
      <w:suff w:val="nothing"/>
      <w:lvlText w:val=""/>
      <w:lvlJc w:val="left"/>
      <w:pPr>
        <w:ind w:left="0" w:firstLine="0"/>
      </w:pPr>
      <w:rPr>
        <w:rFonts w:hint="default"/>
      </w:rPr>
    </w:lvl>
    <w:lvl w:ilvl="1">
      <w:start w:val="1"/>
      <w:numFmt w:val="decimal"/>
      <w:pStyle w:val="ssqSchedule"/>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6941B78"/>
    <w:multiLevelType w:val="multilevel"/>
    <w:tmpl w:val="904EA4D2"/>
    <w:name w:val="Part"/>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CFD6BC0"/>
    <w:multiLevelType w:val="multilevel"/>
    <w:tmpl w:val="AF0AC594"/>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2552"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68507ED"/>
    <w:multiLevelType w:val="multilevel"/>
    <w:tmpl w:val="9F9A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4A6C09"/>
    <w:multiLevelType w:val="multilevel"/>
    <w:tmpl w:val="2E528D2A"/>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2835" w:hanging="283"/>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C087586"/>
    <w:multiLevelType w:val="multilevel"/>
    <w:tmpl w:val="0409001D"/>
    <w:name w:val="Simmons&amp;Simmons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C92269D"/>
    <w:multiLevelType w:val="multilevel"/>
    <w:tmpl w:val="FAD8ED86"/>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3119"/>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35232DDC"/>
    <w:multiLevelType w:val="multilevel"/>
    <w:tmpl w:val="0409001D"/>
    <w:name w:val="Simmons&amp;Simmon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6BB5FBE"/>
    <w:multiLevelType w:val="multilevel"/>
    <w:tmpl w:val="93FE0BF6"/>
    <w:name w:val="Appendix"/>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8F96FE3"/>
    <w:multiLevelType w:val="multilevel"/>
    <w:tmpl w:val="DEEEF714"/>
    <w:name w:val="Exhibit"/>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90B0FE2"/>
    <w:multiLevelType w:val="multilevel"/>
    <w:tmpl w:val="0409001D"/>
    <w:name w:val="Simmons&amp;Simmons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C055996"/>
    <w:multiLevelType w:val="multilevel"/>
    <w:tmpl w:val="3EA809C4"/>
    <w:lvl w:ilvl="0">
      <w:start w:val="1"/>
      <w:numFmt w:val="none"/>
      <w:suff w:val="nothing"/>
      <w:lvlText w:val=""/>
      <w:lvlJc w:val="left"/>
      <w:pPr>
        <w:ind w:left="0" w:firstLine="0"/>
      </w:pPr>
      <w:rPr>
        <w:rFonts w:hint="default"/>
      </w:rPr>
    </w:lvl>
    <w:lvl w:ilvl="1">
      <w:start w:val="1"/>
      <w:numFmt w:val="decimal"/>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7D03AF3"/>
    <w:multiLevelType w:val="multilevel"/>
    <w:tmpl w:val="30C6A426"/>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upperLetter"/>
      <w:lvlText w:val="(%4)"/>
      <w:lvlJc w:val="left"/>
      <w:pPr>
        <w:tabs>
          <w:tab w:val="num" w:pos="1418"/>
        </w:tabs>
        <w:ind w:left="1418" w:hanging="709"/>
      </w:pPr>
      <w:rPr>
        <w:rFonts w:hint="default"/>
      </w:rPr>
    </w:lvl>
    <w:lvl w:ilvl="4">
      <w:start w:val="1"/>
      <w:numFmt w:val="decimal"/>
      <w:lvlText w:val="(%5)"/>
      <w:lvlJc w:val="left"/>
      <w:pPr>
        <w:tabs>
          <w:tab w:val="num" w:pos="1985"/>
        </w:tabs>
        <w:ind w:left="1985" w:hanging="567"/>
      </w:pPr>
      <w:rPr>
        <w:rFonts w:hint="default"/>
      </w:rPr>
    </w:lvl>
    <w:lvl w:ilvl="5">
      <w:start w:val="1"/>
      <w:numFmt w:val="lowerLetter"/>
      <w:lvlText w:val="(%6)"/>
      <w:lvlJc w:val="left"/>
      <w:pPr>
        <w:tabs>
          <w:tab w:val="num" w:pos="2552"/>
        </w:tabs>
        <w:ind w:left="2552" w:hanging="567"/>
      </w:pPr>
      <w:rPr>
        <w:rFonts w:hint="default"/>
      </w:rPr>
    </w:lvl>
    <w:lvl w:ilvl="6">
      <w:start w:val="1"/>
      <w:numFmt w:val="lowerRoman"/>
      <w:lvlText w:val="(%7)"/>
      <w:lvlJc w:val="left"/>
      <w:pPr>
        <w:tabs>
          <w:tab w:val="num" w:pos="3119"/>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F1A6F9C"/>
    <w:multiLevelType w:val="multilevel"/>
    <w:tmpl w:val="0409001D"/>
    <w:name w:val="Simmons&amp;Simmon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6E670E2"/>
    <w:multiLevelType w:val="multilevel"/>
    <w:tmpl w:val="89806CD0"/>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68F558E0"/>
    <w:multiLevelType w:val="multilevel"/>
    <w:tmpl w:val="0BCCCE9C"/>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suff w:val="nothing"/>
      <w:lvlText w:val="(%5)"/>
      <w:lvlJc w:val="left"/>
      <w:pPr>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73C2384B"/>
    <w:multiLevelType w:val="multilevel"/>
    <w:tmpl w:val="B680C116"/>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752B37AC"/>
    <w:multiLevelType w:val="multilevel"/>
    <w:tmpl w:val="4442EDA6"/>
    <w:name w:val="Simmons&amp;Simmons"/>
    <w:lvl w:ilvl="0">
      <w:start w:val="1"/>
      <w:numFmt w:val="none"/>
      <w:pStyle w:val="ssRestartNumber"/>
      <w:suff w:val="nothing"/>
      <w:lvlText w:val=""/>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none"/>
      <w:pStyle w:val="Heading7"/>
      <w:suff w:val="nothing"/>
      <w:lvlText w:val=""/>
      <w:lvlJc w:val="left"/>
      <w:pPr>
        <w:ind w:left="0" w:firstLine="0"/>
      </w:pPr>
      <w:rPr>
        <w:rFonts w:hint="default"/>
      </w:rPr>
    </w:lvl>
    <w:lvl w:ilvl="8">
      <w:start w:val="1"/>
      <w:numFmt w:val="none"/>
      <w:pStyle w:val="Heading8"/>
      <w:suff w:val="nothing"/>
      <w:lvlText w:val=""/>
      <w:lvlJc w:val="left"/>
      <w:pPr>
        <w:ind w:left="0" w:firstLine="0"/>
      </w:pPr>
      <w:rPr>
        <w:rFonts w:hint="default"/>
      </w:rPr>
    </w:lvl>
  </w:abstractNum>
  <w:abstractNum w:abstractNumId="28" w15:restartNumberingAfterBreak="0">
    <w:nsid w:val="7B6B16F3"/>
    <w:multiLevelType w:val="multilevel"/>
    <w:tmpl w:val="E1EC99DE"/>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2835"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7F540CB0"/>
    <w:multiLevelType w:val="multilevel"/>
    <w:tmpl w:val="B2FA9EDC"/>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27"/>
  </w:num>
  <w:num w:numId="2">
    <w:abstractNumId w:val="17"/>
  </w:num>
  <w:num w:numId="3">
    <w:abstractNumId w:val="23"/>
  </w:num>
  <w:num w:numId="4">
    <w:abstractNumId w:val="15"/>
  </w:num>
  <w:num w:numId="5">
    <w:abstractNumId w:val="20"/>
  </w:num>
  <w:num w:numId="6">
    <w:abstractNumId w:val="25"/>
  </w:num>
  <w:num w:numId="7">
    <w:abstractNumId w:val="26"/>
  </w:num>
  <w:num w:numId="8">
    <w:abstractNumId w:val="24"/>
  </w:num>
  <w:num w:numId="9">
    <w:abstractNumId w:val="12"/>
  </w:num>
  <w:num w:numId="10">
    <w:abstractNumId w:val="28"/>
  </w:num>
  <w:num w:numId="11">
    <w:abstractNumId w:val="14"/>
  </w:num>
  <w:num w:numId="12">
    <w:abstractNumId w:val="29"/>
  </w:num>
  <w:num w:numId="13">
    <w:abstractNumId w:val="11"/>
  </w:num>
  <w:num w:numId="14">
    <w:abstractNumId w:val="10"/>
  </w:num>
  <w:num w:numId="15">
    <w:abstractNumId w:val="21"/>
  </w:num>
  <w:num w:numId="16">
    <w:abstractNumId w:val="19"/>
  </w:num>
  <w:num w:numId="17">
    <w:abstractNumId w:val="16"/>
  </w:num>
  <w:num w:numId="18">
    <w:abstractNumId w:val="22"/>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0"/>
  </w:num>
  <w:num w:numId="26">
    <w:abstractNumId w:val="1"/>
  </w:num>
  <w:num w:numId="27">
    <w:abstractNumId w:val="2"/>
  </w:num>
  <w:num w:numId="28">
    <w:abstractNumId w:val="3"/>
  </w:num>
  <w:num w:numId="29">
    <w:abstractNumId w:val="8"/>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A5"/>
    <w:rsid w:val="00072072"/>
    <w:rsid w:val="0008206C"/>
    <w:rsid w:val="00094146"/>
    <w:rsid w:val="000A032B"/>
    <w:rsid w:val="000F4286"/>
    <w:rsid w:val="001153B6"/>
    <w:rsid w:val="00126D51"/>
    <w:rsid w:val="00175581"/>
    <w:rsid w:val="0017715A"/>
    <w:rsid w:val="001955B3"/>
    <w:rsid w:val="001B24D8"/>
    <w:rsid w:val="001E0645"/>
    <w:rsid w:val="001E43A5"/>
    <w:rsid w:val="001F21EF"/>
    <w:rsid w:val="001F53FC"/>
    <w:rsid w:val="00213975"/>
    <w:rsid w:val="00220094"/>
    <w:rsid w:val="002906AA"/>
    <w:rsid w:val="0029381C"/>
    <w:rsid w:val="002960E1"/>
    <w:rsid w:val="002971A1"/>
    <w:rsid w:val="002A6843"/>
    <w:rsid w:val="002E4D24"/>
    <w:rsid w:val="002F49E3"/>
    <w:rsid w:val="00301554"/>
    <w:rsid w:val="00311015"/>
    <w:rsid w:val="00322E4E"/>
    <w:rsid w:val="003252CD"/>
    <w:rsid w:val="00381DDC"/>
    <w:rsid w:val="00390328"/>
    <w:rsid w:val="00397523"/>
    <w:rsid w:val="003C310D"/>
    <w:rsid w:val="003E16E2"/>
    <w:rsid w:val="003F2EB0"/>
    <w:rsid w:val="0044328B"/>
    <w:rsid w:val="00473EE4"/>
    <w:rsid w:val="004C7C3F"/>
    <w:rsid w:val="004E3456"/>
    <w:rsid w:val="004E74D6"/>
    <w:rsid w:val="00502393"/>
    <w:rsid w:val="0056687A"/>
    <w:rsid w:val="00606663"/>
    <w:rsid w:val="0062234B"/>
    <w:rsid w:val="0064577C"/>
    <w:rsid w:val="00662B67"/>
    <w:rsid w:val="00695E51"/>
    <w:rsid w:val="006E7FB2"/>
    <w:rsid w:val="00767452"/>
    <w:rsid w:val="007A7E9F"/>
    <w:rsid w:val="00822DBB"/>
    <w:rsid w:val="00834D3C"/>
    <w:rsid w:val="008744F5"/>
    <w:rsid w:val="008A3338"/>
    <w:rsid w:val="008A45B2"/>
    <w:rsid w:val="008A4EB4"/>
    <w:rsid w:val="00920739"/>
    <w:rsid w:val="0096097B"/>
    <w:rsid w:val="00980174"/>
    <w:rsid w:val="00990647"/>
    <w:rsid w:val="009B0A35"/>
    <w:rsid w:val="00A7460B"/>
    <w:rsid w:val="00AC41A4"/>
    <w:rsid w:val="00AE07E3"/>
    <w:rsid w:val="00AE6F9C"/>
    <w:rsid w:val="00AF5BA0"/>
    <w:rsid w:val="00B14584"/>
    <w:rsid w:val="00BB285E"/>
    <w:rsid w:val="00BD7939"/>
    <w:rsid w:val="00BD7D3A"/>
    <w:rsid w:val="00BF5830"/>
    <w:rsid w:val="00C04072"/>
    <w:rsid w:val="00C11828"/>
    <w:rsid w:val="00C14BD4"/>
    <w:rsid w:val="00C27680"/>
    <w:rsid w:val="00CA6340"/>
    <w:rsid w:val="00CA7274"/>
    <w:rsid w:val="00CB058A"/>
    <w:rsid w:val="00D74945"/>
    <w:rsid w:val="00D804FC"/>
    <w:rsid w:val="00D812DA"/>
    <w:rsid w:val="00D845E5"/>
    <w:rsid w:val="00DD060C"/>
    <w:rsid w:val="00DE5043"/>
    <w:rsid w:val="00E72948"/>
    <w:rsid w:val="00E74DB4"/>
    <w:rsid w:val="00E85801"/>
    <w:rsid w:val="00E85E2E"/>
    <w:rsid w:val="00EB2152"/>
    <w:rsid w:val="00EB6C5A"/>
    <w:rsid w:val="00EC237A"/>
    <w:rsid w:val="00ED4D66"/>
    <w:rsid w:val="00EF404B"/>
    <w:rsid w:val="00EF5631"/>
    <w:rsid w:val="00F05D28"/>
    <w:rsid w:val="00F13CBE"/>
    <w:rsid w:val="00F2199C"/>
    <w:rsid w:val="00F32C2B"/>
    <w:rsid w:val="00F66402"/>
    <w:rsid w:val="00FB2994"/>
    <w:rsid w:val="00FC3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619544-B385-446A-8792-B61953C6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No Spacing"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71A1"/>
    <w:pPr>
      <w:jc w:val="both"/>
    </w:pPr>
    <w:rPr>
      <w:rFonts w:ascii="Arial" w:hAnsi="Arial"/>
      <w:szCs w:val="22"/>
      <w:lang w:eastAsia="zh-CN"/>
    </w:rPr>
  </w:style>
  <w:style w:type="paragraph" w:styleId="Heading1">
    <w:name w:val="heading 1"/>
    <w:basedOn w:val="Normal"/>
    <w:next w:val="ssPara1"/>
    <w:qFormat/>
    <w:rsid w:val="00CA65D2"/>
    <w:pPr>
      <w:keepNext/>
      <w:widowControl w:val="0"/>
      <w:numPr>
        <w:ilvl w:val="1"/>
        <w:numId w:val="1"/>
      </w:numPr>
      <w:spacing w:after="260"/>
      <w:outlineLvl w:val="0"/>
    </w:pPr>
    <w:rPr>
      <w:rFonts w:cs="Arial"/>
      <w:b/>
      <w:bCs/>
      <w:kern w:val="32"/>
      <w:szCs w:val="32"/>
      <w:u w:val="single"/>
    </w:rPr>
  </w:style>
  <w:style w:type="paragraph" w:styleId="Heading2">
    <w:name w:val="heading 2"/>
    <w:basedOn w:val="Normal"/>
    <w:next w:val="ssPara2"/>
    <w:qFormat/>
    <w:rsid w:val="00CA65D2"/>
    <w:pPr>
      <w:keepNext/>
      <w:widowControl w:val="0"/>
      <w:numPr>
        <w:ilvl w:val="2"/>
        <w:numId w:val="1"/>
      </w:numPr>
      <w:spacing w:after="260"/>
      <w:outlineLvl w:val="1"/>
    </w:pPr>
    <w:rPr>
      <w:rFonts w:cs="Arial"/>
      <w:b/>
      <w:bCs/>
      <w:iCs/>
    </w:rPr>
  </w:style>
  <w:style w:type="paragraph" w:styleId="Heading3">
    <w:name w:val="heading 3"/>
    <w:basedOn w:val="Normal"/>
    <w:next w:val="ssPara3"/>
    <w:qFormat/>
    <w:rsid w:val="00CA65D2"/>
    <w:pPr>
      <w:keepNext/>
      <w:widowControl w:val="0"/>
      <w:numPr>
        <w:ilvl w:val="3"/>
        <w:numId w:val="1"/>
      </w:numPr>
      <w:spacing w:after="260"/>
      <w:outlineLvl w:val="2"/>
    </w:pPr>
    <w:rPr>
      <w:rFonts w:cs="Arial"/>
      <w:b/>
      <w:bCs/>
      <w:szCs w:val="26"/>
    </w:rPr>
  </w:style>
  <w:style w:type="paragraph" w:styleId="Heading4">
    <w:name w:val="heading 4"/>
    <w:basedOn w:val="Normal"/>
    <w:next w:val="ssPara4"/>
    <w:qFormat/>
    <w:rsid w:val="00CA65D2"/>
    <w:pPr>
      <w:keepNext/>
      <w:widowControl w:val="0"/>
      <w:numPr>
        <w:ilvl w:val="4"/>
        <w:numId w:val="1"/>
      </w:numPr>
      <w:spacing w:after="260"/>
      <w:outlineLvl w:val="3"/>
    </w:pPr>
    <w:rPr>
      <w:b/>
      <w:bCs/>
      <w:szCs w:val="28"/>
    </w:rPr>
  </w:style>
  <w:style w:type="paragraph" w:styleId="Heading5">
    <w:name w:val="heading 5"/>
    <w:basedOn w:val="Normal"/>
    <w:next w:val="ssPara5"/>
    <w:qFormat/>
    <w:rsid w:val="00CA65D2"/>
    <w:pPr>
      <w:keepNext/>
      <w:widowControl w:val="0"/>
      <w:numPr>
        <w:ilvl w:val="5"/>
        <w:numId w:val="1"/>
      </w:numPr>
      <w:spacing w:after="260"/>
      <w:outlineLvl w:val="4"/>
    </w:pPr>
    <w:rPr>
      <w:b/>
      <w:bCs/>
      <w:iCs/>
    </w:rPr>
  </w:style>
  <w:style w:type="paragraph" w:styleId="Heading6">
    <w:name w:val="heading 6"/>
    <w:basedOn w:val="Normal"/>
    <w:next w:val="ssPara6"/>
    <w:qFormat/>
    <w:rsid w:val="00CA65D2"/>
    <w:pPr>
      <w:keepNext/>
      <w:widowControl w:val="0"/>
      <w:numPr>
        <w:ilvl w:val="6"/>
        <w:numId w:val="1"/>
      </w:numPr>
      <w:spacing w:after="260"/>
      <w:outlineLvl w:val="5"/>
    </w:pPr>
    <w:rPr>
      <w:b/>
      <w:bCs/>
    </w:rPr>
  </w:style>
  <w:style w:type="paragraph" w:styleId="Heading7">
    <w:name w:val="heading 7"/>
    <w:basedOn w:val="Normal"/>
    <w:next w:val="Normal"/>
    <w:qFormat/>
    <w:rsid w:val="00CA65D2"/>
    <w:pPr>
      <w:numPr>
        <w:ilvl w:val="7"/>
        <w:numId w:val="1"/>
      </w:numPr>
      <w:outlineLvl w:val="6"/>
    </w:pPr>
    <w:rPr>
      <w:szCs w:val="24"/>
    </w:rPr>
  </w:style>
  <w:style w:type="paragraph" w:styleId="Heading8">
    <w:name w:val="heading 8"/>
    <w:basedOn w:val="Normal"/>
    <w:next w:val="Normal"/>
    <w:qFormat/>
    <w:rsid w:val="00CA65D2"/>
    <w:pPr>
      <w:numPr>
        <w:ilvl w:val="8"/>
        <w:numId w:val="1"/>
      </w:numPr>
      <w:outlineLvl w:val="7"/>
    </w:pPr>
    <w:rPr>
      <w:iCs/>
      <w:szCs w:val="24"/>
    </w:rPr>
  </w:style>
  <w:style w:type="paragraph" w:styleId="Heading9">
    <w:name w:val="heading 9"/>
    <w:basedOn w:val="Normal"/>
    <w:next w:val="Normal"/>
    <w:qFormat/>
    <w:rsid w:val="00367A27"/>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Para1">
    <w:name w:val="ssPara1"/>
    <w:basedOn w:val="Normal"/>
    <w:rsid w:val="0060762C"/>
    <w:pPr>
      <w:spacing w:after="260"/>
    </w:pPr>
  </w:style>
  <w:style w:type="paragraph" w:customStyle="1" w:styleId="ssPara2">
    <w:name w:val="ssPara2"/>
    <w:basedOn w:val="Normal"/>
    <w:rsid w:val="0060762C"/>
    <w:pPr>
      <w:spacing w:after="260"/>
      <w:ind w:left="709"/>
    </w:pPr>
  </w:style>
  <w:style w:type="paragraph" w:customStyle="1" w:styleId="ssPara3">
    <w:name w:val="ssPara3"/>
    <w:basedOn w:val="Normal"/>
    <w:rsid w:val="0060762C"/>
    <w:pPr>
      <w:spacing w:after="260"/>
      <w:ind w:left="1418"/>
    </w:pPr>
  </w:style>
  <w:style w:type="paragraph" w:customStyle="1" w:styleId="ssPara4">
    <w:name w:val="ssPara4"/>
    <w:basedOn w:val="Normal"/>
    <w:rsid w:val="0060762C"/>
    <w:pPr>
      <w:spacing w:after="260"/>
      <w:ind w:left="1985"/>
    </w:pPr>
  </w:style>
  <w:style w:type="paragraph" w:customStyle="1" w:styleId="ssPara5">
    <w:name w:val="ssPara5"/>
    <w:basedOn w:val="Normal"/>
    <w:rsid w:val="0060762C"/>
    <w:pPr>
      <w:spacing w:after="260"/>
      <w:ind w:left="2552"/>
    </w:pPr>
  </w:style>
  <w:style w:type="paragraph" w:customStyle="1" w:styleId="ssPara6">
    <w:name w:val="ssPara6"/>
    <w:basedOn w:val="Normal"/>
    <w:rsid w:val="0060762C"/>
    <w:pPr>
      <w:spacing w:after="260"/>
      <w:ind w:left="3119"/>
    </w:pPr>
  </w:style>
  <w:style w:type="paragraph" w:customStyle="1" w:styleId="ssNoHeading1">
    <w:name w:val="ssNoHeading1"/>
    <w:basedOn w:val="Heading1"/>
    <w:rsid w:val="00B060B8"/>
    <w:pPr>
      <w:keepNext w:val="0"/>
      <w:widowControl/>
    </w:pPr>
    <w:rPr>
      <w:b w:val="0"/>
      <w:szCs w:val="22"/>
      <w:u w:val="none"/>
    </w:rPr>
  </w:style>
  <w:style w:type="paragraph" w:customStyle="1" w:styleId="ssNoHeading2">
    <w:name w:val="ssNoHeading2"/>
    <w:basedOn w:val="Heading2"/>
    <w:rsid w:val="00B060B8"/>
    <w:pPr>
      <w:keepNext w:val="0"/>
      <w:widowControl/>
    </w:pPr>
    <w:rPr>
      <w:b w:val="0"/>
    </w:rPr>
  </w:style>
  <w:style w:type="paragraph" w:customStyle="1" w:styleId="ssNoHeading3">
    <w:name w:val="ssNoHeading3"/>
    <w:basedOn w:val="Heading3"/>
    <w:rsid w:val="00B060B8"/>
    <w:pPr>
      <w:keepNext w:val="0"/>
      <w:widowControl/>
    </w:pPr>
    <w:rPr>
      <w:b w:val="0"/>
    </w:rPr>
  </w:style>
  <w:style w:type="paragraph" w:customStyle="1" w:styleId="ssNoHeading4">
    <w:name w:val="ssNoHeading4"/>
    <w:basedOn w:val="Heading4"/>
    <w:rsid w:val="00B060B8"/>
    <w:pPr>
      <w:keepNext w:val="0"/>
      <w:widowControl/>
    </w:pPr>
    <w:rPr>
      <w:b w:val="0"/>
    </w:rPr>
  </w:style>
  <w:style w:type="paragraph" w:customStyle="1" w:styleId="ssNoHeading5">
    <w:name w:val="ssNoHeading5"/>
    <w:basedOn w:val="Heading5"/>
    <w:rsid w:val="00B060B8"/>
    <w:pPr>
      <w:keepNext w:val="0"/>
      <w:widowControl/>
    </w:pPr>
    <w:rPr>
      <w:b w:val="0"/>
    </w:rPr>
  </w:style>
  <w:style w:type="paragraph" w:customStyle="1" w:styleId="ssNoHeading6">
    <w:name w:val="ssNoHeading6"/>
    <w:basedOn w:val="Heading6"/>
    <w:rsid w:val="00B060B8"/>
    <w:pPr>
      <w:keepNext w:val="0"/>
      <w:widowControl/>
    </w:pPr>
    <w:rPr>
      <w:b w:val="0"/>
    </w:rPr>
  </w:style>
  <w:style w:type="paragraph" w:customStyle="1" w:styleId="ssRestartNumber">
    <w:name w:val="ssRestartNumber"/>
    <w:basedOn w:val="Normal"/>
    <w:next w:val="ssPara1"/>
    <w:rsid w:val="00CA65D2"/>
    <w:pPr>
      <w:numPr>
        <w:numId w:val="1"/>
      </w:numPr>
    </w:pPr>
    <w:rPr>
      <w:color w:val="FF0000"/>
    </w:rPr>
  </w:style>
  <w:style w:type="paragraph" w:customStyle="1" w:styleId="ssqPart">
    <w:name w:val="ssqPart"/>
    <w:basedOn w:val="Normal"/>
    <w:next w:val="ssPara1"/>
    <w:rsid w:val="00DB29D9"/>
    <w:pPr>
      <w:numPr>
        <w:ilvl w:val="1"/>
        <w:numId w:val="13"/>
      </w:numPr>
      <w:spacing w:after="260"/>
      <w:jc w:val="center"/>
    </w:pPr>
    <w:rPr>
      <w:b/>
      <w:caps/>
    </w:rPr>
  </w:style>
  <w:style w:type="paragraph" w:customStyle="1" w:styleId="ssRestartPart">
    <w:name w:val="ssRestartPart"/>
    <w:basedOn w:val="Normal"/>
    <w:next w:val="ssPara1"/>
    <w:rsid w:val="00DB29D9"/>
    <w:pPr>
      <w:numPr>
        <w:numId w:val="13"/>
      </w:numPr>
    </w:pPr>
    <w:rPr>
      <w:color w:val="FF0000"/>
    </w:rPr>
  </w:style>
  <w:style w:type="paragraph" w:customStyle="1" w:styleId="ssRestartSchedule">
    <w:name w:val="ssRestartSchedule"/>
    <w:basedOn w:val="Normal"/>
    <w:next w:val="ssPara1"/>
    <w:rsid w:val="008B5DC3"/>
    <w:pPr>
      <w:numPr>
        <w:numId w:val="14"/>
      </w:numPr>
    </w:pPr>
    <w:rPr>
      <w:color w:val="FF0000"/>
    </w:rPr>
  </w:style>
  <w:style w:type="paragraph" w:customStyle="1" w:styleId="ssqSchedule">
    <w:name w:val="ssqSchedule"/>
    <w:basedOn w:val="Normal"/>
    <w:next w:val="ssPara1"/>
    <w:rsid w:val="008B5DC3"/>
    <w:pPr>
      <w:numPr>
        <w:ilvl w:val="1"/>
        <w:numId w:val="14"/>
      </w:numPr>
      <w:spacing w:after="260"/>
      <w:jc w:val="center"/>
    </w:pPr>
    <w:rPr>
      <w:b/>
      <w:caps/>
    </w:rPr>
  </w:style>
  <w:style w:type="paragraph" w:customStyle="1" w:styleId="ssqExhibit">
    <w:name w:val="ssqExhibit"/>
    <w:basedOn w:val="Normal"/>
    <w:next w:val="ssPara1"/>
    <w:rsid w:val="002468A8"/>
    <w:pPr>
      <w:numPr>
        <w:ilvl w:val="1"/>
        <w:numId w:val="16"/>
      </w:numPr>
      <w:spacing w:after="260"/>
      <w:jc w:val="center"/>
    </w:pPr>
    <w:rPr>
      <w:b/>
      <w:caps/>
    </w:rPr>
  </w:style>
  <w:style w:type="paragraph" w:customStyle="1" w:styleId="ssRestartExhibit">
    <w:name w:val="ssRestartExhibit"/>
    <w:basedOn w:val="Normal"/>
    <w:next w:val="ssPara1"/>
    <w:rsid w:val="002468A8"/>
    <w:pPr>
      <w:numPr>
        <w:numId w:val="16"/>
      </w:numPr>
    </w:pPr>
    <w:rPr>
      <w:color w:val="FF0000"/>
    </w:rPr>
  </w:style>
  <w:style w:type="paragraph" w:customStyle="1" w:styleId="ssqToCAdd">
    <w:name w:val="ssqToCAdd"/>
    <w:basedOn w:val="ssPara1"/>
    <w:next w:val="ssPara1"/>
    <w:rsid w:val="0034673E"/>
  </w:style>
  <w:style w:type="paragraph" w:customStyle="1" w:styleId="ssqAppendix">
    <w:name w:val="ssqAppendix"/>
    <w:basedOn w:val="Normal"/>
    <w:next w:val="ssPara1"/>
    <w:rsid w:val="00CB7D04"/>
    <w:pPr>
      <w:numPr>
        <w:ilvl w:val="1"/>
        <w:numId w:val="19"/>
      </w:numPr>
      <w:spacing w:after="260"/>
      <w:jc w:val="center"/>
    </w:pPr>
    <w:rPr>
      <w:b/>
      <w:caps/>
    </w:rPr>
  </w:style>
  <w:style w:type="paragraph" w:customStyle="1" w:styleId="ssRestartAppendix">
    <w:name w:val="ssRestartAppendix"/>
    <w:basedOn w:val="Normal"/>
    <w:next w:val="ssPara1"/>
    <w:rsid w:val="004108F5"/>
    <w:pPr>
      <w:numPr>
        <w:numId w:val="19"/>
      </w:numPr>
    </w:pPr>
    <w:rPr>
      <w:color w:val="FF0000"/>
    </w:rPr>
  </w:style>
  <w:style w:type="paragraph" w:styleId="TOC1">
    <w:name w:val="toc 1"/>
    <w:basedOn w:val="Normal"/>
    <w:next w:val="Normal"/>
    <w:autoRedefine/>
    <w:rsid w:val="00800C13"/>
    <w:pPr>
      <w:tabs>
        <w:tab w:val="right" w:leader="dot" w:pos="9497"/>
      </w:tabs>
      <w:spacing w:before="220"/>
      <w:ind w:left="709" w:right="595" w:hanging="709"/>
    </w:pPr>
  </w:style>
  <w:style w:type="paragraph" w:styleId="TOC2">
    <w:name w:val="toc 2"/>
    <w:basedOn w:val="Normal"/>
    <w:next w:val="Normal"/>
    <w:autoRedefine/>
    <w:rsid w:val="0098314B"/>
    <w:pPr>
      <w:tabs>
        <w:tab w:val="right" w:leader="dot" w:pos="9497"/>
      </w:tabs>
      <w:ind w:left="1418" w:right="595" w:hanging="709"/>
    </w:pPr>
  </w:style>
  <w:style w:type="paragraph" w:styleId="TOC3">
    <w:name w:val="toc 3"/>
    <w:basedOn w:val="Normal"/>
    <w:next w:val="Normal"/>
    <w:autoRedefine/>
    <w:rsid w:val="00D33221"/>
    <w:pPr>
      <w:tabs>
        <w:tab w:val="right" w:leader="dot" w:pos="9497"/>
      </w:tabs>
      <w:ind w:left="2127" w:right="595" w:hanging="709"/>
    </w:pPr>
  </w:style>
  <w:style w:type="paragraph" w:styleId="TOC4">
    <w:name w:val="toc 4"/>
    <w:basedOn w:val="Normal"/>
    <w:next w:val="Normal"/>
    <w:autoRedefine/>
    <w:rsid w:val="00D33221"/>
    <w:pPr>
      <w:tabs>
        <w:tab w:val="right" w:leader="dot" w:pos="9497"/>
      </w:tabs>
      <w:ind w:left="2694" w:right="595" w:hanging="709"/>
    </w:pPr>
  </w:style>
  <w:style w:type="paragraph" w:styleId="BodyText">
    <w:name w:val="Body Text"/>
    <w:basedOn w:val="Normal"/>
    <w:link w:val="BodyTextChar"/>
    <w:rsid w:val="00D04C79"/>
    <w:pPr>
      <w:spacing w:after="120"/>
    </w:pPr>
  </w:style>
  <w:style w:type="character" w:customStyle="1" w:styleId="BodyTextChar">
    <w:name w:val="Body Text Char"/>
    <w:link w:val="BodyText"/>
    <w:rsid w:val="00D04C79"/>
    <w:rPr>
      <w:rFonts w:ascii="Arial" w:hAnsi="Arial"/>
      <w:sz w:val="22"/>
      <w:szCs w:val="22"/>
      <w:lang w:eastAsia="zh-CN"/>
    </w:rPr>
  </w:style>
  <w:style w:type="character" w:styleId="Hyperlink">
    <w:name w:val="Hyperlink"/>
    <w:basedOn w:val="DefaultParagraphFont"/>
    <w:rsid w:val="002971A1"/>
    <w:rPr>
      <w:color w:val="0000FF" w:themeColor="hyperlink"/>
      <w:u w:val="single"/>
    </w:rPr>
  </w:style>
  <w:style w:type="paragraph" w:styleId="Header">
    <w:name w:val="header"/>
    <w:basedOn w:val="Normal"/>
    <w:link w:val="HeaderChar"/>
    <w:rsid w:val="00C14BD4"/>
    <w:pPr>
      <w:tabs>
        <w:tab w:val="center" w:pos="4513"/>
        <w:tab w:val="right" w:pos="9026"/>
      </w:tabs>
    </w:pPr>
  </w:style>
  <w:style w:type="character" w:customStyle="1" w:styleId="HeaderChar">
    <w:name w:val="Header Char"/>
    <w:basedOn w:val="DefaultParagraphFont"/>
    <w:link w:val="Header"/>
    <w:rsid w:val="00C14BD4"/>
    <w:rPr>
      <w:rFonts w:ascii="Arial" w:hAnsi="Arial"/>
      <w:szCs w:val="22"/>
      <w:lang w:eastAsia="zh-CN"/>
    </w:rPr>
  </w:style>
  <w:style w:type="paragraph" w:styleId="Footer">
    <w:name w:val="footer"/>
    <w:basedOn w:val="Normal"/>
    <w:link w:val="FooterChar"/>
    <w:rsid w:val="00C14BD4"/>
    <w:pPr>
      <w:tabs>
        <w:tab w:val="center" w:pos="4513"/>
        <w:tab w:val="right" w:pos="9026"/>
      </w:tabs>
    </w:pPr>
  </w:style>
  <w:style w:type="character" w:customStyle="1" w:styleId="FooterChar">
    <w:name w:val="Footer Char"/>
    <w:basedOn w:val="DefaultParagraphFont"/>
    <w:link w:val="Footer"/>
    <w:rsid w:val="00C14BD4"/>
    <w:rPr>
      <w:rFonts w:ascii="Arial" w:hAnsi="Arial"/>
      <w:szCs w:val="22"/>
      <w:lang w:eastAsia="zh-CN"/>
    </w:rPr>
  </w:style>
  <w:style w:type="paragraph" w:styleId="BalloonText">
    <w:name w:val="Balloon Text"/>
    <w:basedOn w:val="Normal"/>
    <w:link w:val="BalloonTextChar"/>
    <w:rsid w:val="00990647"/>
    <w:rPr>
      <w:rFonts w:ascii="Tahoma" w:hAnsi="Tahoma" w:cs="Tahoma"/>
      <w:sz w:val="16"/>
      <w:szCs w:val="16"/>
    </w:rPr>
  </w:style>
  <w:style w:type="character" w:customStyle="1" w:styleId="BalloonTextChar">
    <w:name w:val="Balloon Text Char"/>
    <w:basedOn w:val="DefaultParagraphFont"/>
    <w:link w:val="BalloonText"/>
    <w:rsid w:val="00990647"/>
    <w:rPr>
      <w:rFonts w:ascii="Tahoma" w:hAnsi="Tahoma" w:cs="Tahoma"/>
      <w:sz w:val="16"/>
      <w:szCs w:val="16"/>
      <w:lang w:eastAsia="zh-CN"/>
    </w:rPr>
  </w:style>
  <w:style w:type="table" w:styleId="TableGrid">
    <w:name w:val="Table Grid"/>
    <w:basedOn w:val="TableNormal"/>
    <w:rsid w:val="004E7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132876">
      <w:bodyDiv w:val="1"/>
      <w:marLeft w:val="0"/>
      <w:marRight w:val="0"/>
      <w:marTop w:val="0"/>
      <w:marBottom w:val="0"/>
      <w:divBdr>
        <w:top w:val="none" w:sz="0" w:space="0" w:color="auto"/>
        <w:left w:val="none" w:sz="0" w:space="0" w:color="auto"/>
        <w:bottom w:val="none" w:sz="0" w:space="0" w:color="auto"/>
        <w:right w:val="none" w:sz="0" w:space="0" w:color="auto"/>
      </w:divBdr>
    </w:div>
    <w:div w:id="1530489622">
      <w:bodyDiv w:val="1"/>
      <w:marLeft w:val="0"/>
      <w:marRight w:val="0"/>
      <w:marTop w:val="0"/>
      <w:marBottom w:val="0"/>
      <w:divBdr>
        <w:top w:val="none" w:sz="0" w:space="0" w:color="auto"/>
        <w:left w:val="none" w:sz="0" w:space="0" w:color="auto"/>
        <w:bottom w:val="none" w:sz="0" w:space="0" w:color="auto"/>
        <w:right w:val="none" w:sz="0" w:space="0" w:color="auto"/>
      </w:divBdr>
    </w:div>
    <w:div w:id="190960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ma.europa.eu/sites/default/files/library/2015/11/2014-1569_final_report_-_esmas_technical_advice_to_the_commission_on_mifid_ii_and_mifir.pdf" TargetMode="External"/><Relationship Id="rId13" Type="http://schemas.openxmlformats.org/officeDocument/2006/relationships/hyperlink" Target="http://elexica.authoring.simmons.local/~/media/Files/Microsites/MiFID/MiFID2%20legislative/Commission%20Delegated%20Directive%20-%207%20April%20201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lex.europa.eu/legal-content/EN/TXT/PDF/?uri=CELEX:32014L0065&amp;from=EN" TargetMode="External"/><Relationship Id="rId4" Type="http://schemas.openxmlformats.org/officeDocument/2006/relationships/settings" Target="settings.xml"/><Relationship Id="rId9" Type="http://schemas.openxmlformats.org/officeDocument/2006/relationships/hyperlink" Target="https://ec.europa.eu/transparency/regdoc/rep/3/2016/EN/3-2016-2398-EN-F1-1.PDF" TargetMode="External"/><Relationship Id="rId14" Type="http://schemas.openxmlformats.org/officeDocument/2006/relationships/hyperlink" Target="http://elexica.authoring.simmons.local/~/media/Files/Microsites/MiFID/MiFID2%20legislative/DR%20April%202016%20%20Chp3%20S1%20Art%204451%20%20Information%20to%20Clients%20and%20Potential%20Client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arclays">
      <a:majorFont>
        <a:latin typeface="Expert Sans Regular"/>
        <a:ea typeface=""/>
        <a:cs typeface=""/>
      </a:majorFont>
      <a:minorFont>
        <a:latin typeface="Expert Sans Regula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14BCE-706B-4889-967E-A0653FF8E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3899</Words>
  <Characters>22225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Barclays Capital</Company>
  <LinksUpToDate>false</LinksUpToDate>
  <CharactersWithSpaces>26072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miloshju</dc:creator>
  <cp:keywords/>
  <dc:description/>
  <cp:lastModifiedBy>Sally Anderson</cp:lastModifiedBy>
  <cp:revision>2</cp:revision>
  <cp:lastPrinted>2016-05-09T08:58:00Z</cp:lastPrinted>
  <dcterms:created xsi:type="dcterms:W3CDTF">2019-10-13T19:45:00Z</dcterms:created>
  <dcterms:modified xsi:type="dcterms:W3CDTF">2019-10-13T19:45:00Z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number">
    <vt:lpwstr>62052754 V1 -  - UK1</vt:lpwstr>
  </property>
  <property fmtid="{D5CDD505-2E9C-101B-9397-08002B2CF9AE}" pid="3" name="MAIL_MSG_ID1">
    <vt:lpwstr>gFAA5ajW4yTOEjsUWegmEaMvhwTCUiH3wPwgejqPOGr3lMI7kUqv71u6lxlA3avENxPlkKxAc1/bRBam
s44nX6mmc1t/Y9tZgcgretB28te0JhQquKaMN3TAK+Gv8V+DtkVpgWaq1YQGvtOms44nX6mmc1t/
Y9tZgcgretB28te0JhQquKaMN3TAK94Ht2OBOLYItQCxS4KjBGZDmXSO84+i/kSDtjGbjikkGnkj
Kib0NKxmjlrXoDA2P</vt:lpwstr>
  </property>
  <property fmtid="{D5CDD505-2E9C-101B-9397-08002B2CF9AE}" pid="4" name="MAIL_MSG_ID2">
    <vt:lpwstr>Pr3/Kt6brdBMPJej4ir1saDyEFc1VhRCugTF1S9rv70H08OvX4oyJnDlDCz
p6+teYT4F7CYQtO0YekOLSzfnvN6Iyj61GoGoA==</vt:lpwstr>
  </property>
  <property fmtid="{D5CDD505-2E9C-101B-9397-08002B2CF9AE}" pid="5" name="RESPONSE_SENDER_NAME">
    <vt:lpwstr>gAAAJ+PfKkF/6hhwWohgfD5oazfTC0la50X6</vt:lpwstr>
  </property>
  <property fmtid="{D5CDD505-2E9C-101B-9397-08002B2CF9AE}" pid="6" name="EMAIL_OWNER_ADDRESS">
    <vt:lpwstr>ABAAmylTnWthiz/2U7+Qrsc8j5QjBWqELp1c7a3PO8GaG+pB90Gz5/oitapwLxQF8LeS</vt:lpwstr>
  </property>
  <property fmtid="{D5CDD505-2E9C-101B-9397-08002B2CF9AE}" pid="7" name="WS_TRACKING_ID">
    <vt:lpwstr>9f8c03ca-6b0e-4adf-810c-f8c8155681c8</vt:lpwstr>
  </property>
</Properties>
</file>