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AA1" w:rsidRDefault="000E6AA1" w:rsidP="000E6AA1">
      <w:pPr>
        <w:spacing w:line="265" w:lineRule="exact"/>
        <w:textAlignment w:val="baseline"/>
        <w:rPr>
          <w:rFonts w:eastAsia="Times New Roman"/>
          <w:b/>
          <w:color w:val="6177A8"/>
          <w:spacing w:val="10"/>
          <w:sz w:val="20"/>
        </w:rPr>
      </w:pPr>
      <w:r>
        <w:rPr>
          <w:rFonts w:ascii="Garamond" w:eastAsia="Garamond" w:hAnsi="Garamond"/>
          <w:color w:val="000000"/>
          <w:spacing w:val="-4"/>
          <w:sz w:val="25"/>
        </w:rPr>
        <w:t>28 September 2015 I ESMA/2015/1464</w:t>
      </w:r>
      <w:r>
        <w:rPr>
          <w:noProof/>
        </w:rPr>
        <mc:AlternateContent>
          <mc:Choice Requires="wps">
            <w:drawing>
              <wp:anchor distT="0" distB="0" distL="0" distR="0" simplePos="0" relativeHeight="251679744" behindDoc="1" locked="0" layoutInCell="1" allowOverlap="1" wp14:anchorId="4B0B07AC" wp14:editId="01322688">
                <wp:simplePos x="0" y="0"/>
                <wp:positionH relativeFrom="page">
                  <wp:posOffset>851535</wp:posOffset>
                </wp:positionH>
                <wp:positionV relativeFrom="page">
                  <wp:posOffset>9995535</wp:posOffset>
                </wp:positionV>
                <wp:extent cx="168275" cy="172720"/>
                <wp:effectExtent l="0" t="0" r="3175" b="17780"/>
                <wp:wrapSquare wrapText="bothSides"/>
                <wp:docPr id="890"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AA1" w:rsidRDefault="000E6AA1" w:rsidP="000E6AA1">
                            <w:pPr>
                              <w:spacing w:line="271" w:lineRule="exact"/>
                              <w:textAlignment w:val="baseline"/>
                              <w:rPr>
                                <w:rFonts w:eastAsia="Times New Roman"/>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0" o:spid="_x0000_s1026" type="#_x0000_t202" style="position:absolute;left:0;text-align:left;margin-left:67.05pt;margin-top:787.05pt;width:13.25pt;height:13.6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" filled="f" stroked="f">
                <v:textbox inset="0,0,0,0">
                  <w:txbxContent>
                    <w:p w:rsidR="000E6AA1" w:rsidRDefault="000E6AA1" w:rsidP="000E6AA1">
                      <w:pPr>
                        <w:spacing w:line="271" w:lineRule="exact"/>
                        <w:textAlignment w:val="baseline"/>
                        <w:rPr>
                          <w:rFonts w:eastAsia="Times New Roman"/>
                          <w:color w:val="000000"/>
                          <w:sz w:val="24"/>
                        </w:rPr>
                      </w:pPr>
                    </w:p>
                  </w:txbxContent>
                </v:textbox>
                <w10:wrap type="square" anchorx="page" anchory="page"/>
              </v:shape>
            </w:pict>
          </mc:Fallback>
        </mc:AlternateContent>
      </w:r>
      <w:r>
        <w:rPr>
          <w:rFonts w:eastAsia="Times New Roman"/>
          <w:b/>
          <w:color w:val="6177A8"/>
          <w:spacing w:val="10"/>
          <w:sz w:val="20"/>
        </w:rPr>
        <w:t>* * *</w:t>
      </w:r>
    </w:p>
    <w:p w:rsidR="000E6AA1" w:rsidRDefault="000E6AA1" w:rsidP="00EB237C">
      <w:pPr>
        <w:spacing w:after="2068" w:line="391" w:lineRule="exact"/>
        <w:ind w:left="72" w:right="144"/>
        <w:textAlignment w:val="baseline"/>
        <w:rPr>
          <w:rFonts w:ascii="Times New Roman" w:eastAsia="Times New Roman" w:hAnsi="Times New Roman"/>
          <w:b/>
          <w:color w:val="000000"/>
          <w:sz w:val="32"/>
          <w:lang w:val="en-US" w:eastAsia="en-US"/>
        </w:rPr>
      </w:pPr>
    </w:p>
    <w:p w:rsidR="00EB237C" w:rsidRPr="00EB237C" w:rsidRDefault="00EB237C" w:rsidP="00EB237C">
      <w:pPr>
        <w:spacing w:after="2068" w:line="391" w:lineRule="exact"/>
        <w:ind w:left="72" w:right="144"/>
        <w:textAlignment w:val="baseline"/>
        <w:rPr>
          <w:rFonts w:ascii="Times New Roman" w:eastAsia="Times New Roman" w:hAnsi="Times New Roman"/>
          <w:b/>
          <w:color w:val="000000"/>
          <w:sz w:val="32"/>
          <w:lang w:val="en-US" w:eastAsia="en-US"/>
        </w:rPr>
      </w:pPr>
      <w:r w:rsidRPr="00EB237C">
        <w:rPr>
          <w:rFonts w:ascii="Times New Roman" w:eastAsia="Times New Roman" w:hAnsi="Times New Roman"/>
          <w:b/>
          <w:color w:val="000000"/>
          <w:sz w:val="32"/>
          <w:lang w:val="en-US" w:eastAsia="en-US"/>
        </w:rPr>
        <w:t>RTS 10: Draft regulatory technical standards on requirements to ensure co-location and fee structures are fair and non</w:t>
      </w:r>
      <w:r w:rsidRPr="00EB237C">
        <w:rPr>
          <w:rFonts w:ascii="Times New Roman" w:eastAsia="Times New Roman" w:hAnsi="Times New Roman"/>
          <w:b/>
          <w:color w:val="000000"/>
          <w:sz w:val="32"/>
          <w:lang w:val="en-US" w:eastAsia="en-US"/>
        </w:rPr>
        <w:softHyphen/>
        <w:t>discriminatory</w:t>
      </w:r>
    </w:p>
    <w:p w:rsidR="00EB237C" w:rsidRPr="00EB237C" w:rsidRDefault="00EB237C" w:rsidP="00EB237C">
      <w:pPr>
        <w:spacing w:after="2068" w:line="391" w:lineRule="exact"/>
        <w:jc w:val="left"/>
        <w:rPr>
          <w:rFonts w:ascii="Times New Roman" w:eastAsia="PMingLiU" w:hAnsi="Times New Roman"/>
          <w:lang w:val="en-US" w:eastAsia="en-US"/>
        </w:rPr>
        <w:sectPr w:rsidR="00EB237C" w:rsidRPr="00EB237C">
          <w:type w:val="continuous"/>
          <w:pgSz w:w="11909" w:h="16838"/>
          <w:pgMar w:top="720" w:right="1284" w:bottom="960" w:left="1284" w:header="720" w:footer="720" w:gutter="0"/>
          <w:cols w:space="720"/>
        </w:sectPr>
      </w:pPr>
    </w:p>
    <w:p w:rsidR="00EB237C" w:rsidRPr="00EB237C" w:rsidRDefault="00EB237C" w:rsidP="00EB237C">
      <w:pPr>
        <w:spacing w:before="1151" w:line="288" w:lineRule="exact"/>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668480" behindDoc="1" locked="0" layoutInCell="1" allowOverlap="1">
                <wp:simplePos x="0" y="0"/>
                <wp:positionH relativeFrom="column">
                  <wp:posOffset>120650</wp:posOffset>
                </wp:positionH>
                <wp:positionV relativeFrom="paragraph">
                  <wp:posOffset>0</wp:posOffset>
                </wp:positionV>
                <wp:extent cx="3017520" cy="641350"/>
                <wp:effectExtent l="254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64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1507"/>
                              <w:gridCol w:w="3245"/>
                            </w:tblGrid>
                            <w:tr w:rsidR="00EB237C">
                              <w:trPr>
                                <w:trHeight w:hRule="exact" w:val="1010"/>
                              </w:trPr>
                              <w:tc>
                                <w:tcPr>
                                  <w:tcW w:w="1507" w:type="dxa"/>
                                  <w:tcBorders>
                                    <w:top w:val="none" w:sz="0" w:space="0" w:color="000000"/>
                                    <w:left w:val="none" w:sz="0" w:space="0" w:color="000000"/>
                                    <w:bottom w:val="none" w:sz="0" w:space="0" w:color="000000"/>
                                    <w:right w:val="none" w:sz="0" w:space="0" w:color="000000"/>
                                  </w:tcBorders>
                                </w:tcPr>
                                <w:p w:rsidR="00EB237C" w:rsidRDefault="00EB237C">
                                  <w:pPr>
                                    <w:spacing w:before="7"/>
                                    <w:jc w:val="center"/>
                                    <w:textAlignment w:val="baseline"/>
                                  </w:pPr>
                                  <w:r>
                                    <w:rPr>
                                      <w:noProof/>
                                    </w:rPr>
                                    <w:drawing>
                                      <wp:inline distT="0" distB="0" distL="0" distR="0" wp14:anchorId="04AFEC9D" wp14:editId="6C14EFEA">
                                        <wp:extent cx="956945" cy="636905"/>
                                        <wp:effectExtent l="0" t="0" r="0" b="0"/>
                                        <wp:docPr id="2" name="pic"/>
                                        <wp:cNvGraphicFramePr/>
                                        <a:graphic xmlns:a="http://schemas.openxmlformats.org/drawingml/2006/main">
                                          <a:graphicData uri="http://schemas.openxmlformats.org/drawingml/2006/picture">
                                            <pic:pic xmlns:pic="http://schemas.openxmlformats.org/drawingml/2006/picture">
                                              <pic:nvPicPr>
                                                <pic:cNvPr id="154" name="test1"/>
                                                <pic:cNvPicPr preferRelativeResize="0"/>
                                              </pic:nvPicPr>
                                              <pic:blipFill>
                                                <a:blip r:embed="rId9"/>
                                                <a:stretch>
                                                  <a:fillRect/>
                                                </a:stretch>
                                              </pic:blipFill>
                                              <pic:spPr>
                                                <a:xfrm>
                                                  <a:off x="0" y="0"/>
                                                  <a:ext cx="956945" cy="636905"/>
                                                </a:xfrm>
                                                <a:prstGeom prst="rect">
                                                  <a:avLst/>
                                                </a:prstGeom>
                                              </pic:spPr>
                                            </pic:pic>
                                          </a:graphicData>
                                        </a:graphic>
                                      </wp:inline>
                                    </w:drawing>
                                  </w:r>
                                </w:p>
                              </w:tc>
                              <w:tc>
                                <w:tcPr>
                                  <w:tcW w:w="3245" w:type="dxa"/>
                                  <w:tcBorders>
                                    <w:top w:val="none" w:sz="0" w:space="0" w:color="000000"/>
                                    <w:left w:val="none" w:sz="0" w:space="0" w:color="000000"/>
                                    <w:bottom w:val="none" w:sz="0" w:space="0" w:color="000000"/>
                                    <w:right w:val="none" w:sz="0" w:space="0" w:color="000000"/>
                                  </w:tcBorders>
                                </w:tcPr>
                                <w:p w:rsidR="00EB237C" w:rsidRDefault="00EB237C">
                                  <w:pPr>
                                    <w:spacing w:after="735" w:line="261" w:lineRule="exact"/>
                                    <w:ind w:right="5"/>
                                    <w:jc w:val="right"/>
                                    <w:textAlignment w:val="baseline"/>
                                    <w:rPr>
                                      <w:rFonts w:ascii="Arial" w:eastAsia="Arial" w:hAnsi="Arial"/>
                                      <w:b/>
                                      <w:color w:val="000000"/>
                                      <w:sz w:val="23"/>
                                    </w:rPr>
                                  </w:pPr>
                                  <w:r>
                                    <w:rPr>
                                      <w:rFonts w:ascii="Arial" w:eastAsia="Arial" w:hAnsi="Arial"/>
                                      <w:b/>
                                      <w:color w:val="000000"/>
                                      <w:sz w:val="23"/>
                                    </w:rPr>
                                    <w:t>EUROPEAN COMMISSION</w:t>
                                  </w:r>
                                </w:p>
                              </w:tc>
                            </w:tr>
                          </w:tbl>
                          <w:p w:rsidR="00EB237C" w:rsidRDefault="00EB237C" w:rsidP="00EB237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7" type="#_x0000_t202" style="position:absolute;margin-left:9.5pt;margin-top:0;width:237.6pt;height:50.5pt;z-index:-251648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07"/>
                        <w:gridCol w:w="3245"/>
                      </w:tblGrid>
                      <w:tr w:rsidR="00EB237C">
                        <w:trPr>
                          <w:trHeight w:hRule="exact" w:val="1010"/>
                        </w:trPr>
                        <w:tc>
                          <w:tcPr>
                            <w:tcW w:w="1507" w:type="dxa"/>
                            <w:tcBorders>
                              <w:top w:val="none" w:sz="0" w:space="0" w:color="000000"/>
                              <w:left w:val="none" w:sz="0" w:space="0" w:color="000000"/>
                              <w:bottom w:val="none" w:sz="0" w:space="0" w:color="000000"/>
                              <w:right w:val="none" w:sz="0" w:space="0" w:color="000000"/>
                            </w:tcBorders>
                          </w:tcPr>
                          <w:p w:rsidR="00EB237C" w:rsidRDefault="00EB237C">
                            <w:pPr>
                              <w:spacing w:before="7"/>
                              <w:jc w:val="center"/>
                              <w:textAlignment w:val="baseline"/>
                            </w:pPr>
                            <w:r>
                              <w:rPr>
                                <w:noProof/>
                              </w:rPr>
                              <w:drawing>
                                <wp:inline distT="0" distB="0" distL="0" distR="0" wp14:anchorId="04AFEC9D" wp14:editId="6C14EFEA">
                                  <wp:extent cx="956945" cy="636905"/>
                                  <wp:effectExtent l="0" t="0" r="0" b="0"/>
                                  <wp:docPr id="2" name="pic"/>
                                  <wp:cNvGraphicFramePr/>
                                  <a:graphic xmlns:a="http://schemas.openxmlformats.org/drawingml/2006/main">
                                    <a:graphicData uri="http://schemas.openxmlformats.org/drawingml/2006/picture">
                                      <pic:pic xmlns:pic="http://schemas.openxmlformats.org/drawingml/2006/picture">
                                        <pic:nvPicPr>
                                          <pic:cNvPr id="154" name="test1"/>
                                          <pic:cNvPicPr preferRelativeResize="0"/>
                                        </pic:nvPicPr>
                                        <pic:blipFill>
                                          <a:blip r:embed="rId9"/>
                                          <a:stretch>
                                            <a:fillRect/>
                                          </a:stretch>
                                        </pic:blipFill>
                                        <pic:spPr>
                                          <a:xfrm>
                                            <a:off x="0" y="0"/>
                                            <a:ext cx="956945" cy="636905"/>
                                          </a:xfrm>
                                          <a:prstGeom prst="rect">
                                            <a:avLst/>
                                          </a:prstGeom>
                                        </pic:spPr>
                                      </pic:pic>
                                    </a:graphicData>
                                  </a:graphic>
                                </wp:inline>
                              </w:drawing>
                            </w:r>
                          </w:p>
                        </w:tc>
                        <w:tc>
                          <w:tcPr>
                            <w:tcW w:w="3245" w:type="dxa"/>
                            <w:tcBorders>
                              <w:top w:val="none" w:sz="0" w:space="0" w:color="000000"/>
                              <w:left w:val="none" w:sz="0" w:space="0" w:color="000000"/>
                              <w:bottom w:val="none" w:sz="0" w:space="0" w:color="000000"/>
                              <w:right w:val="none" w:sz="0" w:space="0" w:color="000000"/>
                            </w:tcBorders>
                          </w:tcPr>
                          <w:p w:rsidR="00EB237C" w:rsidRDefault="00EB237C">
                            <w:pPr>
                              <w:spacing w:after="735" w:line="261" w:lineRule="exact"/>
                              <w:ind w:right="5"/>
                              <w:jc w:val="right"/>
                              <w:textAlignment w:val="baseline"/>
                              <w:rPr>
                                <w:rFonts w:ascii="Arial" w:eastAsia="Arial" w:hAnsi="Arial"/>
                                <w:b/>
                                <w:color w:val="000000"/>
                                <w:sz w:val="23"/>
                              </w:rPr>
                            </w:pPr>
                            <w:r>
                              <w:rPr>
                                <w:rFonts w:ascii="Arial" w:eastAsia="Arial" w:hAnsi="Arial"/>
                                <w:b/>
                                <w:color w:val="000000"/>
                                <w:sz w:val="23"/>
                              </w:rPr>
                              <w:t>EUROPEAN COMMISSION</w:t>
                            </w:r>
                          </w:p>
                        </w:tc>
                      </w:tr>
                    </w:tbl>
                    <w:p w:rsidR="00EB237C" w:rsidRDefault="00EB237C" w:rsidP="00EB237C"/>
                  </w:txbxContent>
                </v:textbox>
              </v:shape>
            </w:pict>
          </mc:Fallback>
        </mc:AlternateContent>
      </w:r>
    </w:p>
    <w:p w:rsidR="00EB237C" w:rsidRPr="00EB237C" w:rsidRDefault="00EB237C" w:rsidP="00EB237C">
      <w:pPr>
        <w:jc w:val="left"/>
        <w:rPr>
          <w:rFonts w:ascii="Times New Roman" w:eastAsia="PMingLiU" w:hAnsi="Times New Roman"/>
          <w:lang w:val="en-US" w:eastAsia="en-US"/>
        </w:rPr>
        <w:sectPr w:rsidR="00EB237C" w:rsidRPr="00EB237C">
          <w:type w:val="continuous"/>
          <w:pgSz w:w="11909" w:h="16838"/>
          <w:pgMar w:top="720" w:right="1267" w:bottom="960" w:left="1284" w:header="720" w:footer="720" w:gutter="0"/>
          <w:cols w:space="720"/>
        </w:sectPr>
      </w:pPr>
    </w:p>
    <w:p w:rsidR="00EB237C" w:rsidRPr="00EB237C" w:rsidRDefault="00EB237C" w:rsidP="00EB237C">
      <w:pPr>
        <w:spacing w:before="7" w:line="267" w:lineRule="exact"/>
        <w:ind w:left="5256"/>
        <w:jc w:val="left"/>
        <w:textAlignment w:val="baseline"/>
        <w:rPr>
          <w:rFonts w:ascii="Times New Roman" w:eastAsia="Times New Roman" w:hAnsi="Times New Roman"/>
          <w:color w:val="000000"/>
          <w:spacing w:val="-1"/>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669504" behindDoc="1" locked="0" layoutInCell="1" allowOverlap="1">
                <wp:simplePos x="0" y="0"/>
                <wp:positionH relativeFrom="page">
                  <wp:posOffset>815340</wp:posOffset>
                </wp:positionH>
                <wp:positionV relativeFrom="page">
                  <wp:posOffset>9831070</wp:posOffset>
                </wp:positionV>
                <wp:extent cx="549275" cy="342900"/>
                <wp:effectExtent l="0" t="1270" r="0" b="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37C" w:rsidRDefault="00EB237C" w:rsidP="00EB237C">
                            <w:pPr>
                              <w:spacing w:line="530" w:lineRule="exact"/>
                              <w:ind w:left="72"/>
                              <w:textAlignment w:val="baseline"/>
                              <w:rPr>
                                <w:rFonts w:ascii="Arial" w:eastAsia="Arial" w:hAnsi="Arial"/>
                                <w:b/>
                                <w:color w:val="000000"/>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left:0;text-align:left;margin-left:64.2pt;margin-top:774.1pt;width:43.25pt;height:27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" filled="f" stroked="f">
                <v:textbox inset="0,0,0,0">
                  <w:txbxContent>
                    <w:p w:rsidR="00EB237C" w:rsidRDefault="00EB237C" w:rsidP="00EB237C">
                      <w:pPr>
                        <w:spacing w:line="530" w:lineRule="exact"/>
                        <w:ind w:left="72"/>
                        <w:textAlignment w:val="baseline"/>
                        <w:rPr>
                          <w:rFonts w:ascii="Arial" w:eastAsia="Arial" w:hAnsi="Arial"/>
                          <w:b/>
                          <w:color w:val="000000"/>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0528" behindDoc="1" locked="0" layoutInCell="1" allowOverlap="1">
                <wp:simplePos x="0" y="0"/>
                <wp:positionH relativeFrom="page">
                  <wp:posOffset>3606800</wp:posOffset>
                </wp:positionH>
                <wp:positionV relativeFrom="page">
                  <wp:posOffset>9965055</wp:posOffset>
                </wp:positionV>
                <wp:extent cx="348615" cy="171450"/>
                <wp:effectExtent l="0" t="1905" r="0" b="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37C" w:rsidRDefault="00EB237C" w:rsidP="00EB237C">
                            <w:pPr>
                              <w:spacing w:before="3" w:line="259" w:lineRule="exact"/>
                              <w:textAlignment w:val="baseline"/>
                              <w:rPr>
                                <w:rFonts w:eastAsia="Times New Roman"/>
                                <w:color w:val="000000"/>
                                <w:spacing w:val="19"/>
                                <w:sz w:val="24"/>
                              </w:rPr>
                            </w:pPr>
                            <w:r>
                              <w:rPr>
                                <w:rFonts w:eastAsia="Times New Roman"/>
                                <w:color w:val="000000"/>
                                <w:spacing w:val="19"/>
                                <w:sz w:val="24"/>
                              </w:rPr>
                              <w:t>294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284pt;margin-top:784.65pt;width:27.45pt;height:13.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mJsgIAALE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" filled="f" stroked="f">
                <v:textbox inset="0,0,0,0">
                  <w:txbxContent>
                    <w:p w:rsidR="00EB237C" w:rsidRDefault="00EB237C" w:rsidP="00EB237C">
                      <w:pPr>
                        <w:spacing w:before="3" w:line="259" w:lineRule="exact"/>
                        <w:textAlignment w:val="baseline"/>
                        <w:rPr>
                          <w:rFonts w:eastAsia="Times New Roman"/>
                          <w:color w:val="000000"/>
                          <w:spacing w:val="19"/>
                          <w:sz w:val="24"/>
                        </w:rPr>
                      </w:pPr>
                      <w:r>
                        <w:rPr>
                          <w:rFonts w:eastAsia="Times New Roman"/>
                          <w:color w:val="000000"/>
                          <w:spacing w:val="19"/>
                          <w:sz w:val="24"/>
                        </w:rPr>
                        <w:t>294</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1552" behindDoc="1"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37C" w:rsidRDefault="00EB237C" w:rsidP="00EB237C">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0" type="#_x0000_t202" style="position:absolute;left:0;text-align:left;margin-left:487.75pt;margin-top:774.1pt;width:39.9pt;height:27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CBc3nmzAgAA&#10;sQUAAA4AAAAAAAAAAAAAAAAALgIAAGRycy9lMm9Eb2MueG1sUEsBAi0AFAAGAAgAAAAhANNvGvHi&#10;AAAADgEAAA8AAAAAAAAAAAAAAAAADQUAAGRycy9kb3ducmV2LnhtbFBLBQYAAAAABAAEAPMAAAAc&#10;BgAAAAA=&#10;" filled="f" stroked="f">
                <v:textbox inset="0,0,0,0">
                  <w:txbxContent>
                    <w:p w:rsidR="00EB237C" w:rsidRDefault="00EB237C" w:rsidP="00EB237C">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sidRPr="00EB237C">
        <w:rPr>
          <w:rFonts w:ascii="Times New Roman" w:eastAsia="Times New Roman" w:hAnsi="Times New Roman"/>
          <w:color w:val="000000"/>
          <w:spacing w:val="-1"/>
          <w:sz w:val="24"/>
          <w:lang w:val="en-US" w:eastAsia="en-US"/>
        </w:rPr>
        <w:t>Brussels,</w:t>
      </w:r>
      <w:r w:rsidRPr="00EB237C">
        <w:rPr>
          <w:rFonts w:ascii="Times New Roman" w:eastAsia="Times New Roman" w:hAnsi="Times New Roman"/>
          <w:color w:val="FF0000"/>
          <w:spacing w:val="-1"/>
          <w:sz w:val="24"/>
          <w:lang w:val="en-US" w:eastAsia="en-US"/>
        </w:rPr>
        <w:t xml:space="preserve"> XXX</w:t>
      </w:r>
    </w:p>
    <w:p w:rsidR="00EB237C" w:rsidRPr="00EB237C" w:rsidRDefault="00EB237C" w:rsidP="00EB237C">
      <w:pPr>
        <w:spacing w:before="7" w:line="267" w:lineRule="exact"/>
        <w:ind w:left="5256"/>
        <w:jc w:val="left"/>
        <w:textAlignment w:val="baseline"/>
        <w:rPr>
          <w:rFonts w:ascii="Times New Roman" w:eastAsia="Times New Roman" w:hAnsi="Times New Roman"/>
          <w:color w:val="FF0000"/>
          <w:sz w:val="24"/>
          <w:lang w:val="en-US" w:eastAsia="en-US"/>
        </w:rPr>
      </w:pPr>
      <w:r w:rsidRPr="00EB237C">
        <w:rPr>
          <w:rFonts w:ascii="Times New Roman" w:eastAsia="Times New Roman" w:hAnsi="Times New Roman"/>
          <w:color w:val="FF0000"/>
          <w:sz w:val="24"/>
          <w:lang w:val="en-US" w:eastAsia="en-US"/>
        </w:rPr>
        <w:t>[..</w:t>
      </w:r>
      <w:r w:rsidRPr="00EB237C">
        <w:rPr>
          <w:rFonts w:ascii="Times New Roman" w:eastAsia="Times New Roman" w:hAnsi="Times New Roman"/>
          <w:color w:val="000000"/>
          <w:sz w:val="24"/>
          <w:lang w:val="en-US" w:eastAsia="en-US"/>
        </w:rPr>
        <w:t xml:space="preserve"> .](2012)</w:t>
      </w:r>
      <w:r w:rsidRPr="00EB237C">
        <w:rPr>
          <w:rFonts w:ascii="Times New Roman" w:eastAsia="Times New Roman" w:hAnsi="Times New Roman"/>
          <w:color w:val="FF0000"/>
          <w:sz w:val="24"/>
          <w:lang w:val="en-US" w:eastAsia="en-US"/>
        </w:rPr>
        <w:t xml:space="preserve"> XXX</w:t>
      </w:r>
      <w:r w:rsidRPr="00EB237C">
        <w:rPr>
          <w:rFonts w:ascii="Times New Roman" w:eastAsia="Times New Roman" w:hAnsi="Times New Roman"/>
          <w:color w:val="000000"/>
          <w:sz w:val="24"/>
          <w:lang w:val="en-US" w:eastAsia="en-US"/>
        </w:rPr>
        <w:t xml:space="preserve"> draft</w:t>
      </w:r>
    </w:p>
    <w:p w:rsidR="00EB237C" w:rsidRPr="00EB237C" w:rsidRDefault="00EB237C" w:rsidP="00EB237C">
      <w:pPr>
        <w:spacing w:before="1470" w:line="269" w:lineRule="exact"/>
        <w:jc w:val="center"/>
        <w:textAlignment w:val="baseline"/>
        <w:rPr>
          <w:rFonts w:ascii="Times New Roman" w:eastAsia="Times New Roman" w:hAnsi="Times New Roman"/>
          <w:b/>
          <w:color w:val="000000"/>
          <w:sz w:val="24"/>
          <w:lang w:val="en-US" w:eastAsia="en-US"/>
        </w:rPr>
      </w:pPr>
      <w:r w:rsidRPr="00EB237C">
        <w:rPr>
          <w:rFonts w:ascii="Times New Roman" w:eastAsia="Times New Roman" w:hAnsi="Times New Roman"/>
          <w:b/>
          <w:color w:val="000000"/>
          <w:sz w:val="24"/>
          <w:lang w:val="en-US" w:eastAsia="en-US"/>
        </w:rPr>
        <w:t>COMMISSION DELEGATED REGULATION (EU) No .../..</w:t>
      </w:r>
    </w:p>
    <w:p w:rsidR="00EB237C" w:rsidRPr="00EB237C" w:rsidRDefault="00EB237C" w:rsidP="00EB237C">
      <w:pPr>
        <w:spacing w:before="364" w:line="273" w:lineRule="exact"/>
        <w:jc w:val="center"/>
        <w:textAlignment w:val="baseline"/>
        <w:rPr>
          <w:rFonts w:ascii="Times New Roman" w:eastAsia="Times New Roman" w:hAnsi="Times New Roman"/>
          <w:b/>
          <w:color w:val="000000"/>
          <w:spacing w:val="10"/>
          <w:sz w:val="24"/>
          <w:lang w:val="en-US" w:eastAsia="en-US"/>
        </w:rPr>
      </w:pPr>
      <w:r w:rsidRPr="00EB237C">
        <w:rPr>
          <w:rFonts w:ascii="Times New Roman" w:eastAsia="Times New Roman" w:hAnsi="Times New Roman"/>
          <w:b/>
          <w:color w:val="000000"/>
          <w:spacing w:val="10"/>
          <w:sz w:val="24"/>
          <w:lang w:val="en-US" w:eastAsia="en-US"/>
        </w:rPr>
        <w:t>of</w:t>
      </w:r>
      <w:r w:rsidRPr="00EB237C">
        <w:rPr>
          <w:rFonts w:ascii="Times New Roman" w:eastAsia="Times New Roman" w:hAnsi="Times New Roman"/>
          <w:i/>
          <w:color w:val="FF0000"/>
          <w:spacing w:val="10"/>
          <w:sz w:val="24"/>
          <w:lang w:val="en-US" w:eastAsia="en-US"/>
        </w:rPr>
        <w:t xml:space="preserve"> XXX</w:t>
      </w:r>
    </w:p>
    <w:p w:rsidR="00EB237C" w:rsidRPr="00EB237C" w:rsidRDefault="00EB237C" w:rsidP="00EB237C">
      <w:pPr>
        <w:spacing w:before="414" w:line="273" w:lineRule="exact"/>
        <w:jc w:val="center"/>
        <w:textAlignment w:val="baseline"/>
        <w:rPr>
          <w:rFonts w:ascii="Times New Roman" w:eastAsia="Times New Roman" w:hAnsi="Times New Roman"/>
          <w:i/>
          <w:color w:val="0000FF"/>
          <w:spacing w:val="-23"/>
          <w:sz w:val="24"/>
          <w:lang w:val="en-US" w:eastAsia="en-US"/>
        </w:rPr>
      </w:pPr>
      <w:r w:rsidRPr="00EB237C">
        <w:rPr>
          <w:rFonts w:ascii="Times New Roman" w:eastAsia="Times New Roman" w:hAnsi="Times New Roman"/>
          <w:i/>
          <w:color w:val="0000FF"/>
          <w:spacing w:val="-23"/>
          <w:sz w:val="24"/>
          <w:lang w:val="en-US" w:eastAsia="en-US"/>
        </w:rPr>
        <w:t>[• • .]</w:t>
      </w:r>
    </w:p>
    <w:p w:rsidR="00EB237C" w:rsidRPr="00EB237C" w:rsidRDefault="00EB237C" w:rsidP="00EB237C">
      <w:pPr>
        <w:jc w:val="left"/>
        <w:rPr>
          <w:rFonts w:ascii="Times New Roman" w:eastAsia="PMingLiU" w:hAnsi="Times New Roman"/>
          <w:lang w:val="en-US" w:eastAsia="en-US"/>
        </w:rPr>
        <w:sectPr w:rsidR="00EB237C" w:rsidRPr="00EB237C">
          <w:type w:val="continuous"/>
          <w:pgSz w:w="11909" w:h="16838"/>
          <w:pgMar w:top="720" w:right="1267" w:bottom="960" w:left="1301" w:header="720" w:footer="720" w:gutter="0"/>
          <w:cols w:space="720"/>
        </w:sectPr>
      </w:pPr>
    </w:p>
    <w:p w:rsidR="00282305" w:rsidRDefault="00282305" w:rsidP="00EB237C">
      <w:pPr>
        <w:spacing w:before="286" w:line="272" w:lineRule="exact"/>
        <w:ind w:left="72"/>
        <w:jc w:val="center"/>
        <w:textAlignment w:val="baseline"/>
        <w:rPr>
          <w:rFonts w:ascii="Times New Roman" w:eastAsia="Times New Roman" w:hAnsi="Times New Roman"/>
          <w:b/>
          <w:color w:val="000000"/>
          <w:sz w:val="24"/>
          <w:lang w:val="en-US" w:eastAsia="en-US"/>
        </w:rPr>
      </w:pPr>
    </w:p>
    <w:p w:rsidR="00EB237C" w:rsidRPr="00EB237C" w:rsidRDefault="00EB237C" w:rsidP="00EB237C">
      <w:pPr>
        <w:spacing w:before="286" w:line="272" w:lineRule="exact"/>
        <w:ind w:left="72"/>
        <w:jc w:val="center"/>
        <w:textAlignment w:val="baseline"/>
        <w:rPr>
          <w:rFonts w:ascii="Times New Roman" w:eastAsia="Times New Roman" w:hAnsi="Times New Roman"/>
          <w:b/>
          <w:color w:val="000000"/>
          <w:sz w:val="24"/>
          <w:lang w:val="en-US" w:eastAsia="en-US"/>
        </w:rPr>
      </w:pPr>
      <w:r w:rsidRPr="00EB237C">
        <w:rPr>
          <w:rFonts w:ascii="Times New Roman" w:eastAsia="Times New Roman" w:hAnsi="Times New Roman"/>
          <w:b/>
          <w:color w:val="000000"/>
          <w:sz w:val="24"/>
          <w:lang w:val="en-US" w:eastAsia="en-US"/>
        </w:rPr>
        <w:t>COMMISSION DELEGATED REGULATION (EU) .../.. of [date]</w:t>
      </w:r>
    </w:p>
    <w:p w:rsidR="00EB237C" w:rsidRPr="00EB237C" w:rsidRDefault="00EB237C" w:rsidP="00EB237C">
      <w:pPr>
        <w:spacing w:before="127" w:line="353" w:lineRule="exact"/>
        <w:ind w:left="72"/>
        <w:jc w:val="center"/>
        <w:textAlignment w:val="baseline"/>
        <w:rPr>
          <w:rFonts w:ascii="Times New Roman" w:eastAsia="Times New Roman" w:hAnsi="Times New Roman"/>
          <w:b/>
          <w:color w:val="000000"/>
          <w:sz w:val="28"/>
          <w:lang w:val="en-US" w:eastAsia="en-US"/>
        </w:rPr>
      </w:pPr>
      <w:r w:rsidRPr="00EB237C">
        <w:rPr>
          <w:rFonts w:ascii="Times New Roman" w:eastAsia="Times New Roman" w:hAnsi="Times New Roman"/>
          <w:b/>
          <w:color w:val="000000"/>
          <w:sz w:val="28"/>
          <w:lang w:val="en-US" w:eastAsia="en-US"/>
        </w:rPr>
        <w:t xml:space="preserve">supplementing Directive 2014/65/EU of the European Parliament and of the </w:t>
      </w:r>
      <w:r w:rsidRPr="00EB237C">
        <w:rPr>
          <w:rFonts w:ascii="Times New Roman" w:eastAsia="Times New Roman" w:hAnsi="Times New Roman"/>
          <w:b/>
          <w:color w:val="000000"/>
          <w:sz w:val="28"/>
          <w:lang w:val="en-US" w:eastAsia="en-US"/>
        </w:rPr>
        <w:br/>
        <w:t xml:space="preserve">Council on markets in financial instruments with regard to regulatory </w:t>
      </w:r>
      <w:r w:rsidRPr="00EB237C">
        <w:rPr>
          <w:rFonts w:ascii="Times New Roman" w:eastAsia="Times New Roman" w:hAnsi="Times New Roman"/>
          <w:b/>
          <w:color w:val="000000"/>
          <w:sz w:val="28"/>
          <w:lang w:val="en-US" w:eastAsia="en-US"/>
        </w:rPr>
        <w:br/>
        <w:t xml:space="preserve">technical standards on requirements to ensure fair and non-discriminatory </w:t>
      </w:r>
      <w:r w:rsidRPr="00EB237C">
        <w:rPr>
          <w:rFonts w:ascii="Times New Roman" w:eastAsia="Times New Roman" w:hAnsi="Times New Roman"/>
          <w:b/>
          <w:color w:val="000000"/>
          <w:sz w:val="28"/>
          <w:lang w:val="en-US" w:eastAsia="en-US"/>
        </w:rPr>
        <w:br/>
        <w:t>co-location and fee structures</w:t>
      </w:r>
    </w:p>
    <w:p w:rsidR="00EB237C" w:rsidRPr="00EB237C" w:rsidRDefault="00EB237C" w:rsidP="00EB237C">
      <w:pPr>
        <w:spacing w:before="631" w:line="317" w:lineRule="exact"/>
        <w:ind w:left="72"/>
        <w:jc w:val="center"/>
        <w:textAlignment w:val="baseline"/>
        <w:rPr>
          <w:rFonts w:ascii="Times New Roman" w:eastAsia="Times New Roman" w:hAnsi="Times New Roman"/>
          <w:b/>
          <w:color w:val="000000"/>
          <w:sz w:val="28"/>
          <w:lang w:val="en-US" w:eastAsia="en-US"/>
        </w:rPr>
      </w:pPr>
      <w:r w:rsidRPr="00EB237C">
        <w:rPr>
          <w:rFonts w:ascii="Times New Roman" w:eastAsia="Times New Roman" w:hAnsi="Times New Roman"/>
          <w:b/>
          <w:color w:val="000000"/>
          <w:sz w:val="28"/>
          <w:lang w:val="en-US" w:eastAsia="en-US"/>
        </w:rPr>
        <w:t>(Text with EEA relevance)</w:t>
      </w:r>
    </w:p>
    <w:p w:rsidR="00EB237C" w:rsidRPr="00EB237C" w:rsidRDefault="00EB237C" w:rsidP="00EB237C">
      <w:pPr>
        <w:spacing w:before="828" w:line="273" w:lineRule="exact"/>
        <w:ind w:left="144"/>
        <w:jc w:val="left"/>
        <w:textAlignment w:val="baseline"/>
        <w:rPr>
          <w:rFonts w:ascii="Times New Roman" w:eastAsia="Times New Roman" w:hAnsi="Times New Roman"/>
          <w:color w:val="000000"/>
          <w:spacing w:val="-1"/>
          <w:sz w:val="24"/>
          <w:lang w:val="en-US" w:eastAsia="en-US"/>
        </w:rPr>
      </w:pPr>
      <w:r w:rsidRPr="00EB237C">
        <w:rPr>
          <w:rFonts w:ascii="Times New Roman" w:eastAsia="Times New Roman" w:hAnsi="Times New Roman"/>
          <w:color w:val="000000"/>
          <w:spacing w:val="-1"/>
          <w:sz w:val="24"/>
          <w:lang w:val="en-US" w:eastAsia="en-US"/>
        </w:rPr>
        <w:t>THE EUROPEAN COMMISSION,</w:t>
      </w:r>
    </w:p>
    <w:p w:rsidR="00EB237C" w:rsidRPr="00EB237C" w:rsidRDefault="00EB237C" w:rsidP="00EB237C">
      <w:pPr>
        <w:spacing w:before="286" w:line="273" w:lineRule="exact"/>
        <w:ind w:left="144"/>
        <w:jc w:val="left"/>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Having regard to the Treaty on the Functioning of the European Union,</w:t>
      </w:r>
    </w:p>
    <w:p w:rsidR="00EB237C" w:rsidRPr="00EB237C" w:rsidRDefault="00EB237C" w:rsidP="00EB237C">
      <w:pPr>
        <w:spacing w:before="252" w:line="301" w:lineRule="exact"/>
        <w:ind w:left="144" w:right="144"/>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Having regard to Directive 2014/65/EU of the European Parliament and of the Council of 15 May 2014 on markets in financial instruments and amending Directive 2002/92/EC and Directive 2011/61/EU</w:t>
      </w:r>
      <w:r w:rsidRPr="00EB237C">
        <w:rPr>
          <w:rFonts w:ascii="Times New Roman" w:eastAsia="Times New Roman" w:hAnsi="Times New Roman"/>
          <w:color w:val="000000"/>
          <w:sz w:val="24"/>
          <w:vertAlign w:val="superscript"/>
          <w:lang w:val="en-US" w:eastAsia="en-US"/>
        </w:rPr>
        <w:t>1</w:t>
      </w:r>
      <w:r w:rsidRPr="00EB237C">
        <w:rPr>
          <w:rFonts w:ascii="Times New Roman" w:eastAsia="Times New Roman" w:hAnsi="Times New Roman"/>
          <w:color w:val="000000"/>
          <w:sz w:val="24"/>
          <w:lang w:val="en-US" w:eastAsia="en-US"/>
        </w:rPr>
        <w:t>, and in particular Article 48(12)(d),</w:t>
      </w:r>
    </w:p>
    <w:p w:rsidR="00EB237C" w:rsidRPr="00EB237C" w:rsidRDefault="00EB237C" w:rsidP="00EB237C">
      <w:pPr>
        <w:spacing w:before="285" w:line="273" w:lineRule="exact"/>
        <w:ind w:left="144"/>
        <w:jc w:val="left"/>
        <w:textAlignment w:val="baseline"/>
        <w:rPr>
          <w:rFonts w:ascii="Times New Roman" w:eastAsia="Times New Roman" w:hAnsi="Times New Roman"/>
          <w:color w:val="000000"/>
          <w:spacing w:val="-3"/>
          <w:sz w:val="24"/>
          <w:lang w:val="en-US" w:eastAsia="en-US"/>
        </w:rPr>
      </w:pPr>
      <w:r w:rsidRPr="00EB237C">
        <w:rPr>
          <w:rFonts w:ascii="Times New Roman" w:eastAsia="Times New Roman" w:hAnsi="Times New Roman"/>
          <w:color w:val="000000"/>
          <w:spacing w:val="-3"/>
          <w:sz w:val="24"/>
          <w:lang w:val="en-US" w:eastAsia="en-US"/>
        </w:rPr>
        <w:t>Whereas:</w:t>
      </w:r>
    </w:p>
    <w:p w:rsidR="00EB237C" w:rsidRPr="00EB237C" w:rsidRDefault="00EB237C" w:rsidP="00EB237C">
      <w:pPr>
        <w:numPr>
          <w:ilvl w:val="0"/>
          <w:numId w:val="27"/>
        </w:numPr>
        <w:tabs>
          <w:tab w:val="left" w:pos="864"/>
          <w:tab w:val="left" w:pos="864"/>
        </w:tabs>
        <w:spacing w:before="251" w:line="303" w:lineRule="exact"/>
        <w:ind w:left="864" w:right="144"/>
        <w:jc w:val="left"/>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 xml:space="preserve">It is important to adopt detailed regulatory technical standards to clearly identify </w:t>
      </w:r>
      <w:r w:rsidRPr="00EB237C">
        <w:rPr>
          <w:rFonts w:ascii="Times New Roman" w:eastAsia="Times New Roman" w:hAnsi="Times New Roman"/>
          <w:color w:val="000000"/>
          <w:sz w:val="24"/>
          <w:lang w:val="en-US" w:eastAsia="en-US"/>
        </w:rPr>
        <w:br/>
        <w:t>conditions when co-location and fee structures used by trading venues may be considered fair and non-discriminatory.</w:t>
      </w:r>
    </w:p>
    <w:p w:rsidR="00EB237C" w:rsidRPr="00EB237C" w:rsidRDefault="00EB237C" w:rsidP="00EB237C">
      <w:pPr>
        <w:numPr>
          <w:ilvl w:val="0"/>
          <w:numId w:val="27"/>
        </w:numPr>
        <w:tabs>
          <w:tab w:val="left" w:pos="864"/>
          <w:tab w:val="left" w:pos="864"/>
        </w:tabs>
        <w:spacing w:before="252" w:line="303" w:lineRule="exact"/>
        <w:ind w:left="864" w:right="144"/>
        <w:jc w:val="left"/>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 xml:space="preserve">Directive 2014/65/EU extends the requirements relating to co-location and fee </w:t>
      </w:r>
      <w:r w:rsidRPr="00EB237C">
        <w:rPr>
          <w:rFonts w:ascii="Times New Roman" w:eastAsia="Times New Roman" w:hAnsi="Times New Roman"/>
          <w:color w:val="000000"/>
          <w:sz w:val="24"/>
          <w:lang w:val="en-US" w:eastAsia="en-US"/>
        </w:rPr>
        <w:br/>
        <w:t>structures to multilateral trading facilities and organised trading facilities and it is therefore important to ensure that those venues are also within the scope of this Regulation.</w:t>
      </w:r>
    </w:p>
    <w:p w:rsidR="00EB237C" w:rsidRPr="00EB237C" w:rsidRDefault="00EB237C" w:rsidP="00EB237C">
      <w:pPr>
        <w:numPr>
          <w:ilvl w:val="0"/>
          <w:numId w:val="27"/>
        </w:numPr>
        <w:tabs>
          <w:tab w:val="left" w:pos="864"/>
          <w:tab w:val="left" w:pos="864"/>
        </w:tabs>
        <w:spacing w:before="250" w:line="304" w:lineRule="exact"/>
        <w:ind w:left="864" w:right="144"/>
        <w:jc w:val="left"/>
        <w:textAlignment w:val="baseline"/>
        <w:rPr>
          <w:rFonts w:ascii="Times New Roman" w:eastAsia="Times New Roman" w:hAnsi="Times New Roman"/>
          <w:color w:val="000000"/>
          <w:spacing w:val="-2"/>
          <w:sz w:val="24"/>
          <w:lang w:val="en-US" w:eastAsia="en-US"/>
        </w:rPr>
      </w:pPr>
      <w:r w:rsidRPr="00EB237C">
        <w:rPr>
          <w:rFonts w:ascii="Times New Roman" w:eastAsia="Times New Roman" w:hAnsi="Times New Roman"/>
          <w:color w:val="000000"/>
          <w:spacing w:val="-2"/>
          <w:sz w:val="24"/>
          <w:lang w:val="en-US" w:eastAsia="en-US"/>
        </w:rPr>
        <w:t xml:space="preserve">In order to ensure a level playing field, it is necessary to impose common requirements </w:t>
      </w:r>
      <w:r w:rsidRPr="00EB237C">
        <w:rPr>
          <w:rFonts w:ascii="Times New Roman" w:eastAsia="Times New Roman" w:hAnsi="Times New Roman"/>
          <w:color w:val="000000"/>
          <w:spacing w:val="-2"/>
          <w:sz w:val="24"/>
          <w:lang w:val="en-US" w:eastAsia="en-US"/>
        </w:rPr>
        <w:br/>
        <w:t>to all types of co-location services and to apply the same rules to trading venues organising their own data centers and those using data centers owned or managed by third parties.</w:t>
      </w:r>
    </w:p>
    <w:p w:rsidR="00EB237C" w:rsidRPr="00EB237C" w:rsidRDefault="00EB237C" w:rsidP="00EB237C">
      <w:pPr>
        <w:numPr>
          <w:ilvl w:val="0"/>
          <w:numId w:val="27"/>
        </w:numPr>
        <w:tabs>
          <w:tab w:val="left" w:pos="864"/>
          <w:tab w:val="left" w:pos="864"/>
        </w:tabs>
        <w:spacing w:before="250" w:after="1239" w:line="304" w:lineRule="exact"/>
        <w:ind w:left="864" w:right="144"/>
        <w:jc w:val="left"/>
        <w:textAlignment w:val="baseline"/>
        <w:rPr>
          <w:rFonts w:ascii="Times New Roman" w:eastAsia="Times New Roman" w:hAnsi="Times New Roman"/>
          <w:color w:val="000000"/>
          <w:spacing w:val="-2"/>
          <w:sz w:val="24"/>
          <w:lang w:val="en-US" w:eastAsia="en-US"/>
        </w:rPr>
      </w:pPr>
      <w:r w:rsidRPr="00EB237C">
        <w:rPr>
          <w:rFonts w:ascii="Times New Roman" w:eastAsia="Times New Roman" w:hAnsi="Times New Roman"/>
          <w:color w:val="000000"/>
          <w:spacing w:val="-2"/>
          <w:sz w:val="24"/>
          <w:lang w:val="en-US" w:eastAsia="en-US"/>
        </w:rPr>
        <w:t xml:space="preserve">Trading venues have the ability to determine their own commercial policy as regards </w:t>
      </w:r>
      <w:r w:rsidRPr="00EB237C">
        <w:rPr>
          <w:rFonts w:ascii="Times New Roman" w:eastAsia="Times New Roman" w:hAnsi="Times New Roman"/>
          <w:color w:val="000000"/>
          <w:spacing w:val="-2"/>
          <w:sz w:val="24"/>
          <w:lang w:val="en-US" w:eastAsia="en-US"/>
        </w:rPr>
        <w:br/>
        <w:t>co-location and determine which types of market participants they want to grant access to these services on the basis of objective, transparent and non-discriminatory criteria.</w:t>
      </w:r>
    </w:p>
    <w:p w:rsidR="00EB237C" w:rsidRPr="00EB237C" w:rsidRDefault="00EB237C" w:rsidP="00EB237C">
      <w:pPr>
        <w:spacing w:before="270" w:line="228" w:lineRule="exact"/>
        <w:ind w:left="144"/>
        <w:jc w:val="left"/>
        <w:textAlignment w:val="baseline"/>
        <w:rPr>
          <w:rFonts w:ascii="Bookman Old Style" w:eastAsia="Bookman Old Style" w:hAnsi="Bookman Old Style"/>
          <w:color w:val="000000"/>
          <w:spacing w:val="-5"/>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61312" behindDoc="0" locked="0" layoutInCell="1" allowOverlap="1">
                <wp:simplePos x="0" y="0"/>
                <wp:positionH relativeFrom="page">
                  <wp:posOffset>899160</wp:posOffset>
                </wp:positionH>
                <wp:positionV relativeFrom="page">
                  <wp:posOffset>9235440</wp:posOffset>
                </wp:positionV>
                <wp:extent cx="1832610" cy="0"/>
                <wp:effectExtent l="13335" t="15240" r="11430" b="1333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27.2pt" to="21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" strokeweight=".95pt">
                <w10:wrap anchorx="page" anchory="page"/>
              </v:line>
            </w:pict>
          </mc:Fallback>
        </mc:AlternateContent>
      </w:r>
      <w:r w:rsidRPr="00EB237C">
        <w:rPr>
          <w:rFonts w:ascii="Bookman Old Style" w:eastAsia="Bookman Old Style" w:hAnsi="Bookman Old Style"/>
          <w:color w:val="000000"/>
          <w:spacing w:val="-5"/>
          <w:sz w:val="13"/>
          <w:vertAlign w:val="superscript"/>
          <w:lang w:val="en-US" w:eastAsia="en-US"/>
        </w:rPr>
        <w:t>1</w:t>
      </w:r>
      <w:r w:rsidRPr="00EB237C">
        <w:rPr>
          <w:rFonts w:ascii="Times New Roman" w:eastAsia="Times New Roman" w:hAnsi="Times New Roman"/>
          <w:color w:val="000000"/>
          <w:spacing w:val="-5"/>
          <w:sz w:val="21"/>
          <w:lang w:val="en-US" w:eastAsia="en-US"/>
        </w:rPr>
        <w:t xml:space="preserve"> OJ L 173, 12.6.2014, p.349</w:t>
      </w:r>
    </w:p>
    <w:p w:rsidR="00EB237C" w:rsidRPr="00EB237C" w:rsidRDefault="00EB237C" w:rsidP="00EB237C">
      <w:pPr>
        <w:jc w:val="left"/>
        <w:rPr>
          <w:rFonts w:ascii="Times New Roman" w:eastAsia="PMingLiU" w:hAnsi="Times New Roman"/>
          <w:lang w:val="en-US" w:eastAsia="en-US"/>
        </w:rPr>
        <w:sectPr w:rsidR="00EB237C" w:rsidRPr="00EB237C">
          <w:pgSz w:w="11909" w:h="16838"/>
          <w:pgMar w:top="500" w:right="1281" w:bottom="960" w:left="1287" w:header="720" w:footer="720" w:gutter="0"/>
          <w:cols w:space="720"/>
        </w:sectPr>
      </w:pPr>
    </w:p>
    <w:p w:rsidR="00EB237C" w:rsidRPr="00EB237C" w:rsidRDefault="00EB237C" w:rsidP="00EB237C">
      <w:pPr>
        <w:spacing w:before="269" w:after="241" w:line="302" w:lineRule="exact"/>
        <w:ind w:right="144"/>
        <w:textAlignment w:val="baseline"/>
        <w:rPr>
          <w:rFonts w:ascii="Times New Roman" w:eastAsia="Times New Roman" w:hAnsi="Times New Roman"/>
          <w:color w:val="000000"/>
          <w:sz w:val="24"/>
          <w:lang w:val="en-US" w:eastAsia="en-US"/>
        </w:rPr>
      </w:pPr>
      <w:r w:rsidRPr="00EB237C">
        <w:rPr>
          <w:rFonts w:ascii="Times New Roman" w:eastAsia="PMingLiU" w:hAnsi="Times New Roman"/>
          <w:noProof/>
        </w:rPr>
        <w:lastRenderedPageBreak/>
        <w:drawing>
          <wp:anchor distT="0" distB="0" distL="0" distR="0" simplePos="0" relativeHeight="251667456" behindDoc="0" locked="0" layoutInCell="1" allowOverlap="1" wp14:anchorId="00AAACE3" wp14:editId="2EB732AB">
            <wp:simplePos x="0" y="0"/>
            <wp:positionH relativeFrom="page">
              <wp:posOffset>822960</wp:posOffset>
            </wp:positionH>
            <wp:positionV relativeFrom="page">
              <wp:posOffset>445135</wp:posOffset>
            </wp:positionV>
            <wp:extent cx="563880" cy="935355"/>
            <wp:effectExtent l="0" t="0" r="0" b="0"/>
            <wp:wrapThrough wrapText="bothSides">
              <wp:wrapPolygon edited="0">
                <wp:start x="0" y="0"/>
                <wp:lineTo x="0" y="21661"/>
                <wp:lineTo x="16950" y="21661"/>
                <wp:lineTo x="16950" y="18000"/>
                <wp:lineTo x="21627" y="18000"/>
                <wp:lineTo x="21627" y="0"/>
                <wp:lineTo x="0" y="0"/>
              </wp:wrapPolygon>
            </wp:wrapThrough>
            <wp:docPr id="1" name="Picture"/>
            <wp:cNvGraphicFramePr/>
            <a:graphic xmlns:a="http://schemas.openxmlformats.org/drawingml/2006/main">
              <a:graphicData uri="http://schemas.openxmlformats.org/drawingml/2006/picture">
                <pic:pic xmlns:pic="http://schemas.openxmlformats.org/drawingml/2006/picture">
                  <pic:nvPicPr>
                    <pic:cNvPr id="156" name="Picture"/>
                    <pic:cNvPicPr preferRelativeResize="0"/>
                  </pic:nvPicPr>
                  <pic:blipFill>
                    <a:blip r:embed="rId10"/>
                    <a:stretch>
                      <a:fillRect/>
                    </a:stretch>
                  </pic:blipFill>
                  <pic:spPr>
                    <a:xfrm>
                      <a:off x="0" y="0"/>
                      <a:ext cx="563880" cy="935355"/>
                    </a:xfrm>
                    <a:prstGeom prst="rect">
                      <a:avLst/>
                    </a:prstGeom>
                  </pic:spPr>
                </pic:pic>
              </a:graphicData>
            </a:graphic>
          </wp:anchor>
        </w:drawing>
      </w:r>
      <w:r>
        <w:rPr>
          <w:rFonts w:ascii="Times New Roman" w:eastAsia="PMingLiU" w:hAnsi="Times New Roman"/>
          <w:noProof/>
        </w:rPr>
        <mc:AlternateContent>
          <mc:Choice Requires="wps">
            <w:drawing>
              <wp:anchor distT="0" distB="0" distL="0" distR="0" simplePos="0" relativeHeight="251675648" behindDoc="1" locked="0" layoutInCell="1" allowOverlap="1" wp14:anchorId="451F986C" wp14:editId="68274574">
                <wp:simplePos x="0" y="0"/>
                <wp:positionH relativeFrom="page">
                  <wp:posOffset>857885</wp:posOffset>
                </wp:positionH>
                <wp:positionV relativeFrom="page">
                  <wp:posOffset>9831070</wp:posOffset>
                </wp:positionV>
                <wp:extent cx="506730" cy="342900"/>
                <wp:effectExtent l="635" t="127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37C" w:rsidRDefault="00EB237C" w:rsidP="00EB237C">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67.55pt;margin-top:774.1pt;width:39.9pt;height:27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" filled="f" stroked="f">
                <v:textbox inset="0,0,0,0">
                  <w:txbxContent>
                    <w:p w:rsidR="00EB237C" w:rsidRDefault="00EB237C" w:rsidP="00EB237C">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6672" behindDoc="1" locked="0" layoutInCell="1" allowOverlap="1" wp14:anchorId="45A0700C" wp14:editId="36F74E55">
                <wp:simplePos x="0" y="0"/>
                <wp:positionH relativeFrom="page">
                  <wp:posOffset>3606800</wp:posOffset>
                </wp:positionH>
                <wp:positionV relativeFrom="page">
                  <wp:posOffset>9968230</wp:posOffset>
                </wp:positionV>
                <wp:extent cx="348615" cy="172085"/>
                <wp:effectExtent l="0" t="0" r="0" b="381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37C" w:rsidRDefault="00EB237C" w:rsidP="00EB237C">
                            <w:pPr>
                              <w:spacing w:line="257" w:lineRule="exact"/>
                              <w:textAlignment w:val="baseline"/>
                              <w:rPr>
                                <w:rFonts w:eastAsia="Times New Roman"/>
                                <w:color w:val="000000"/>
                                <w:spacing w:val="19"/>
                                <w:sz w:val="24"/>
                              </w:rPr>
                            </w:pPr>
                            <w:r>
                              <w:rPr>
                                <w:rFonts w:eastAsia="Times New Roman"/>
                                <w:color w:val="000000"/>
                                <w:spacing w:val="19"/>
                                <w:sz w:val="24"/>
                              </w:rPr>
                              <w:t>296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left:0;text-align:left;margin-left:284pt;margin-top:784.9pt;width:27.45pt;height:13.5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" filled="f" stroked="f">
                <v:textbox inset="0,0,0,0">
                  <w:txbxContent>
                    <w:p w:rsidR="00EB237C" w:rsidRDefault="00EB237C" w:rsidP="00EB237C">
                      <w:pPr>
                        <w:spacing w:line="257" w:lineRule="exact"/>
                        <w:textAlignment w:val="baseline"/>
                        <w:rPr>
                          <w:rFonts w:eastAsia="Times New Roman"/>
                          <w:color w:val="000000"/>
                          <w:spacing w:val="19"/>
                          <w:sz w:val="24"/>
                        </w:rPr>
                      </w:pPr>
                      <w:r>
                        <w:rPr>
                          <w:rFonts w:eastAsia="Times New Roman"/>
                          <w:color w:val="000000"/>
                          <w:spacing w:val="19"/>
                          <w:sz w:val="24"/>
                        </w:rPr>
                        <w:t>296</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7696" behindDoc="1" locked="0" layoutInCell="1" allowOverlap="1" wp14:anchorId="4884E1C7" wp14:editId="2CD67366">
                <wp:simplePos x="0" y="0"/>
                <wp:positionH relativeFrom="page">
                  <wp:posOffset>6194425</wp:posOffset>
                </wp:positionH>
                <wp:positionV relativeFrom="page">
                  <wp:posOffset>9831070</wp:posOffset>
                </wp:positionV>
                <wp:extent cx="506730" cy="342900"/>
                <wp:effectExtent l="3175" t="1270" r="4445"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37C" w:rsidRDefault="00EB237C" w:rsidP="00EB237C">
                            <w:pPr>
                              <w:spacing w:line="530" w:lineRule="exact"/>
                              <w:textAlignment w:val="baseline"/>
                              <w:rPr>
                                <w:rFonts w:ascii="Arial" w:eastAsia="Arial" w:hAnsi="Arial"/>
                                <w:b/>
                                <w:color w:val="000000"/>
                                <w:spacing w:val="2"/>
                                <w:sz w:val="47"/>
                              </w:rPr>
                            </w:pPr>
                            <w:bookmarkStart w:id="0" w:name="_GoBack"/>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3" type="#_x0000_t202" style="position:absolute;left:0;text-align:left;margin-left:487.75pt;margin-top:774.1pt;width:39.9pt;height:27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" filled="f" stroked="f">
                <v:textbox inset="0,0,0,0">
                  <w:txbxContent>
                    <w:p w:rsidR="00EB237C" w:rsidRDefault="00EB237C" w:rsidP="00EB237C">
                      <w:pPr>
                        <w:spacing w:line="530" w:lineRule="exact"/>
                        <w:textAlignment w:val="baseline"/>
                        <w:rPr>
                          <w:rFonts w:ascii="Arial" w:eastAsia="Arial" w:hAnsi="Arial"/>
                          <w:b/>
                          <w:color w:val="000000"/>
                          <w:spacing w:val="2"/>
                          <w:sz w:val="47"/>
                        </w:rPr>
                      </w:pPr>
                      <w:bookmarkStart w:id="1" w:name="_GoBack"/>
                      <w:bookmarkEnd w:id="1"/>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2336" behindDoc="0" locked="0" layoutInCell="1" allowOverlap="1" wp14:anchorId="3A15DD4E" wp14:editId="73D7DD96">
                <wp:simplePos x="0" y="0"/>
                <wp:positionH relativeFrom="page">
                  <wp:posOffset>1591310</wp:posOffset>
                </wp:positionH>
                <wp:positionV relativeFrom="page">
                  <wp:posOffset>460375</wp:posOffset>
                </wp:positionV>
                <wp:extent cx="0" cy="561340"/>
                <wp:effectExtent l="10160" t="12700" r="8890" b="698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" strokecolor="#283583" strokeweight=".95pt">
                <w10:wrap anchorx="page" anchory="page"/>
              </v:line>
            </w:pict>
          </mc:Fallback>
        </mc:AlternateContent>
      </w:r>
      <w:r w:rsidR="00282305">
        <w:rPr>
          <w:rFonts w:ascii="Times New Roman" w:eastAsia="Times New Roman" w:hAnsi="Times New Roman"/>
          <w:color w:val="000000"/>
          <w:sz w:val="24"/>
          <w:lang w:val="en-US" w:eastAsia="en-US"/>
        </w:rPr>
        <w:t xml:space="preserve">Trading </w:t>
      </w:r>
      <w:r w:rsidRPr="00EB237C">
        <w:rPr>
          <w:rFonts w:ascii="Times New Roman" w:eastAsia="Times New Roman" w:hAnsi="Times New Roman"/>
          <w:color w:val="000000"/>
          <w:sz w:val="24"/>
          <w:lang w:val="en-US" w:eastAsia="en-US"/>
        </w:rPr>
        <w:t>venues should not be forced to extend their co-location capacities beyond the limits of the space, power, cooling or similar facilities available and should have discretion to decide whether they expand their co-location space or not.</w:t>
      </w:r>
    </w:p>
    <w:p w:rsidR="00EB237C" w:rsidRPr="00EB237C" w:rsidRDefault="00EB237C" w:rsidP="00282305">
      <w:pPr>
        <w:numPr>
          <w:ilvl w:val="0"/>
          <w:numId w:val="28"/>
        </w:numPr>
        <w:tabs>
          <w:tab w:val="clear" w:pos="720"/>
        </w:tabs>
        <w:spacing w:line="303" w:lineRule="exact"/>
        <w:ind w:left="0" w:right="144"/>
        <w:jc w:val="left"/>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 xml:space="preserve">Ensuring fair and non-discriminatory practice in relation to fee structures and co- </w:t>
      </w:r>
      <w:r w:rsidRPr="00EB237C">
        <w:rPr>
          <w:rFonts w:ascii="Times New Roman" w:eastAsia="Times New Roman" w:hAnsi="Times New Roman"/>
          <w:color w:val="000000"/>
          <w:sz w:val="24"/>
          <w:lang w:val="en-US" w:eastAsia="en-US"/>
        </w:rPr>
        <w:br/>
        <w:t>location requires a sufficient degree of transparency without which obligations laid down in Directive 2014/65/EU could be easily circumvented.</w:t>
      </w:r>
    </w:p>
    <w:p w:rsidR="00EB237C" w:rsidRPr="00EB237C" w:rsidRDefault="00EB237C" w:rsidP="00282305">
      <w:pPr>
        <w:numPr>
          <w:ilvl w:val="0"/>
          <w:numId w:val="28"/>
        </w:numPr>
        <w:tabs>
          <w:tab w:val="clear" w:pos="720"/>
        </w:tabs>
        <w:spacing w:before="248" w:line="304" w:lineRule="exact"/>
        <w:ind w:left="0" w:right="144"/>
        <w:jc w:val="left"/>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 xml:space="preserve">Objective parameters should be used by trading venues to determine rebates, </w:t>
      </w:r>
      <w:r w:rsidRPr="00EB237C">
        <w:rPr>
          <w:rFonts w:ascii="Times New Roman" w:eastAsia="Times New Roman" w:hAnsi="Times New Roman"/>
          <w:color w:val="000000"/>
          <w:sz w:val="24"/>
          <w:lang w:val="en-US" w:eastAsia="en-US"/>
        </w:rPr>
        <w:br/>
        <w:t>incentives and disincentives that may include volumes effectively traded, services effectively used and the provision of specific services, such as the provision of liquidity provided by an investment firm pursuing a market making strategy.</w:t>
      </w:r>
    </w:p>
    <w:p w:rsidR="00EB237C" w:rsidRPr="00EB237C" w:rsidRDefault="00EB237C" w:rsidP="00282305">
      <w:pPr>
        <w:numPr>
          <w:ilvl w:val="0"/>
          <w:numId w:val="28"/>
        </w:numPr>
        <w:tabs>
          <w:tab w:val="clear" w:pos="720"/>
        </w:tabs>
        <w:spacing w:before="255" w:line="303" w:lineRule="exact"/>
        <w:ind w:left="0" w:right="144"/>
        <w:jc w:val="left"/>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 xml:space="preserve">The implementation of any fee structure that contributes to disorderly trading </w:t>
      </w:r>
      <w:r w:rsidRPr="00EB237C">
        <w:rPr>
          <w:rFonts w:ascii="Times New Roman" w:eastAsia="Times New Roman" w:hAnsi="Times New Roman"/>
          <w:color w:val="000000"/>
          <w:sz w:val="24"/>
          <w:lang w:val="en-US" w:eastAsia="en-US"/>
        </w:rPr>
        <w:br/>
        <w:t>conditions through encouraging intensive trading and that leads to a potential stress of market infrastructures should be explicitly prohibited. However, volume discounts should still be allowed, since, as price differentiation schemes, they are based on the total trading volume, the total number of trades or the cumulated trading fees generated by one member whereby only the marginal trade executed subsequently to reaching the threshold is executed at a reduced price.</w:t>
      </w:r>
    </w:p>
    <w:p w:rsidR="00EB237C" w:rsidRPr="00EB237C" w:rsidRDefault="00EB237C" w:rsidP="00282305">
      <w:pPr>
        <w:numPr>
          <w:ilvl w:val="0"/>
          <w:numId w:val="28"/>
        </w:numPr>
        <w:tabs>
          <w:tab w:val="clear" w:pos="720"/>
        </w:tabs>
        <w:spacing w:before="247" w:line="304" w:lineRule="exact"/>
        <w:ind w:left="0" w:right="144"/>
        <w:jc w:val="left"/>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 xml:space="preserve">The new legislation of the European Parliament and of the Council on markets in </w:t>
      </w:r>
      <w:r w:rsidRPr="00EB237C">
        <w:rPr>
          <w:rFonts w:ascii="Times New Roman" w:eastAsia="Times New Roman" w:hAnsi="Times New Roman"/>
          <w:color w:val="000000"/>
          <w:sz w:val="24"/>
          <w:lang w:val="en-US" w:eastAsia="en-US"/>
        </w:rPr>
        <w:br/>
        <w:t>financial instruments set out in Directive 2014/65/EU and Regulation (EU) No 600/2014 applies from 3 January 2017. To ensure consistency and legal certainty, this Regulation should apply from the same date.</w:t>
      </w:r>
    </w:p>
    <w:p w:rsidR="00EB237C" w:rsidRPr="00EB237C" w:rsidRDefault="00EB237C" w:rsidP="00282305">
      <w:pPr>
        <w:numPr>
          <w:ilvl w:val="0"/>
          <w:numId w:val="28"/>
        </w:numPr>
        <w:tabs>
          <w:tab w:val="left" w:pos="864"/>
        </w:tabs>
        <w:spacing w:before="248" w:line="305" w:lineRule="exact"/>
        <w:ind w:left="0" w:right="144"/>
        <w:jc w:val="left"/>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This Regulation is based on the draft regulatory technical standards submitted by the European Securities and Markets Authority (ESMA) to the Commission.</w:t>
      </w:r>
    </w:p>
    <w:p w:rsidR="00EB237C" w:rsidRPr="00EB237C" w:rsidRDefault="00EB237C" w:rsidP="00282305">
      <w:pPr>
        <w:numPr>
          <w:ilvl w:val="0"/>
          <w:numId w:val="28"/>
        </w:numPr>
        <w:tabs>
          <w:tab w:val="left" w:pos="864"/>
        </w:tabs>
        <w:spacing w:before="255" w:line="302" w:lineRule="exact"/>
        <w:ind w:left="0" w:right="144"/>
        <w:jc w:val="left"/>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ESMA has conducted open public consultations on the draft regulatory technical standards on which this Regulation is based, analysed the potential related costs and benefits and requested the opinion of the Securities and Markets Stakeholder Group established by Article 37 of Regulation (EU) No 1095/2010 of the European Parliament and of the Council</w:t>
      </w:r>
      <w:r w:rsidRPr="00EB237C">
        <w:rPr>
          <w:rFonts w:ascii="Times New Roman" w:eastAsia="Times New Roman" w:hAnsi="Times New Roman"/>
          <w:color w:val="000000"/>
          <w:sz w:val="24"/>
          <w:vertAlign w:val="superscript"/>
          <w:lang w:val="en-US" w:eastAsia="en-US"/>
        </w:rPr>
        <w:t>2</w:t>
      </w:r>
      <w:r w:rsidRPr="00EB237C">
        <w:rPr>
          <w:rFonts w:ascii="Times New Roman" w:eastAsia="Times New Roman" w:hAnsi="Times New Roman"/>
          <w:color w:val="000000"/>
          <w:sz w:val="24"/>
          <w:lang w:val="en-US" w:eastAsia="en-US"/>
        </w:rPr>
        <w:t>,</w:t>
      </w:r>
    </w:p>
    <w:p w:rsidR="00EB237C" w:rsidRDefault="00EB237C" w:rsidP="00EB237C">
      <w:pPr>
        <w:spacing w:before="835" w:after="1089" w:line="273" w:lineRule="exact"/>
        <w:ind w:left="144"/>
        <w:jc w:val="left"/>
        <w:textAlignment w:val="baseline"/>
        <w:rPr>
          <w:rFonts w:ascii="Times New Roman" w:eastAsia="Times New Roman" w:hAnsi="Times New Roman"/>
          <w:color w:val="000000"/>
          <w:spacing w:val="-1"/>
          <w:sz w:val="24"/>
          <w:lang w:val="en-US" w:eastAsia="en-US"/>
        </w:rPr>
      </w:pPr>
      <w:r w:rsidRPr="00EB237C">
        <w:rPr>
          <w:rFonts w:ascii="Times New Roman" w:eastAsia="Times New Roman" w:hAnsi="Times New Roman"/>
          <w:color w:val="000000"/>
          <w:spacing w:val="-1"/>
          <w:sz w:val="24"/>
          <w:lang w:val="en-US" w:eastAsia="en-US"/>
        </w:rPr>
        <w:t>HAS ADOPTED THIS REGULATION:</w:t>
      </w:r>
    </w:p>
    <w:p w:rsidR="00EB237C" w:rsidRPr="00EB237C" w:rsidRDefault="00EB237C" w:rsidP="00EB237C">
      <w:pPr>
        <w:spacing w:before="272" w:line="230" w:lineRule="exact"/>
        <w:ind w:left="144" w:right="144"/>
        <w:textAlignment w:val="baseline"/>
        <w:rPr>
          <w:rFonts w:ascii="Times New Roman" w:eastAsia="Times New Roman" w:hAnsi="Times New Roman"/>
          <w:color w:val="000000"/>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63360" behindDoc="0" locked="0" layoutInCell="1" allowOverlap="1">
                <wp:simplePos x="0" y="0"/>
                <wp:positionH relativeFrom="page">
                  <wp:posOffset>899160</wp:posOffset>
                </wp:positionH>
                <wp:positionV relativeFrom="page">
                  <wp:posOffset>8942705</wp:posOffset>
                </wp:positionV>
                <wp:extent cx="1832610" cy="0"/>
                <wp:effectExtent l="13335" t="8255" r="11430" b="107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04.15pt" to="215.1pt,7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" strokeweight=".95pt">
                <w10:wrap anchorx="page" anchory="page"/>
              </v:line>
            </w:pict>
          </mc:Fallback>
        </mc:AlternateContent>
      </w:r>
      <w:r w:rsidRPr="00EB237C">
        <w:rPr>
          <w:rFonts w:ascii="Times New Roman" w:eastAsia="Times New Roman" w:hAnsi="Times New Roman"/>
          <w:color w:val="000000"/>
          <w:sz w:val="13"/>
          <w:vertAlign w:val="superscript"/>
          <w:lang w:val="en-US" w:eastAsia="en-US"/>
        </w:rPr>
        <w:t>2</w:t>
      </w:r>
      <w:r w:rsidRPr="00EB237C">
        <w:rPr>
          <w:rFonts w:ascii="Times New Roman" w:eastAsia="Times New Roman" w:hAnsi="Times New Roman"/>
          <w:color w:val="000000"/>
          <w:sz w:val="20"/>
          <w:lang w:val="en-US" w:eastAsia="en-US"/>
        </w:rPr>
        <w:t xml:space="preserve"> Regulation (EU) No 1095/2010 of the European Parliament and of the Council of 24 November 2010 establishing a European Supervisory Authority (European Securities and Markets Authority), amending Decision No 716/2009/EC and repealing Commission Decision 2009/77/EC (OJ L 331, 15.12.2010, p. 84).</w:t>
      </w:r>
    </w:p>
    <w:p w:rsidR="00EB237C" w:rsidRPr="00EB237C" w:rsidRDefault="00EB237C" w:rsidP="00EB237C">
      <w:pPr>
        <w:jc w:val="left"/>
        <w:rPr>
          <w:rFonts w:ascii="Times New Roman" w:eastAsia="PMingLiU" w:hAnsi="Times New Roman"/>
          <w:lang w:val="en-US" w:eastAsia="en-US"/>
        </w:rPr>
        <w:sectPr w:rsidR="00EB237C" w:rsidRPr="00EB237C">
          <w:pgSz w:w="11909" w:h="16838"/>
          <w:pgMar w:top="1608" w:right="1272" w:bottom="960" w:left="1296" w:header="720" w:footer="720" w:gutter="0"/>
          <w:cols w:space="720"/>
        </w:sectPr>
      </w:pPr>
    </w:p>
    <w:p w:rsidR="00282305" w:rsidRDefault="00282305" w:rsidP="00EB237C">
      <w:pPr>
        <w:spacing w:before="268" w:line="278" w:lineRule="exact"/>
        <w:jc w:val="center"/>
        <w:textAlignment w:val="baseline"/>
        <w:rPr>
          <w:rFonts w:ascii="Times New Roman" w:eastAsia="Times New Roman" w:hAnsi="Times New Roman"/>
          <w:i/>
          <w:color w:val="000000"/>
          <w:sz w:val="24"/>
          <w:lang w:val="en-US" w:eastAsia="en-US"/>
        </w:rPr>
      </w:pPr>
    </w:p>
    <w:p w:rsidR="00EB237C" w:rsidRPr="00EB237C" w:rsidRDefault="00EB237C" w:rsidP="00EB237C">
      <w:pPr>
        <w:spacing w:before="268" w:line="278" w:lineRule="exact"/>
        <w:jc w:val="center"/>
        <w:textAlignment w:val="baseline"/>
        <w:rPr>
          <w:rFonts w:ascii="Times New Roman" w:eastAsia="Times New Roman" w:hAnsi="Times New Roman"/>
          <w:i/>
          <w:color w:val="000000"/>
          <w:sz w:val="24"/>
          <w:lang w:val="en-US" w:eastAsia="en-US"/>
        </w:rPr>
      </w:pPr>
      <w:r w:rsidRPr="00EB237C">
        <w:rPr>
          <w:rFonts w:ascii="Times New Roman" w:eastAsia="Times New Roman" w:hAnsi="Times New Roman"/>
          <w:i/>
          <w:color w:val="000000"/>
          <w:sz w:val="24"/>
          <w:lang w:val="en-US" w:eastAsia="en-US"/>
        </w:rPr>
        <w:t>Article 1</w:t>
      </w:r>
    </w:p>
    <w:p w:rsidR="00EB237C" w:rsidRPr="00EB237C" w:rsidRDefault="00EB237C" w:rsidP="00EB237C">
      <w:pPr>
        <w:spacing w:line="422" w:lineRule="exact"/>
        <w:jc w:val="center"/>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 xml:space="preserve">(Article 48(8) of Directive 2014/65/EU) </w:t>
      </w:r>
      <w:r w:rsidRPr="00EB237C">
        <w:rPr>
          <w:rFonts w:ascii="Times New Roman" w:eastAsia="Times New Roman" w:hAnsi="Times New Roman"/>
          <w:color w:val="000000"/>
          <w:sz w:val="24"/>
          <w:lang w:val="en-US" w:eastAsia="en-US"/>
        </w:rPr>
        <w:br/>
      </w:r>
      <w:r w:rsidRPr="00EB237C">
        <w:rPr>
          <w:rFonts w:ascii="Times New Roman" w:eastAsia="Times New Roman" w:hAnsi="Times New Roman"/>
          <w:b/>
          <w:color w:val="000000"/>
          <w:sz w:val="24"/>
          <w:lang w:val="en-US" w:eastAsia="en-US"/>
        </w:rPr>
        <w:t>Types of co-location services covered</w:t>
      </w:r>
    </w:p>
    <w:p w:rsidR="00EB237C" w:rsidRPr="00EB237C" w:rsidRDefault="00EB237C" w:rsidP="00EB237C">
      <w:pPr>
        <w:spacing w:before="248" w:line="303" w:lineRule="exact"/>
        <w:ind w:left="144" w:right="144"/>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1. Trading venues shall provide objective, fair, transparent and non-discriminatory co-location services as laid down in Article 2 in the following cases:</w:t>
      </w:r>
    </w:p>
    <w:p w:rsidR="00EB237C" w:rsidRPr="00EB237C" w:rsidRDefault="00EB237C" w:rsidP="00EB237C">
      <w:pPr>
        <w:numPr>
          <w:ilvl w:val="0"/>
          <w:numId w:val="29"/>
        </w:numPr>
        <w:tabs>
          <w:tab w:val="left" w:pos="720"/>
        </w:tabs>
        <w:spacing w:before="279" w:line="273" w:lineRule="exact"/>
        <w:jc w:val="left"/>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data centers owned and managed by a trading venue;</w:t>
      </w:r>
    </w:p>
    <w:p w:rsidR="00EB237C" w:rsidRPr="00EB237C" w:rsidRDefault="00EB237C" w:rsidP="00EB237C">
      <w:pPr>
        <w:numPr>
          <w:ilvl w:val="0"/>
          <w:numId w:val="29"/>
        </w:numPr>
        <w:tabs>
          <w:tab w:val="left" w:pos="720"/>
        </w:tabs>
        <w:spacing w:before="253" w:line="303" w:lineRule="exact"/>
        <w:ind w:right="144"/>
        <w:jc w:val="left"/>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data centers owned by a trading venue but managed by a third party selected by this venue;</w:t>
      </w:r>
    </w:p>
    <w:p w:rsidR="00EB237C" w:rsidRPr="00EB237C" w:rsidRDefault="00EB237C" w:rsidP="00EB237C">
      <w:pPr>
        <w:numPr>
          <w:ilvl w:val="0"/>
          <w:numId w:val="29"/>
        </w:numPr>
        <w:tabs>
          <w:tab w:val="left" w:pos="720"/>
        </w:tabs>
        <w:spacing w:before="250" w:line="303" w:lineRule="exact"/>
        <w:ind w:right="144"/>
        <w:jc w:val="left"/>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data centers owned and managed by a third party but where an outsourcing arrangement with a trading venue organises that venue's execution infrastructure as well as the proximity access to it;</w:t>
      </w:r>
    </w:p>
    <w:p w:rsidR="00EB237C" w:rsidRPr="00EB237C" w:rsidRDefault="00EB237C" w:rsidP="00EB237C">
      <w:pPr>
        <w:numPr>
          <w:ilvl w:val="0"/>
          <w:numId w:val="29"/>
        </w:numPr>
        <w:tabs>
          <w:tab w:val="left" w:pos="720"/>
        </w:tabs>
        <w:spacing w:before="252" w:line="302" w:lineRule="exact"/>
        <w:ind w:right="144"/>
        <w:jc w:val="left"/>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proximity hosting services owned and managed by third parties with a contractual arrangement with a trading venue.</w:t>
      </w:r>
    </w:p>
    <w:p w:rsidR="00EB237C" w:rsidRPr="00EB237C" w:rsidRDefault="00EB237C" w:rsidP="00EB237C">
      <w:pPr>
        <w:spacing w:before="256" w:line="302" w:lineRule="exact"/>
        <w:ind w:left="144" w:right="144"/>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2. Trading venues shall ensure that third party providers of co-location services are subject to equivalent obligations in terms of fair and non-discriminatory provision of co-location services as trading venues.</w:t>
      </w:r>
    </w:p>
    <w:p w:rsidR="00EB237C" w:rsidRPr="00EB237C" w:rsidRDefault="00EB237C" w:rsidP="00EB237C">
      <w:pPr>
        <w:spacing w:before="707" w:line="278" w:lineRule="exact"/>
        <w:jc w:val="center"/>
        <w:textAlignment w:val="baseline"/>
        <w:rPr>
          <w:rFonts w:ascii="Times New Roman" w:eastAsia="Times New Roman" w:hAnsi="Times New Roman"/>
          <w:i/>
          <w:color w:val="000000"/>
          <w:spacing w:val="1"/>
          <w:sz w:val="24"/>
          <w:lang w:val="fr-FR" w:eastAsia="en-US"/>
        </w:rPr>
      </w:pPr>
      <w:r w:rsidRPr="00EB237C">
        <w:rPr>
          <w:rFonts w:ascii="Times New Roman" w:eastAsia="Times New Roman" w:hAnsi="Times New Roman"/>
          <w:i/>
          <w:color w:val="000000"/>
          <w:spacing w:val="1"/>
          <w:sz w:val="24"/>
          <w:lang w:val="fr-FR" w:eastAsia="en-US"/>
        </w:rPr>
        <w:t>Article 2</w:t>
      </w:r>
    </w:p>
    <w:p w:rsidR="00EB237C" w:rsidRPr="00EB237C" w:rsidRDefault="00EB237C" w:rsidP="00EB237C">
      <w:pPr>
        <w:spacing w:before="140" w:line="273" w:lineRule="exact"/>
        <w:jc w:val="center"/>
        <w:textAlignment w:val="baseline"/>
        <w:rPr>
          <w:rFonts w:ascii="Times New Roman" w:eastAsia="Times New Roman" w:hAnsi="Times New Roman"/>
          <w:color w:val="000000"/>
          <w:sz w:val="24"/>
          <w:lang w:val="fr-FR" w:eastAsia="en-US"/>
        </w:rPr>
      </w:pPr>
      <w:r w:rsidRPr="00EB237C">
        <w:rPr>
          <w:rFonts w:ascii="Times New Roman" w:eastAsia="Times New Roman" w:hAnsi="Times New Roman"/>
          <w:color w:val="000000"/>
          <w:sz w:val="24"/>
          <w:lang w:val="fr-FR" w:eastAsia="en-US"/>
        </w:rPr>
        <w:t>(Article 48(8) of Directive 2014/65/EU)</w:t>
      </w:r>
    </w:p>
    <w:p w:rsidR="00EB237C" w:rsidRPr="00EB237C" w:rsidRDefault="00EB237C" w:rsidP="00EB237C">
      <w:pPr>
        <w:spacing w:before="156" w:line="274" w:lineRule="exact"/>
        <w:jc w:val="center"/>
        <w:textAlignment w:val="baseline"/>
        <w:rPr>
          <w:rFonts w:ascii="Times New Roman" w:eastAsia="Times New Roman" w:hAnsi="Times New Roman"/>
          <w:b/>
          <w:color w:val="000000"/>
          <w:sz w:val="24"/>
          <w:lang w:val="en-US" w:eastAsia="en-US"/>
        </w:rPr>
      </w:pPr>
      <w:r w:rsidRPr="00EB237C">
        <w:rPr>
          <w:rFonts w:ascii="Times New Roman" w:eastAsia="Times New Roman" w:hAnsi="Times New Roman"/>
          <w:b/>
          <w:color w:val="000000"/>
          <w:sz w:val="24"/>
          <w:lang w:val="en-US" w:eastAsia="en-US"/>
        </w:rPr>
        <w:t>Fair and non-discriminatory co-location services</w:t>
      </w:r>
    </w:p>
    <w:p w:rsidR="00EB237C" w:rsidRPr="00EB237C" w:rsidRDefault="00EB237C" w:rsidP="00EB237C">
      <w:pPr>
        <w:spacing w:before="239" w:line="307" w:lineRule="exact"/>
        <w:ind w:left="144" w:right="144"/>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1. Trading venues shall publish their policy regarding co-location services on their websites, including:</w:t>
      </w:r>
    </w:p>
    <w:p w:rsidR="00EB237C" w:rsidRPr="00EB237C" w:rsidRDefault="00EB237C" w:rsidP="00EB237C">
      <w:pPr>
        <w:numPr>
          <w:ilvl w:val="0"/>
          <w:numId w:val="30"/>
        </w:numPr>
        <w:tabs>
          <w:tab w:val="left" w:pos="720"/>
        </w:tabs>
        <w:spacing w:before="249" w:line="305" w:lineRule="exact"/>
        <w:ind w:right="144"/>
        <w:jc w:val="left"/>
        <w:textAlignment w:val="baseline"/>
        <w:rPr>
          <w:rFonts w:ascii="Times New Roman" w:eastAsia="Times New Roman" w:hAnsi="Times New Roman"/>
          <w:color w:val="000000"/>
          <w:spacing w:val="-2"/>
          <w:sz w:val="24"/>
          <w:lang w:val="en-US" w:eastAsia="en-US"/>
        </w:rPr>
      </w:pPr>
      <w:r w:rsidRPr="00EB237C">
        <w:rPr>
          <w:rFonts w:ascii="Times New Roman" w:eastAsia="Times New Roman" w:hAnsi="Times New Roman"/>
          <w:color w:val="000000"/>
          <w:spacing w:val="-2"/>
          <w:sz w:val="24"/>
          <w:lang w:val="en-US" w:eastAsia="en-US"/>
        </w:rPr>
        <w:t>a list of co-location services that they offer including details about space, power, cooling, cable length, access to data, market connectivity, technology, technical support, message types, telecommunications and any other related products and services;</w:t>
      </w:r>
    </w:p>
    <w:p w:rsidR="00EB237C" w:rsidRPr="00EB237C" w:rsidRDefault="00EB237C" w:rsidP="00EB237C">
      <w:pPr>
        <w:numPr>
          <w:ilvl w:val="0"/>
          <w:numId w:val="30"/>
        </w:numPr>
        <w:tabs>
          <w:tab w:val="left" w:pos="720"/>
        </w:tabs>
        <w:spacing w:before="279" w:line="273" w:lineRule="exact"/>
        <w:jc w:val="left"/>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the price of each service as set out in Article 3(2);</w:t>
      </w:r>
    </w:p>
    <w:p w:rsidR="00EB237C" w:rsidRPr="00EB237C" w:rsidRDefault="00EB237C" w:rsidP="00EB237C">
      <w:pPr>
        <w:numPr>
          <w:ilvl w:val="0"/>
          <w:numId w:val="30"/>
        </w:numPr>
        <w:tabs>
          <w:tab w:val="left" w:pos="720"/>
        </w:tabs>
        <w:spacing w:before="279" w:line="273" w:lineRule="exact"/>
        <w:jc w:val="left"/>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the conditions for accessing the service, including IT and operational arrangements;</w:t>
      </w:r>
    </w:p>
    <w:p w:rsidR="00EB237C" w:rsidRPr="00EB237C" w:rsidRDefault="00EB237C" w:rsidP="00EB237C">
      <w:pPr>
        <w:numPr>
          <w:ilvl w:val="0"/>
          <w:numId w:val="30"/>
        </w:numPr>
        <w:tabs>
          <w:tab w:val="left" w:pos="720"/>
        </w:tabs>
        <w:spacing w:before="279" w:line="273" w:lineRule="exact"/>
        <w:jc w:val="left"/>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the different types of latency access available;</w:t>
      </w:r>
    </w:p>
    <w:p w:rsidR="00EB237C" w:rsidRPr="00EB237C" w:rsidRDefault="00EB237C" w:rsidP="00EB237C">
      <w:pPr>
        <w:numPr>
          <w:ilvl w:val="0"/>
          <w:numId w:val="30"/>
        </w:numPr>
        <w:tabs>
          <w:tab w:val="left" w:pos="720"/>
        </w:tabs>
        <w:spacing w:before="284" w:line="273" w:lineRule="exact"/>
        <w:jc w:val="left"/>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the procedure to allocate co-location space;</w:t>
      </w:r>
    </w:p>
    <w:p w:rsidR="00EB237C" w:rsidRPr="00EB237C" w:rsidRDefault="00EB237C" w:rsidP="00EB237C">
      <w:pPr>
        <w:numPr>
          <w:ilvl w:val="0"/>
          <w:numId w:val="30"/>
        </w:numPr>
        <w:tabs>
          <w:tab w:val="left" w:pos="720"/>
        </w:tabs>
        <w:spacing w:before="273" w:line="273" w:lineRule="exact"/>
        <w:jc w:val="left"/>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the requirements on third party providers of co-location services.</w:t>
      </w:r>
    </w:p>
    <w:p w:rsidR="00EB237C" w:rsidRPr="00EB237C" w:rsidRDefault="00EB237C" w:rsidP="00EB237C">
      <w:pPr>
        <w:jc w:val="left"/>
        <w:rPr>
          <w:rFonts w:ascii="Times New Roman" w:eastAsia="PMingLiU" w:hAnsi="Times New Roman"/>
          <w:lang w:val="en-US" w:eastAsia="en-US"/>
        </w:rPr>
        <w:sectPr w:rsidR="00EB237C" w:rsidRPr="00EB237C">
          <w:pgSz w:w="11909" w:h="16838"/>
          <w:pgMar w:top="540" w:right="1284" w:bottom="960" w:left="1284" w:header="720" w:footer="720" w:gutter="0"/>
          <w:cols w:space="720"/>
        </w:sectPr>
      </w:pPr>
    </w:p>
    <w:p w:rsidR="00282305" w:rsidRDefault="00282305" w:rsidP="00282305">
      <w:pPr>
        <w:tabs>
          <w:tab w:val="left" w:pos="432"/>
          <w:tab w:val="left" w:pos="576"/>
        </w:tabs>
        <w:spacing w:before="295" w:line="301" w:lineRule="exact"/>
        <w:ind w:left="144" w:right="144"/>
        <w:jc w:val="left"/>
        <w:textAlignment w:val="baseline"/>
        <w:rPr>
          <w:rFonts w:ascii="Times New Roman" w:eastAsia="Times New Roman" w:hAnsi="Times New Roman"/>
          <w:color w:val="000000"/>
          <w:sz w:val="24"/>
          <w:lang w:val="en-US" w:eastAsia="en-US"/>
        </w:rPr>
      </w:pPr>
    </w:p>
    <w:p w:rsidR="00EB237C" w:rsidRPr="00EB237C" w:rsidRDefault="00EB237C" w:rsidP="00EB237C">
      <w:pPr>
        <w:numPr>
          <w:ilvl w:val="0"/>
          <w:numId w:val="31"/>
        </w:numPr>
        <w:tabs>
          <w:tab w:val="left" w:pos="576"/>
        </w:tabs>
        <w:spacing w:before="295" w:line="301" w:lineRule="exact"/>
        <w:ind w:left="144" w:right="144"/>
        <w:jc w:val="left"/>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Trading venues shall provide co-location services on the basis of objective, transparent and non-discriminatory criteria to the different types of users of the venue within the limits of the space, power, cooling or similar facilities available.</w:t>
      </w:r>
    </w:p>
    <w:p w:rsidR="00EB237C" w:rsidRPr="00EB237C" w:rsidRDefault="00EB237C" w:rsidP="00EB237C">
      <w:pPr>
        <w:numPr>
          <w:ilvl w:val="0"/>
          <w:numId w:val="31"/>
        </w:numPr>
        <w:tabs>
          <w:tab w:val="left" w:pos="576"/>
        </w:tabs>
        <w:spacing w:before="257" w:line="302" w:lineRule="exact"/>
        <w:ind w:left="144" w:right="144"/>
        <w:jc w:val="left"/>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Trading venues shall provide to all users which have subscribed to the same co-location services access to their network under equivalent conditions including space, power, cooling, cable length, access to data, market connectivity, technology, technical support and messaging types.</w:t>
      </w:r>
    </w:p>
    <w:p w:rsidR="00EB237C" w:rsidRPr="00EB237C" w:rsidRDefault="00EB237C" w:rsidP="00EB237C">
      <w:pPr>
        <w:numPr>
          <w:ilvl w:val="0"/>
          <w:numId w:val="31"/>
        </w:numPr>
        <w:tabs>
          <w:tab w:val="left" w:pos="576"/>
        </w:tabs>
        <w:spacing w:before="256" w:line="302" w:lineRule="exact"/>
        <w:ind w:left="144" w:right="144"/>
        <w:jc w:val="left"/>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Trading venues shall take all reasonable steps to monitor all connections and latency measurements to ensure the non-discriminatory treatment of all users of co-location services with the same type of latency provided.</w:t>
      </w:r>
    </w:p>
    <w:p w:rsidR="00EB237C" w:rsidRPr="00EB237C" w:rsidRDefault="00EB237C" w:rsidP="00EB237C">
      <w:pPr>
        <w:numPr>
          <w:ilvl w:val="0"/>
          <w:numId w:val="31"/>
        </w:numPr>
        <w:tabs>
          <w:tab w:val="left" w:pos="576"/>
        </w:tabs>
        <w:spacing w:before="255" w:line="302" w:lineRule="exact"/>
        <w:ind w:left="144" w:right="144"/>
        <w:jc w:val="left"/>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Users of co-location services shall be granted the possibility to only subscribe certain co-location services, without being required to purchase bundled services.</w:t>
      </w:r>
    </w:p>
    <w:p w:rsidR="00EB237C" w:rsidRPr="00EB237C" w:rsidRDefault="00EB237C" w:rsidP="00EB237C">
      <w:pPr>
        <w:spacing w:before="701" w:line="278" w:lineRule="exact"/>
        <w:jc w:val="center"/>
        <w:textAlignment w:val="baseline"/>
        <w:rPr>
          <w:rFonts w:ascii="Times New Roman" w:eastAsia="Times New Roman" w:hAnsi="Times New Roman"/>
          <w:i/>
          <w:color w:val="000000"/>
          <w:sz w:val="24"/>
          <w:lang w:val="en-US" w:eastAsia="en-US"/>
        </w:rPr>
      </w:pPr>
      <w:r w:rsidRPr="00EB237C">
        <w:rPr>
          <w:rFonts w:ascii="Times New Roman" w:eastAsia="Times New Roman" w:hAnsi="Times New Roman"/>
          <w:i/>
          <w:color w:val="000000"/>
          <w:sz w:val="24"/>
          <w:lang w:val="en-US" w:eastAsia="en-US"/>
        </w:rPr>
        <w:t xml:space="preserve">Article </w:t>
      </w:r>
      <w:r w:rsidRPr="00EB237C">
        <w:rPr>
          <w:rFonts w:ascii="Times New Roman" w:eastAsia="Times New Roman" w:hAnsi="Times New Roman"/>
          <w:color w:val="000000"/>
          <w:sz w:val="24"/>
          <w:lang w:val="en-US" w:eastAsia="en-US"/>
        </w:rPr>
        <w:t>3</w:t>
      </w:r>
    </w:p>
    <w:p w:rsidR="00EB237C" w:rsidRPr="00EB237C" w:rsidRDefault="00EB237C" w:rsidP="00EB237C">
      <w:pPr>
        <w:spacing w:line="424" w:lineRule="exact"/>
        <w:jc w:val="center"/>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 xml:space="preserve">(Article 48(9) of Directive 2014/65/EU) </w:t>
      </w:r>
      <w:r w:rsidRPr="00EB237C">
        <w:rPr>
          <w:rFonts w:ascii="Times New Roman" w:eastAsia="Times New Roman" w:hAnsi="Times New Roman"/>
          <w:color w:val="000000"/>
          <w:sz w:val="24"/>
          <w:lang w:val="en-US" w:eastAsia="en-US"/>
        </w:rPr>
        <w:br/>
      </w:r>
      <w:r w:rsidRPr="00EB237C">
        <w:rPr>
          <w:rFonts w:ascii="Times New Roman" w:eastAsia="Times New Roman" w:hAnsi="Times New Roman"/>
          <w:b/>
          <w:color w:val="000000"/>
          <w:sz w:val="24"/>
          <w:lang w:val="en-US" w:eastAsia="en-US"/>
        </w:rPr>
        <w:t>Fair and non-discriminatory fee structures</w:t>
      </w:r>
    </w:p>
    <w:p w:rsidR="00EB237C" w:rsidRPr="00EB237C" w:rsidRDefault="00EB237C" w:rsidP="00EB237C">
      <w:pPr>
        <w:spacing w:before="243" w:line="305" w:lineRule="exact"/>
        <w:ind w:left="144" w:right="144"/>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1. Trading venues shall publish on their websites in one comprehensive and publicly accessible document their fee structures, including execution fees, ancillary fees, rebates, incentives and disincentives.</w:t>
      </w:r>
    </w:p>
    <w:p w:rsidR="00EB237C" w:rsidRPr="00EB237C" w:rsidRDefault="00EB237C" w:rsidP="00EB237C">
      <w:pPr>
        <w:spacing w:before="250" w:line="302" w:lineRule="exact"/>
        <w:ind w:left="144" w:right="144"/>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2. Trading venues shall ensure that their fee structure is set with sufficient granularity such that the outcome is predictable and identifying at least the following concepts:</w:t>
      </w:r>
    </w:p>
    <w:p w:rsidR="00EB237C" w:rsidRPr="00EB237C" w:rsidRDefault="00EB237C" w:rsidP="00EB237C">
      <w:pPr>
        <w:numPr>
          <w:ilvl w:val="0"/>
          <w:numId w:val="32"/>
        </w:numPr>
        <w:tabs>
          <w:tab w:val="left" w:pos="720"/>
        </w:tabs>
        <w:spacing w:before="284" w:line="273" w:lineRule="exact"/>
        <w:ind w:left="576"/>
        <w:jc w:val="left"/>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the chargeable activities, identifying the activity that triggers each fee;</w:t>
      </w:r>
    </w:p>
    <w:p w:rsidR="00EB237C" w:rsidRPr="00EB237C" w:rsidRDefault="00EB237C" w:rsidP="00EB237C">
      <w:pPr>
        <w:numPr>
          <w:ilvl w:val="0"/>
          <w:numId w:val="32"/>
        </w:numPr>
        <w:tabs>
          <w:tab w:val="left" w:pos="720"/>
        </w:tabs>
        <w:spacing w:before="250" w:line="302" w:lineRule="exact"/>
        <w:ind w:left="576" w:right="144"/>
        <w:jc w:val="left"/>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the pricing policy for each chargeable activity, identifying clearly whether that pricing policy is based on a fixed or a variable fee;</w:t>
      </w:r>
    </w:p>
    <w:p w:rsidR="00EB237C" w:rsidRPr="00EB237C" w:rsidRDefault="00EB237C" w:rsidP="00EB237C">
      <w:pPr>
        <w:numPr>
          <w:ilvl w:val="0"/>
          <w:numId w:val="32"/>
        </w:numPr>
        <w:tabs>
          <w:tab w:val="left" w:pos="720"/>
        </w:tabs>
        <w:spacing w:before="279" w:line="273" w:lineRule="exact"/>
        <w:ind w:left="576"/>
        <w:jc w:val="left"/>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the pricing structure, including any types of rebates, incentives or disincentives.</w:t>
      </w:r>
    </w:p>
    <w:p w:rsidR="00EB237C" w:rsidRPr="00EB237C" w:rsidRDefault="00EB237C" w:rsidP="00EB237C">
      <w:pPr>
        <w:spacing w:before="254" w:line="303" w:lineRule="exact"/>
        <w:ind w:left="144" w:right="144"/>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3. Users of services shall be granted the possibility to only request certain chargeable activities, without being required to pay for bundled services.</w:t>
      </w:r>
    </w:p>
    <w:p w:rsidR="00EB237C" w:rsidRPr="00EB237C" w:rsidRDefault="00EB237C" w:rsidP="00EB237C">
      <w:pPr>
        <w:spacing w:before="248" w:line="304" w:lineRule="exact"/>
        <w:ind w:left="144" w:right="144"/>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4. Trading venues shall charge the same price and provide the same conditions to all users of the same type in a class of users of the services they provide in accordance with published and objective criteria. Trading venues may establish different fee structures only on the basis of non-discriminatory, measurable, objective and published parameters relating to:</w:t>
      </w:r>
    </w:p>
    <w:p w:rsidR="00EB237C" w:rsidRPr="00EB237C" w:rsidRDefault="00EB237C" w:rsidP="00EB237C">
      <w:pPr>
        <w:spacing w:before="279" w:line="273" w:lineRule="exact"/>
        <w:ind w:left="288"/>
        <w:jc w:val="left"/>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(a) the total volume traded, the numbers of trades or cumulated trading fees;</w:t>
      </w:r>
    </w:p>
    <w:p w:rsidR="00EB237C" w:rsidRPr="00EB237C" w:rsidRDefault="00EB237C" w:rsidP="00EB237C">
      <w:pPr>
        <w:jc w:val="left"/>
        <w:rPr>
          <w:rFonts w:ascii="Times New Roman" w:eastAsia="PMingLiU" w:hAnsi="Times New Roman"/>
          <w:lang w:val="en-US" w:eastAsia="en-US"/>
        </w:rPr>
        <w:sectPr w:rsidR="00EB237C" w:rsidRPr="00EB237C">
          <w:pgSz w:w="11909" w:h="16838"/>
          <w:pgMar w:top="540" w:right="1272" w:bottom="960" w:left="1296" w:header="720" w:footer="720" w:gutter="0"/>
          <w:cols w:space="720"/>
        </w:sectPr>
      </w:pPr>
    </w:p>
    <w:p w:rsidR="00282305" w:rsidRDefault="00282305" w:rsidP="00EB237C">
      <w:pPr>
        <w:tabs>
          <w:tab w:val="left" w:pos="864"/>
        </w:tabs>
        <w:spacing w:line="224" w:lineRule="exact"/>
        <w:ind w:left="72"/>
        <w:jc w:val="left"/>
        <w:textAlignment w:val="baseline"/>
        <w:rPr>
          <w:rFonts w:ascii="Times New Roman" w:eastAsia="Times New Roman" w:hAnsi="Times New Roman"/>
          <w:b/>
          <w:color w:val="6177A8"/>
          <w:spacing w:val="-36"/>
          <w:sz w:val="24"/>
          <w:lang w:val="en-US" w:eastAsia="en-US"/>
        </w:rPr>
      </w:pPr>
    </w:p>
    <w:p w:rsidR="00282305" w:rsidRDefault="00282305" w:rsidP="00EB237C">
      <w:pPr>
        <w:tabs>
          <w:tab w:val="left" w:pos="864"/>
        </w:tabs>
        <w:spacing w:line="224" w:lineRule="exact"/>
        <w:ind w:left="72"/>
        <w:jc w:val="left"/>
        <w:textAlignment w:val="baseline"/>
        <w:rPr>
          <w:rFonts w:ascii="Times New Roman" w:eastAsia="Times New Roman" w:hAnsi="Times New Roman"/>
          <w:b/>
          <w:color w:val="6177A8"/>
          <w:spacing w:val="-36"/>
          <w:sz w:val="24"/>
          <w:lang w:val="en-US" w:eastAsia="en-US"/>
        </w:rPr>
      </w:pPr>
    </w:p>
    <w:p w:rsidR="00EB237C" w:rsidRPr="00EB237C" w:rsidRDefault="00EB237C" w:rsidP="00EB237C">
      <w:pPr>
        <w:spacing w:line="142" w:lineRule="exact"/>
        <w:ind w:left="432"/>
        <w:jc w:val="left"/>
        <w:textAlignment w:val="baseline"/>
        <w:rPr>
          <w:rFonts w:ascii="Times New Roman" w:eastAsia="Times New Roman" w:hAnsi="Times New Roman"/>
          <w:color w:val="6177A8"/>
          <w:sz w:val="21"/>
          <w:lang w:val="en-US" w:eastAsia="en-US"/>
        </w:rPr>
      </w:pPr>
    </w:p>
    <w:p w:rsidR="00EB237C" w:rsidRPr="00EB237C" w:rsidRDefault="00EB237C" w:rsidP="00EB237C">
      <w:pPr>
        <w:numPr>
          <w:ilvl w:val="0"/>
          <w:numId w:val="33"/>
        </w:numPr>
        <w:tabs>
          <w:tab w:val="left" w:pos="720"/>
        </w:tabs>
        <w:spacing w:before="268" w:line="273" w:lineRule="exact"/>
        <w:jc w:val="left"/>
        <w:textAlignment w:val="baseline"/>
        <w:rPr>
          <w:rFonts w:ascii="Times New Roman" w:eastAsia="Times New Roman" w:hAnsi="Times New Roman"/>
          <w:color w:val="000000"/>
          <w:spacing w:val="-1"/>
          <w:sz w:val="24"/>
          <w:lang w:val="en-US" w:eastAsia="en-US"/>
        </w:rPr>
      </w:pPr>
      <w:r w:rsidRPr="00EB237C">
        <w:rPr>
          <w:rFonts w:ascii="Times New Roman" w:eastAsia="Times New Roman" w:hAnsi="Times New Roman"/>
          <w:color w:val="000000"/>
          <w:spacing w:val="-1"/>
          <w:sz w:val="24"/>
          <w:lang w:val="en-US" w:eastAsia="en-US"/>
        </w:rPr>
        <w:t>the services provided by the venue;</w:t>
      </w:r>
    </w:p>
    <w:p w:rsidR="00EB237C" w:rsidRPr="00EB237C" w:rsidRDefault="00EB237C" w:rsidP="00EB237C">
      <w:pPr>
        <w:numPr>
          <w:ilvl w:val="0"/>
          <w:numId w:val="33"/>
        </w:numPr>
        <w:tabs>
          <w:tab w:val="left" w:pos="720"/>
        </w:tabs>
        <w:spacing w:before="250" w:line="303" w:lineRule="exact"/>
        <w:ind w:right="144"/>
        <w:jc w:val="left"/>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the provision of liquidity under a market making agreement as defined in Article 48 of Directive 2014/65/EU or as a market maker as defined by Article 4(1)(7) of Directive 2014/65/EU;</w:t>
      </w:r>
    </w:p>
    <w:p w:rsidR="00EB237C" w:rsidRPr="00EB237C" w:rsidRDefault="00EB237C" w:rsidP="00EB237C">
      <w:pPr>
        <w:numPr>
          <w:ilvl w:val="0"/>
          <w:numId w:val="33"/>
        </w:numPr>
        <w:tabs>
          <w:tab w:val="left" w:pos="720"/>
        </w:tabs>
        <w:spacing w:before="281" w:line="273" w:lineRule="exact"/>
        <w:jc w:val="left"/>
        <w:textAlignment w:val="baseline"/>
        <w:rPr>
          <w:rFonts w:ascii="Times New Roman" w:eastAsia="Times New Roman" w:hAnsi="Times New Roman"/>
          <w:color w:val="000000"/>
          <w:spacing w:val="-1"/>
          <w:sz w:val="24"/>
          <w:lang w:val="en-US" w:eastAsia="en-US"/>
        </w:rPr>
      </w:pPr>
      <w:r w:rsidRPr="00EB237C">
        <w:rPr>
          <w:rFonts w:ascii="Times New Roman" w:eastAsia="Times New Roman" w:hAnsi="Times New Roman"/>
          <w:color w:val="000000"/>
          <w:spacing w:val="-1"/>
          <w:sz w:val="24"/>
          <w:lang w:val="en-US" w:eastAsia="en-US"/>
        </w:rPr>
        <w:t>the provision of packages of services;</w:t>
      </w:r>
    </w:p>
    <w:p w:rsidR="00EB237C" w:rsidRPr="00EB237C" w:rsidRDefault="00EB237C" w:rsidP="00EB237C">
      <w:pPr>
        <w:numPr>
          <w:ilvl w:val="0"/>
          <w:numId w:val="33"/>
        </w:numPr>
        <w:tabs>
          <w:tab w:val="left" w:pos="720"/>
        </w:tabs>
        <w:spacing w:before="279" w:line="273" w:lineRule="exact"/>
        <w:jc w:val="left"/>
        <w:textAlignment w:val="baseline"/>
        <w:rPr>
          <w:rFonts w:ascii="Times New Roman" w:eastAsia="Times New Roman" w:hAnsi="Times New Roman"/>
          <w:color w:val="000000"/>
          <w:spacing w:val="-1"/>
          <w:sz w:val="24"/>
          <w:lang w:val="en-US" w:eastAsia="en-US"/>
        </w:rPr>
      </w:pPr>
      <w:r w:rsidRPr="00EB237C">
        <w:rPr>
          <w:rFonts w:ascii="Times New Roman" w:eastAsia="Times New Roman" w:hAnsi="Times New Roman"/>
          <w:color w:val="000000"/>
          <w:spacing w:val="-1"/>
          <w:sz w:val="24"/>
          <w:lang w:val="en-US" w:eastAsia="en-US"/>
        </w:rPr>
        <w:t>the scope or field of use demanded.</w:t>
      </w:r>
    </w:p>
    <w:p w:rsidR="00EB237C" w:rsidRPr="00EB237C" w:rsidRDefault="00EB237C" w:rsidP="00EB237C">
      <w:pPr>
        <w:spacing w:before="706" w:line="279" w:lineRule="exact"/>
        <w:ind w:left="72"/>
        <w:jc w:val="center"/>
        <w:textAlignment w:val="baseline"/>
        <w:rPr>
          <w:rFonts w:ascii="Times New Roman" w:eastAsia="Times New Roman" w:hAnsi="Times New Roman"/>
          <w:b/>
          <w:color w:val="000000"/>
          <w:sz w:val="24"/>
          <w:lang w:val="en-US" w:eastAsia="en-US"/>
        </w:rPr>
      </w:pPr>
      <w:r w:rsidRPr="00EB237C">
        <w:rPr>
          <w:rFonts w:ascii="Times New Roman" w:eastAsia="Times New Roman" w:hAnsi="Times New Roman"/>
          <w:b/>
          <w:color w:val="000000"/>
          <w:sz w:val="24"/>
          <w:lang w:val="en-US" w:eastAsia="en-US"/>
        </w:rPr>
        <w:t>Article 4</w:t>
      </w:r>
    </w:p>
    <w:p w:rsidR="00EB237C" w:rsidRPr="00EB237C" w:rsidRDefault="00EB237C" w:rsidP="00EB237C">
      <w:pPr>
        <w:spacing w:line="424" w:lineRule="exact"/>
        <w:ind w:left="72"/>
        <w:jc w:val="center"/>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 xml:space="preserve">(Article 48(8) of Directive 2014/65/EU) </w:t>
      </w:r>
      <w:r w:rsidRPr="00EB237C">
        <w:rPr>
          <w:rFonts w:ascii="Times New Roman" w:eastAsia="Times New Roman" w:hAnsi="Times New Roman"/>
          <w:color w:val="000000"/>
          <w:sz w:val="24"/>
          <w:lang w:val="en-US" w:eastAsia="en-US"/>
        </w:rPr>
        <w:br/>
      </w:r>
      <w:r w:rsidRPr="00EB237C">
        <w:rPr>
          <w:rFonts w:ascii="Times New Roman" w:eastAsia="Times New Roman" w:hAnsi="Times New Roman"/>
          <w:b/>
          <w:color w:val="000000"/>
          <w:sz w:val="24"/>
          <w:lang w:val="en-US" w:eastAsia="en-US"/>
        </w:rPr>
        <w:t>Prohibited fee structures</w:t>
      </w:r>
    </w:p>
    <w:p w:rsidR="00EB237C" w:rsidRPr="00EB237C" w:rsidRDefault="00EB237C" w:rsidP="00EB237C">
      <w:pPr>
        <w:spacing w:before="244" w:line="304" w:lineRule="exact"/>
        <w:ind w:left="72" w:right="144"/>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Trading venues shall not offer a fee structure whereby upon a member's, participant's or client's trading exceeding a given threshold, all of its trades benefit from a lower fee for a set period, including trades which have been executed previously in addition to the trades executed subsequent to reaching the threshold.</w:t>
      </w:r>
    </w:p>
    <w:p w:rsidR="00EB237C" w:rsidRPr="00EB237C" w:rsidRDefault="00EB237C" w:rsidP="00EB237C">
      <w:pPr>
        <w:spacing w:before="700" w:line="271" w:lineRule="exact"/>
        <w:ind w:left="72"/>
        <w:jc w:val="center"/>
        <w:textAlignment w:val="baseline"/>
        <w:rPr>
          <w:rFonts w:ascii="Times New Roman" w:eastAsia="Times New Roman" w:hAnsi="Times New Roman"/>
          <w:i/>
          <w:color w:val="000000"/>
          <w:spacing w:val="1"/>
          <w:sz w:val="24"/>
          <w:lang w:val="en-US" w:eastAsia="en-US"/>
        </w:rPr>
      </w:pPr>
      <w:r w:rsidRPr="00EB237C">
        <w:rPr>
          <w:rFonts w:ascii="Times New Roman" w:eastAsia="Times New Roman" w:hAnsi="Times New Roman"/>
          <w:i/>
          <w:color w:val="000000"/>
          <w:spacing w:val="1"/>
          <w:sz w:val="24"/>
          <w:lang w:val="en-US" w:eastAsia="en-US"/>
        </w:rPr>
        <w:t>Article 5</w:t>
      </w:r>
    </w:p>
    <w:p w:rsidR="00EB237C" w:rsidRPr="00EB237C" w:rsidRDefault="00EB237C" w:rsidP="00EB237C">
      <w:pPr>
        <w:spacing w:before="154" w:line="279" w:lineRule="exact"/>
        <w:ind w:left="72"/>
        <w:jc w:val="center"/>
        <w:textAlignment w:val="baseline"/>
        <w:rPr>
          <w:rFonts w:ascii="Times New Roman" w:eastAsia="Times New Roman" w:hAnsi="Times New Roman"/>
          <w:b/>
          <w:color w:val="000000"/>
          <w:sz w:val="24"/>
          <w:lang w:val="en-US" w:eastAsia="en-US"/>
        </w:rPr>
      </w:pPr>
      <w:r w:rsidRPr="00EB237C">
        <w:rPr>
          <w:rFonts w:ascii="Times New Roman" w:eastAsia="Times New Roman" w:hAnsi="Times New Roman"/>
          <w:b/>
          <w:color w:val="000000"/>
          <w:sz w:val="24"/>
          <w:lang w:val="en-US" w:eastAsia="en-US"/>
        </w:rPr>
        <w:t>Entry into force</w:t>
      </w:r>
    </w:p>
    <w:p w:rsidR="00EB237C" w:rsidRPr="00EB237C" w:rsidRDefault="00EB237C" w:rsidP="00EB237C">
      <w:pPr>
        <w:spacing w:before="246" w:line="302" w:lineRule="exact"/>
        <w:ind w:left="72" w:right="144"/>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This Regulation shall enter into force on the twentieth day following that of its publication in the Official Journal of the European Union.</w:t>
      </w:r>
    </w:p>
    <w:p w:rsidR="00EB237C" w:rsidRPr="00EB237C" w:rsidRDefault="00EB237C" w:rsidP="00EB237C">
      <w:pPr>
        <w:spacing w:before="277" w:line="273" w:lineRule="exact"/>
        <w:ind w:left="72"/>
        <w:jc w:val="left"/>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It shall apply from 3 January 2017.</w:t>
      </w:r>
    </w:p>
    <w:p w:rsidR="00EB237C" w:rsidRPr="00EB237C" w:rsidRDefault="00EB237C" w:rsidP="00EB237C">
      <w:pPr>
        <w:spacing w:before="686" w:line="424" w:lineRule="exact"/>
        <w:ind w:left="72" w:right="432"/>
        <w:jc w:val="left"/>
        <w:textAlignment w:val="baseline"/>
        <w:rPr>
          <w:rFonts w:ascii="Times New Roman" w:eastAsia="Times New Roman" w:hAnsi="Times New Roman"/>
          <w:color w:val="000000"/>
          <w:sz w:val="24"/>
          <w:lang w:val="en-US" w:eastAsia="en-US"/>
        </w:rPr>
      </w:pPr>
      <w:r w:rsidRPr="00EB237C">
        <w:rPr>
          <w:rFonts w:ascii="Times New Roman" w:eastAsia="Times New Roman" w:hAnsi="Times New Roman"/>
          <w:color w:val="000000"/>
          <w:sz w:val="24"/>
          <w:lang w:val="en-US" w:eastAsia="en-US"/>
        </w:rPr>
        <w:t>This Regulation shall be binding in its entirety and directly applicable in all Member States. Done at Brussels,</w:t>
      </w:r>
    </w:p>
    <w:p w:rsidR="00EB237C" w:rsidRPr="00EB237C" w:rsidRDefault="00EB237C" w:rsidP="00EB237C">
      <w:pPr>
        <w:spacing w:before="717" w:line="276" w:lineRule="exact"/>
        <w:ind w:left="4392" w:right="2952"/>
        <w:jc w:val="left"/>
        <w:textAlignment w:val="baseline"/>
        <w:rPr>
          <w:rFonts w:ascii="Times New Roman" w:eastAsia="Times New Roman" w:hAnsi="Times New Roman"/>
          <w:i/>
          <w:color w:val="000000"/>
          <w:sz w:val="24"/>
          <w:lang w:val="en-US" w:eastAsia="en-US"/>
        </w:rPr>
      </w:pPr>
      <w:r w:rsidRPr="00EB237C">
        <w:rPr>
          <w:rFonts w:ascii="Times New Roman" w:eastAsia="Times New Roman" w:hAnsi="Times New Roman"/>
          <w:i/>
          <w:color w:val="000000"/>
          <w:sz w:val="24"/>
          <w:lang w:val="en-US" w:eastAsia="en-US"/>
        </w:rPr>
        <w:t>For the Commission The President</w:t>
      </w:r>
    </w:p>
    <w:p w:rsidR="00903624" w:rsidRPr="00732881" w:rsidRDefault="00903624" w:rsidP="00614675">
      <w:pPr>
        <w:pStyle w:val="ssPara1"/>
      </w:pPr>
    </w:p>
    <w:sectPr w:rsidR="00903624" w:rsidRPr="00732881" w:rsidSect="002145F3">
      <w:headerReference w:type="even" r:id="rId11"/>
      <w:headerReference w:type="default" r:id="rId12"/>
      <w:footerReference w:type="even" r:id="rId13"/>
      <w:footerReference w:type="default" r:id="rId14"/>
      <w:headerReference w:type="first" r:id="rId15"/>
      <w:footerReference w:type="first" r:id="rId16"/>
      <w:pgSz w:w="11906" w:h="16838" w:code="9"/>
      <w:pgMar w:top="1418" w:right="1191" w:bottom="567" w:left="1191"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52C" w:rsidRDefault="00E2052C" w:rsidP="002145F3">
      <w:r>
        <w:separator/>
      </w:r>
    </w:p>
  </w:endnote>
  <w:endnote w:type="continuationSeparator" w:id="0">
    <w:p w:rsidR="00E2052C" w:rsidRDefault="00E2052C" w:rsidP="0021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FAE" w:rsidRDefault="001E1F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672807" w:rsidP="002172F2">
    <w:pPr>
      <w:pStyle w:val="Footer"/>
      <w:tabs>
        <w:tab w:val="right" w:pos="9540"/>
      </w:tabs>
      <w:rPr>
        <w:sz w:val="20"/>
      </w:rPr>
    </w:pPr>
    <w:bookmarkStart w:id="2" w:name="bmkDocRefContinuation"/>
    <w:r>
      <w:t>FMFS/072735-00007/CXMS/SJWA</w:t>
    </w:r>
    <w:bookmarkEnd w:id="2"/>
    <w:r w:rsidR="002145F3" w:rsidRPr="00FA6CFE">
      <w:t xml:space="preserve">   </w:t>
    </w:r>
    <w:bookmarkStart w:id="3" w:name="bmkAssetContinuation"/>
    <w:r>
      <w:t>SJWA(LDN7W20998)</w:t>
    </w:r>
    <w:bookmarkEnd w:id="3"/>
    <w:r w:rsidR="002145F3" w:rsidRPr="00FA6CFE">
      <w:tab/>
    </w:r>
    <w:r w:rsidR="002145F3" w:rsidRPr="00FA6CFE">
      <w:rPr>
        <w:rStyle w:val="PageNumber"/>
      </w:rPr>
      <w:fldChar w:fldCharType="begin"/>
    </w:r>
    <w:r w:rsidR="002145F3" w:rsidRPr="00FA6CFE">
      <w:rPr>
        <w:rStyle w:val="PageNumber"/>
      </w:rPr>
      <w:instrText xml:space="preserve"> PAGE </w:instrText>
    </w:r>
    <w:r w:rsidR="002145F3" w:rsidRPr="00FA6CFE">
      <w:rPr>
        <w:rStyle w:val="PageNumber"/>
      </w:rPr>
      <w:fldChar w:fldCharType="separate"/>
    </w:r>
    <w:r w:rsidR="002145F3">
      <w:rPr>
        <w:rStyle w:val="PageNumber"/>
        <w:noProof/>
      </w:rPr>
      <w:t>2</w:t>
    </w:r>
    <w:r w:rsidR="002145F3" w:rsidRPr="00FA6CFE">
      <w:rPr>
        <w:rStyle w:val="PageNumber"/>
      </w:rPr>
      <w:fldChar w:fldCharType="end"/>
    </w:r>
    <w:r w:rsidR="002145F3" w:rsidRPr="00FA6CFE">
      <w:tab/>
      <w:t xml:space="preserve"> </w:t>
    </w:r>
    <w:bookmarkStart w:id="4" w:name="bmkDocIDContinuation"/>
    <w:r>
      <w:t>L_LIVE_EMEA1:29431430v1</w:t>
    </w:r>
    <w:bookmarkEnd w:id="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672807">
    <w:pPr>
      <w:pStyle w:val="Footer"/>
      <w:tabs>
        <w:tab w:val="clear" w:pos="4763"/>
        <w:tab w:val="clear" w:pos="9497"/>
        <w:tab w:val="right" w:pos="9540"/>
        <w:tab w:val="right" w:pos="9570"/>
      </w:tabs>
    </w:pPr>
    <w:bookmarkStart w:id="5" w:name="bmkDocRef"/>
    <w:r>
      <w:t>FMFS/072735-00007/CXMS/SJWA</w:t>
    </w:r>
    <w:bookmarkEnd w:id="5"/>
    <w:r w:rsidR="002145F3" w:rsidRPr="00FA6CFE">
      <w:t xml:space="preserve">  </w:t>
    </w:r>
    <w:bookmarkStart w:id="6" w:name="bmkAsset"/>
    <w:r>
      <w:t>SJWA(LDN7W20998)</w:t>
    </w:r>
    <w:bookmarkEnd w:id="6"/>
    <w:r w:rsidR="002145F3" w:rsidRPr="00FA6CFE">
      <w:tab/>
    </w:r>
    <w:bookmarkStart w:id="7" w:name="bmkDocID"/>
    <w:r>
      <w:t>L_LIVE_EMEA1:29431430v1</w:t>
    </w:r>
    <w:bookmarkEnd w:id="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52C" w:rsidRDefault="00E2052C" w:rsidP="002145F3">
      <w:r>
        <w:separator/>
      </w:r>
    </w:p>
  </w:footnote>
  <w:footnote w:type="continuationSeparator" w:id="0">
    <w:p w:rsidR="00E2052C" w:rsidRDefault="00E2052C" w:rsidP="00214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FAE" w:rsidRDefault="001E1F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FAE" w:rsidRDefault="001E1F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FAE" w:rsidRDefault="001E1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0222BC"/>
    <w:lvl w:ilvl="0">
      <w:start w:val="1"/>
      <w:numFmt w:val="decimal"/>
      <w:lvlText w:val="%1."/>
      <w:lvlJc w:val="left"/>
      <w:pPr>
        <w:tabs>
          <w:tab w:val="num" w:pos="1492"/>
        </w:tabs>
        <w:ind w:left="1492" w:hanging="360"/>
      </w:pPr>
    </w:lvl>
  </w:abstractNum>
  <w:abstractNum w:abstractNumId="1">
    <w:nsid w:val="FFFFFF7D"/>
    <w:multiLevelType w:val="singleLevel"/>
    <w:tmpl w:val="0DE0C7AE"/>
    <w:lvl w:ilvl="0">
      <w:start w:val="1"/>
      <w:numFmt w:val="decimal"/>
      <w:lvlText w:val="%1."/>
      <w:lvlJc w:val="left"/>
      <w:pPr>
        <w:tabs>
          <w:tab w:val="num" w:pos="1209"/>
        </w:tabs>
        <w:ind w:left="1209" w:hanging="360"/>
      </w:pPr>
    </w:lvl>
  </w:abstractNum>
  <w:abstractNum w:abstractNumId="2">
    <w:nsid w:val="FFFFFF7E"/>
    <w:multiLevelType w:val="singleLevel"/>
    <w:tmpl w:val="0416FA08"/>
    <w:lvl w:ilvl="0">
      <w:start w:val="1"/>
      <w:numFmt w:val="decimal"/>
      <w:lvlText w:val="%1."/>
      <w:lvlJc w:val="left"/>
      <w:pPr>
        <w:tabs>
          <w:tab w:val="num" w:pos="926"/>
        </w:tabs>
        <w:ind w:left="926" w:hanging="360"/>
      </w:pPr>
    </w:lvl>
  </w:abstractNum>
  <w:abstractNum w:abstractNumId="3">
    <w:nsid w:val="FFFFFF7F"/>
    <w:multiLevelType w:val="singleLevel"/>
    <w:tmpl w:val="EF98302C"/>
    <w:lvl w:ilvl="0">
      <w:start w:val="1"/>
      <w:numFmt w:val="decimal"/>
      <w:lvlText w:val="%1."/>
      <w:lvlJc w:val="left"/>
      <w:pPr>
        <w:tabs>
          <w:tab w:val="num" w:pos="643"/>
        </w:tabs>
        <w:ind w:left="643" w:hanging="360"/>
      </w:pPr>
    </w:lvl>
  </w:abstractNum>
  <w:abstractNum w:abstractNumId="4">
    <w:nsid w:val="FFFFFF80"/>
    <w:multiLevelType w:val="singleLevel"/>
    <w:tmpl w:val="D23AB9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E03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DF61D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20E8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D8A06EA"/>
    <w:lvl w:ilvl="0">
      <w:start w:val="1"/>
      <w:numFmt w:val="decimal"/>
      <w:lvlText w:val="%1."/>
      <w:lvlJc w:val="left"/>
      <w:pPr>
        <w:tabs>
          <w:tab w:val="num" w:pos="360"/>
        </w:tabs>
        <w:ind w:left="360" w:hanging="360"/>
      </w:pPr>
    </w:lvl>
  </w:abstractNum>
  <w:abstractNum w:abstractNumId="9">
    <w:nsid w:val="FFFFFF89"/>
    <w:multiLevelType w:val="singleLevel"/>
    <w:tmpl w:val="E60ACD42"/>
    <w:lvl w:ilvl="0">
      <w:start w:val="1"/>
      <w:numFmt w:val="bullet"/>
      <w:lvlText w:val=""/>
      <w:lvlJc w:val="left"/>
      <w:pPr>
        <w:tabs>
          <w:tab w:val="num" w:pos="360"/>
        </w:tabs>
        <w:ind w:left="360" w:hanging="360"/>
      </w:pPr>
      <w:rPr>
        <w:rFonts w:ascii="Symbol" w:hAnsi="Symbol" w:hint="default"/>
      </w:rPr>
    </w:lvl>
  </w:abstractNum>
  <w:abstractNum w:abstractNumId="10">
    <w:nsid w:val="02B16B0B"/>
    <w:multiLevelType w:val="multilevel"/>
    <w:tmpl w:val="912258C8"/>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7270173"/>
    <w:multiLevelType w:val="multilevel"/>
    <w:tmpl w:val="71CADD9C"/>
    <w:numStyleLink w:val="AppendixNumbering"/>
  </w:abstractNum>
  <w:abstractNum w:abstractNumId="12">
    <w:nsid w:val="08460B80"/>
    <w:multiLevelType w:val="multilevel"/>
    <w:tmpl w:val="D77ADC4E"/>
    <w:lvl w:ilvl="0">
      <w:start w:val="2"/>
      <w:numFmt w:val="lowerLetter"/>
      <w:lvlText w:val="(%1)"/>
      <w:lvlJc w:val="left"/>
      <w:pPr>
        <w:tabs>
          <w:tab w:val="left" w:pos="432"/>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FCA63B7"/>
    <w:multiLevelType w:val="multilevel"/>
    <w:tmpl w:val="3ADEC820"/>
    <w:lvl w:ilvl="0">
      <w:start w:val="2"/>
      <w:numFmt w:val="decimal"/>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59B177C"/>
    <w:multiLevelType w:val="multilevel"/>
    <w:tmpl w:val="E7229E7C"/>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7566DD7"/>
    <w:multiLevelType w:val="multilevel"/>
    <w:tmpl w:val="52B2D312"/>
    <w:lvl w:ilvl="0">
      <w:start w:val="6"/>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AA4495E"/>
    <w:multiLevelType w:val="multilevel"/>
    <w:tmpl w:val="54D02D9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3860C0F"/>
    <w:multiLevelType w:val="multilevel"/>
    <w:tmpl w:val="891459DE"/>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2D5649B"/>
    <w:multiLevelType w:val="multilevel"/>
    <w:tmpl w:val="E7229E7C"/>
    <w:numStyleLink w:val="ExhibitNumbering"/>
  </w:abstractNum>
  <w:abstractNum w:abstractNumId="20">
    <w:nsid w:val="34281940"/>
    <w:multiLevelType w:val="multilevel"/>
    <w:tmpl w:val="71CADD9C"/>
    <w:numStyleLink w:val="AppendixNumbering"/>
  </w:abstractNum>
  <w:abstractNum w:abstractNumId="21">
    <w:nsid w:val="355E0BB2"/>
    <w:multiLevelType w:val="multilevel"/>
    <w:tmpl w:val="54D02D98"/>
    <w:numStyleLink w:val="PartNumbering"/>
  </w:abstractNum>
  <w:abstractNum w:abstractNumId="22">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185586C"/>
    <w:multiLevelType w:val="multilevel"/>
    <w:tmpl w:val="E7229E7C"/>
    <w:numStyleLink w:val="ExhibitNumbering"/>
  </w:abstractNum>
  <w:abstractNum w:abstractNumId="25">
    <w:nsid w:val="42806A03"/>
    <w:multiLevelType w:val="multilevel"/>
    <w:tmpl w:val="72D246E4"/>
    <w:lvl w:ilvl="0">
      <w:start w:val="1"/>
      <w:numFmt w:val="lowerLetter"/>
      <w:lvlText w:val="(%1)"/>
      <w:lvlJc w:val="left"/>
      <w:pPr>
        <w:tabs>
          <w:tab w:val="left" w:pos="432"/>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400737D"/>
    <w:multiLevelType w:val="multilevel"/>
    <w:tmpl w:val="C8D6362C"/>
    <w:numStyleLink w:val="ListHeadings"/>
  </w:abstractNum>
  <w:abstractNum w:abstractNumId="27">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6D8E29CB"/>
    <w:multiLevelType w:val="multilevel"/>
    <w:tmpl w:val="06E2487A"/>
    <w:numStyleLink w:val="ScheduleNumbering"/>
  </w:abstractNum>
  <w:abstractNum w:abstractNumId="29">
    <w:nsid w:val="6DC023DB"/>
    <w:multiLevelType w:val="multilevel"/>
    <w:tmpl w:val="54D02D98"/>
    <w:numStyleLink w:val="PartNumbering"/>
  </w:abstractNum>
  <w:abstractNum w:abstractNumId="30">
    <w:nsid w:val="752B37AC"/>
    <w:multiLevelType w:val="multilevel"/>
    <w:tmpl w:val="2BCE0584"/>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suff w:val="nothing"/>
      <w:lvlText w:val=""/>
      <w:lvlJc w:val="left"/>
      <w:pPr>
        <w:ind w:left="0" w:firstLine="0"/>
      </w:pPr>
      <w:rPr>
        <w:rFonts w:hint="default"/>
        <w:b w:val="0"/>
      </w:rPr>
    </w:lvl>
    <w:lvl w:ilvl="8">
      <w:start w:val="1"/>
      <w:numFmt w:val="none"/>
      <w:suff w:val="nothing"/>
      <w:lvlText w:val=""/>
      <w:lvlJc w:val="left"/>
      <w:pPr>
        <w:ind w:left="0" w:firstLine="0"/>
      </w:pPr>
      <w:rPr>
        <w:rFonts w:hint="default"/>
        <w:b w:val="0"/>
      </w:rPr>
    </w:lvl>
  </w:abstractNum>
  <w:abstractNum w:abstractNumId="31">
    <w:nsid w:val="7D4220D6"/>
    <w:multiLevelType w:val="multilevel"/>
    <w:tmpl w:val="B960075E"/>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F7618A8"/>
    <w:multiLevelType w:val="multilevel"/>
    <w:tmpl w:val="1130A0CA"/>
    <w:numStyleLink w:val="SectionNumbering"/>
  </w:abstractNum>
  <w:num w:numId="1">
    <w:abstractNumId w:val="27"/>
  </w:num>
  <w:num w:numId="2">
    <w:abstractNumId w:val="14"/>
  </w:num>
  <w:num w:numId="3">
    <w:abstractNumId w:val="18"/>
  </w:num>
  <w:num w:numId="4">
    <w:abstractNumId w:val="16"/>
  </w:num>
  <w:num w:numId="5">
    <w:abstractNumId w:val="22"/>
  </w:num>
  <w:num w:numId="6">
    <w:abstractNumId w:val="11"/>
  </w:num>
  <w:num w:numId="7">
    <w:abstractNumId w:val="24"/>
  </w:num>
  <w:num w:numId="8">
    <w:abstractNumId w:val="26"/>
  </w:num>
  <w:num w:numId="9">
    <w:abstractNumId w:val="29"/>
  </w:num>
  <w:num w:numId="10">
    <w:abstractNumId w:val="28"/>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0"/>
  </w:num>
  <w:num w:numId="22">
    <w:abstractNumId w:val="19"/>
  </w:num>
  <w:num w:numId="23">
    <w:abstractNumId w:val="21"/>
  </w:num>
  <w:num w:numId="24">
    <w:abstractNumId w:val="23"/>
  </w:num>
  <w:num w:numId="25">
    <w:abstractNumId w:val="32"/>
  </w:num>
  <w:num w:numId="26">
    <w:abstractNumId w:val="32"/>
  </w:num>
  <w:num w:numId="27">
    <w:abstractNumId w:val="17"/>
  </w:num>
  <w:num w:numId="28">
    <w:abstractNumId w:val="15"/>
  </w:num>
  <w:num w:numId="29">
    <w:abstractNumId w:val="10"/>
  </w:num>
  <w:num w:numId="30">
    <w:abstractNumId w:val="25"/>
  </w:num>
  <w:num w:numId="31">
    <w:abstractNumId w:val="13"/>
  </w:num>
  <w:num w:numId="32">
    <w:abstractNumId w:val="31"/>
  </w:num>
  <w:num w:numId="3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TMS_CultureID" w:val="English-UK"/>
    <w:docVar w:name="TMS_OfficeID" w:val="London"/>
  </w:docVars>
  <w:rsids>
    <w:rsidRoot w:val="00E2052C"/>
    <w:rsid w:val="0003545D"/>
    <w:rsid w:val="00044E5C"/>
    <w:rsid w:val="000E6AA1"/>
    <w:rsid w:val="00101241"/>
    <w:rsid w:val="001060FD"/>
    <w:rsid w:val="001138DB"/>
    <w:rsid w:val="00116C4D"/>
    <w:rsid w:val="00134261"/>
    <w:rsid w:val="001570C6"/>
    <w:rsid w:val="00176254"/>
    <w:rsid w:val="00191C60"/>
    <w:rsid w:val="00193306"/>
    <w:rsid w:val="00194B5A"/>
    <w:rsid w:val="001E1FAE"/>
    <w:rsid w:val="00206333"/>
    <w:rsid w:val="002068C6"/>
    <w:rsid w:val="002145F3"/>
    <w:rsid w:val="002172F2"/>
    <w:rsid w:val="0024268B"/>
    <w:rsid w:val="00260099"/>
    <w:rsid w:val="00282305"/>
    <w:rsid w:val="002A6353"/>
    <w:rsid w:val="002B301D"/>
    <w:rsid w:val="00362631"/>
    <w:rsid w:val="00373FD4"/>
    <w:rsid w:val="004078CF"/>
    <w:rsid w:val="00414ED0"/>
    <w:rsid w:val="004357E6"/>
    <w:rsid w:val="00455A1A"/>
    <w:rsid w:val="00457E41"/>
    <w:rsid w:val="00465953"/>
    <w:rsid w:val="004928A1"/>
    <w:rsid w:val="00493ADC"/>
    <w:rsid w:val="004A360E"/>
    <w:rsid w:val="004D760D"/>
    <w:rsid w:val="004D78CD"/>
    <w:rsid w:val="004E3F51"/>
    <w:rsid w:val="0050793D"/>
    <w:rsid w:val="00566B4A"/>
    <w:rsid w:val="00600524"/>
    <w:rsid w:val="00614675"/>
    <w:rsid w:val="006330D1"/>
    <w:rsid w:val="00665A99"/>
    <w:rsid w:val="00672807"/>
    <w:rsid w:val="006D01F6"/>
    <w:rsid w:val="006E4E77"/>
    <w:rsid w:val="00703EDF"/>
    <w:rsid w:val="0072141D"/>
    <w:rsid w:val="0072322D"/>
    <w:rsid w:val="00724DEA"/>
    <w:rsid w:val="00732881"/>
    <w:rsid w:val="0073359A"/>
    <w:rsid w:val="007344D2"/>
    <w:rsid w:val="00761BF6"/>
    <w:rsid w:val="007A33BD"/>
    <w:rsid w:val="007D6E17"/>
    <w:rsid w:val="008353F9"/>
    <w:rsid w:val="00851935"/>
    <w:rsid w:val="008C0FC8"/>
    <w:rsid w:val="008E2CB9"/>
    <w:rsid w:val="008F46B3"/>
    <w:rsid w:val="00903624"/>
    <w:rsid w:val="00923465"/>
    <w:rsid w:val="009D4EB0"/>
    <w:rsid w:val="009F102B"/>
    <w:rsid w:val="00A74E44"/>
    <w:rsid w:val="00A87ADC"/>
    <w:rsid w:val="00B00EC2"/>
    <w:rsid w:val="00B04590"/>
    <w:rsid w:val="00B147B4"/>
    <w:rsid w:val="00B25E0D"/>
    <w:rsid w:val="00B31F8B"/>
    <w:rsid w:val="00B53B05"/>
    <w:rsid w:val="00C31756"/>
    <w:rsid w:val="00C45AC9"/>
    <w:rsid w:val="00CD2DD3"/>
    <w:rsid w:val="00D10B49"/>
    <w:rsid w:val="00D2677F"/>
    <w:rsid w:val="00D60D03"/>
    <w:rsid w:val="00D8197C"/>
    <w:rsid w:val="00D87CAA"/>
    <w:rsid w:val="00DE4ACA"/>
    <w:rsid w:val="00E147B9"/>
    <w:rsid w:val="00E2052C"/>
    <w:rsid w:val="00E23D22"/>
    <w:rsid w:val="00E51D18"/>
    <w:rsid w:val="00E85890"/>
    <w:rsid w:val="00E95447"/>
    <w:rsid w:val="00E966B2"/>
    <w:rsid w:val="00EA5D4F"/>
    <w:rsid w:val="00EB237C"/>
    <w:rsid w:val="00F07EA1"/>
    <w:rsid w:val="00F27B5C"/>
    <w:rsid w:val="00F830B1"/>
    <w:rsid w:val="00FD3906"/>
    <w:rsid w:val="00FD3D25"/>
    <w:rsid w:val="00FF0476"/>
    <w:rsid w:val="00FF3360"/>
    <w:rsid w:val="00FF5FA4"/>
    <w:rsid w:val="00FF78A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8"/>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8"/>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8"/>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8"/>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8"/>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8"/>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21"/>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22"/>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23"/>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10"/>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21"/>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22"/>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8"/>
      </w:numPr>
    </w:pPr>
    <w:rPr>
      <w:rFonts w:eastAsia="Times New Roman"/>
      <w:color w:val="FF0000"/>
    </w:rPr>
  </w:style>
  <w:style w:type="paragraph" w:customStyle="1" w:styleId="ssRestartPart">
    <w:name w:val="ssRestartPart"/>
    <w:basedOn w:val="Normal"/>
    <w:next w:val="ssPara1"/>
    <w:uiPriority w:val="44"/>
    <w:rsid w:val="00614675"/>
    <w:pPr>
      <w:numPr>
        <w:numId w:val="23"/>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10"/>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24"/>
      </w:numPr>
    </w:pPr>
  </w:style>
  <w:style w:type="paragraph" w:customStyle="1" w:styleId="ssqSection">
    <w:name w:val="ssqSection"/>
    <w:basedOn w:val="ssPara1"/>
    <w:next w:val="ssPara1"/>
    <w:uiPriority w:val="45"/>
    <w:qFormat/>
    <w:rsid w:val="008353F9"/>
    <w:pPr>
      <w:numPr>
        <w:ilvl w:val="1"/>
        <w:numId w:val="26"/>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26"/>
      </w:numPr>
    </w:pPr>
    <w:rPr>
      <w:rFonts w:eastAsiaTheme="minorHAnsi" w:cstheme="minorBidi"/>
      <w:color w:val="FF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8"/>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8"/>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8"/>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8"/>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8"/>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8"/>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21"/>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22"/>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23"/>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10"/>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21"/>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22"/>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8"/>
      </w:numPr>
    </w:pPr>
    <w:rPr>
      <w:rFonts w:eastAsia="Times New Roman"/>
      <w:color w:val="FF0000"/>
    </w:rPr>
  </w:style>
  <w:style w:type="paragraph" w:customStyle="1" w:styleId="ssRestartPart">
    <w:name w:val="ssRestartPart"/>
    <w:basedOn w:val="Normal"/>
    <w:next w:val="ssPara1"/>
    <w:uiPriority w:val="44"/>
    <w:rsid w:val="00614675"/>
    <w:pPr>
      <w:numPr>
        <w:numId w:val="23"/>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10"/>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24"/>
      </w:numPr>
    </w:pPr>
  </w:style>
  <w:style w:type="paragraph" w:customStyle="1" w:styleId="ssqSection">
    <w:name w:val="ssqSection"/>
    <w:basedOn w:val="ssPara1"/>
    <w:next w:val="ssPara1"/>
    <w:uiPriority w:val="45"/>
    <w:qFormat/>
    <w:rsid w:val="008353F9"/>
    <w:pPr>
      <w:numPr>
        <w:ilvl w:val="1"/>
        <w:numId w:val="26"/>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26"/>
      </w:numPr>
    </w:pPr>
    <w:rPr>
      <w:rFonts w:eastAsiaTheme="minorHAnsi" w:cstheme="minorBidi"/>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Simmons\Templates\General.dotx" TargetMode="External"/></Relationships>
</file>

<file path=word/theme/theme1.xml><?xml version="1.0" encoding="utf-8"?>
<a:theme xmlns:a="http://schemas.openxmlformats.org/drawingml/2006/main" name="Simmon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mmons &amp; Simm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D1C30-744E-4FB3-9FEA-584EECBE7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2</TotalTime>
  <Pages>6</Pages>
  <Words>1411</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&amp; Simmons</dc:creator>
  <cp:lastModifiedBy>Simmons &amp; Simmons</cp:lastModifiedBy>
  <cp:revision>7</cp:revision>
  <dcterms:created xsi:type="dcterms:W3CDTF">2015-11-16T12:57:00Z</dcterms:created>
  <dcterms:modified xsi:type="dcterms:W3CDTF">2015-11-19T14:52:00Z</dcterms:modified>
</cp:coreProperties>
</file>