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60D" w:rsidRPr="005C560D" w:rsidRDefault="005C560D" w:rsidP="005C560D">
      <w:pPr>
        <w:widowControl w:val="0"/>
        <w:kinsoku w:val="0"/>
        <w:overflowPunct w:val="0"/>
        <w:spacing w:before="963" w:line="366" w:lineRule="exact"/>
        <w:ind w:left="72" w:right="72"/>
        <w:textAlignment w:val="baseline"/>
        <w:rPr>
          <w:rFonts w:ascii="Arial" w:eastAsia="Times New Roman" w:hAnsi="Arial" w:cs="Arial"/>
          <w:sz w:val="27"/>
          <w:szCs w:val="27"/>
          <w:lang w:val="en-US"/>
        </w:rPr>
      </w:pPr>
      <w:r w:rsidRPr="005C560D">
        <w:rPr>
          <w:rFonts w:ascii="Arial" w:eastAsia="Times New Roman" w:hAnsi="Arial" w:cs="Arial"/>
          <w:b/>
          <w:bCs/>
          <w:sz w:val="28"/>
          <w:szCs w:val="28"/>
          <w:lang w:val="en-US"/>
        </w:rPr>
        <w:t>RTS 3: Draft regulatory technical standards under Articles 34(8) and 35(11) of MiFID</w:t>
      </w:r>
      <w:r w:rsidR="00E44A09">
        <w:rPr>
          <w:rFonts w:ascii="Arial" w:eastAsia="Times New Roman" w:hAnsi="Arial" w:cs="Arial"/>
          <w:b/>
          <w:bCs/>
          <w:sz w:val="28"/>
          <w:szCs w:val="28"/>
          <w:lang w:val="en-US"/>
        </w:rPr>
        <w:t xml:space="preserve"> II</w:t>
      </w:r>
    </w:p>
    <w:p w:rsidR="005C560D" w:rsidRPr="005C560D" w:rsidRDefault="005C560D" w:rsidP="005C560D">
      <w:pPr>
        <w:widowControl w:val="0"/>
        <w:kinsoku w:val="0"/>
        <w:overflowPunct w:val="0"/>
        <w:spacing w:before="296" w:line="247" w:lineRule="exact"/>
        <w:ind w:left="72"/>
        <w:jc w:val="center"/>
        <w:textAlignment w:val="baseline"/>
        <w:rPr>
          <w:rFonts w:ascii="Arial" w:eastAsia="Times New Roman" w:hAnsi="Arial" w:cs="Arial"/>
          <w:b/>
          <w:bCs/>
          <w:lang w:val="en-US"/>
        </w:rPr>
      </w:pPr>
      <w:r w:rsidRPr="005C560D">
        <w:rPr>
          <w:rFonts w:ascii="Arial" w:eastAsia="Times New Roman" w:hAnsi="Arial" w:cs="Arial"/>
          <w:b/>
          <w:bCs/>
          <w:lang w:val="en-US"/>
        </w:rPr>
        <w:t>COMMISSION DELEGATED REGULATION (EU) No .../..</w:t>
      </w:r>
    </w:p>
    <w:p w:rsidR="005C560D" w:rsidRPr="005C560D" w:rsidRDefault="005C560D" w:rsidP="005C560D">
      <w:pPr>
        <w:widowControl w:val="0"/>
        <w:kinsoku w:val="0"/>
        <w:overflowPunct w:val="0"/>
        <w:spacing w:before="300" w:line="247" w:lineRule="exact"/>
        <w:ind w:left="72"/>
        <w:jc w:val="center"/>
        <w:textAlignment w:val="baseline"/>
        <w:rPr>
          <w:rFonts w:ascii="Arial" w:eastAsia="Times New Roman" w:hAnsi="Arial" w:cs="Arial"/>
          <w:b/>
          <w:bCs/>
          <w:spacing w:val="16"/>
          <w:lang w:val="en-US"/>
        </w:rPr>
      </w:pPr>
      <w:r w:rsidRPr="005C560D">
        <w:rPr>
          <w:rFonts w:ascii="Arial" w:eastAsia="Times New Roman" w:hAnsi="Arial" w:cs="Arial"/>
          <w:b/>
          <w:bCs/>
          <w:spacing w:val="16"/>
          <w:lang w:val="en-US"/>
        </w:rPr>
        <w:t>of [...]</w:t>
      </w:r>
    </w:p>
    <w:p w:rsidR="005C560D" w:rsidRPr="005C560D" w:rsidRDefault="005C560D" w:rsidP="005C560D">
      <w:pPr>
        <w:widowControl w:val="0"/>
        <w:kinsoku w:val="0"/>
        <w:overflowPunct w:val="0"/>
        <w:spacing w:before="252" w:line="290" w:lineRule="exact"/>
        <w:ind w:left="72"/>
        <w:jc w:val="center"/>
        <w:textAlignment w:val="baseline"/>
        <w:rPr>
          <w:rFonts w:ascii="Arial" w:eastAsia="Times New Roman" w:hAnsi="Arial" w:cs="Arial"/>
          <w:b/>
          <w:bCs/>
          <w:lang w:val="en-US"/>
        </w:rPr>
      </w:pPr>
      <w:r w:rsidRPr="005C560D">
        <w:rPr>
          <w:rFonts w:ascii="Arial" w:eastAsia="Times New Roman" w:hAnsi="Arial" w:cs="Arial"/>
          <w:b/>
          <w:bCs/>
          <w:lang w:val="en-US"/>
        </w:rPr>
        <w:t>supplementing Directive 2014/65/EU of the European Parliament and of the Council</w:t>
      </w:r>
      <w:r w:rsidR="00E44A09">
        <w:rPr>
          <w:rFonts w:ascii="Arial" w:eastAsia="Times New Roman" w:hAnsi="Arial" w:cs="Arial"/>
          <w:b/>
          <w:bCs/>
          <w:lang w:val="en-US"/>
        </w:rPr>
        <w:t xml:space="preserve"> </w:t>
      </w:r>
      <w:r w:rsidRPr="005C560D">
        <w:rPr>
          <w:rFonts w:ascii="Arial" w:eastAsia="Times New Roman" w:hAnsi="Arial" w:cs="Arial"/>
          <w:b/>
          <w:bCs/>
          <w:lang w:val="en-US"/>
        </w:rPr>
        <w:t>with regard to regulatory technical standards specifying information to be notified by</w:t>
      </w:r>
      <w:r w:rsidR="00E44A09">
        <w:rPr>
          <w:rFonts w:ascii="Arial" w:eastAsia="Times New Roman" w:hAnsi="Arial" w:cs="Arial"/>
          <w:b/>
          <w:bCs/>
          <w:lang w:val="en-US"/>
        </w:rPr>
        <w:t xml:space="preserve"> </w:t>
      </w:r>
      <w:r w:rsidRPr="005C560D">
        <w:rPr>
          <w:rFonts w:ascii="Arial" w:eastAsia="Times New Roman" w:hAnsi="Arial" w:cs="Arial"/>
          <w:b/>
          <w:bCs/>
          <w:lang w:val="en-US"/>
        </w:rPr>
        <w:t>investment firms, market operators and credit institutions</w:t>
      </w:r>
    </w:p>
    <w:p w:rsidR="005C560D" w:rsidRPr="005C560D" w:rsidRDefault="005C560D" w:rsidP="005C560D">
      <w:pPr>
        <w:widowControl w:val="0"/>
        <w:kinsoku w:val="0"/>
        <w:overflowPunct w:val="0"/>
        <w:spacing w:before="831" w:line="247" w:lineRule="exact"/>
        <w:ind w:left="72"/>
        <w:jc w:val="center"/>
        <w:textAlignment w:val="baseline"/>
        <w:rPr>
          <w:rFonts w:ascii="Arial" w:eastAsia="Times New Roman" w:hAnsi="Arial" w:cs="Arial"/>
          <w:b/>
          <w:bCs/>
          <w:lang w:val="en-US"/>
        </w:rPr>
      </w:pPr>
      <w:r w:rsidRPr="005C560D">
        <w:rPr>
          <w:rFonts w:ascii="Arial" w:eastAsia="Times New Roman" w:hAnsi="Arial" w:cs="Arial"/>
          <w:b/>
          <w:bCs/>
          <w:lang w:val="en-US"/>
        </w:rPr>
        <w:t>(Text with EEA relevance)</w:t>
      </w:r>
    </w:p>
    <w:p w:rsidR="005C560D" w:rsidRPr="005C560D" w:rsidRDefault="005C560D" w:rsidP="005C560D">
      <w:pPr>
        <w:widowControl w:val="0"/>
        <w:kinsoku w:val="0"/>
        <w:overflowPunct w:val="0"/>
        <w:spacing w:before="832" w:line="245" w:lineRule="exact"/>
        <w:ind w:left="72"/>
        <w:jc w:val="left"/>
        <w:textAlignment w:val="baseline"/>
        <w:rPr>
          <w:rFonts w:ascii="Arial" w:eastAsia="Times New Roman" w:hAnsi="Arial" w:cs="Arial"/>
          <w:lang w:val="en-US"/>
        </w:rPr>
      </w:pPr>
      <w:r w:rsidRPr="005C560D">
        <w:rPr>
          <w:rFonts w:ascii="Arial" w:eastAsia="Times New Roman" w:hAnsi="Arial" w:cs="Arial"/>
          <w:lang w:val="en-US"/>
        </w:rPr>
        <w:t>THE EUROPEAN COMMISSION,</w:t>
      </w:r>
    </w:p>
    <w:p w:rsidR="005C560D" w:rsidRPr="005C560D" w:rsidRDefault="005C560D" w:rsidP="005C560D">
      <w:pPr>
        <w:widowControl w:val="0"/>
        <w:kinsoku w:val="0"/>
        <w:overflowPunct w:val="0"/>
        <w:spacing w:before="302" w:line="245" w:lineRule="exact"/>
        <w:ind w:left="72"/>
        <w:jc w:val="left"/>
        <w:textAlignment w:val="baseline"/>
        <w:rPr>
          <w:rFonts w:ascii="Arial" w:eastAsia="Times New Roman" w:hAnsi="Arial" w:cs="Arial"/>
          <w:lang w:val="en-US"/>
        </w:rPr>
      </w:pPr>
      <w:r w:rsidRPr="005C560D">
        <w:rPr>
          <w:rFonts w:ascii="Arial" w:eastAsia="Times New Roman" w:hAnsi="Arial" w:cs="Arial"/>
          <w:lang w:val="en-US"/>
        </w:rPr>
        <w:t>Having regard to the Treaty on the Functioning of the European Union,</w:t>
      </w:r>
    </w:p>
    <w:p w:rsidR="005C560D" w:rsidRPr="005C560D" w:rsidRDefault="005C560D" w:rsidP="005C560D">
      <w:pPr>
        <w:widowControl w:val="0"/>
        <w:kinsoku w:val="0"/>
        <w:overflowPunct w:val="0"/>
        <w:spacing w:before="250" w:line="291" w:lineRule="exact"/>
        <w:ind w:left="72" w:right="72"/>
        <w:textAlignment w:val="baseline"/>
        <w:rPr>
          <w:rFonts w:ascii="Arial" w:eastAsia="Times New Roman" w:hAnsi="Arial" w:cs="Arial"/>
          <w:lang w:val="en-US"/>
        </w:rPr>
      </w:pPr>
      <w:r w:rsidRPr="005C560D">
        <w:rPr>
          <w:rFonts w:ascii="Arial" w:eastAsia="Times New Roman" w:hAnsi="Arial" w:cs="Arial"/>
          <w:lang w:val="en-US"/>
        </w:rPr>
        <w:t>Having regard to Directive 2014/65/EU of the European Parliament and of the Council of 15 May 2014 on markets in financial instruments and amending Directive 2002/92/EC and Directive 2011/61/EU</w:t>
      </w:r>
      <w:r w:rsidR="00E44A09">
        <w:rPr>
          <w:rStyle w:val="FootnoteReference"/>
          <w:rFonts w:ascii="Arial" w:eastAsia="Times New Roman" w:hAnsi="Arial" w:cs="Arial"/>
          <w:lang w:val="en-US"/>
        </w:rPr>
        <w:footnoteReference w:id="1"/>
      </w:r>
      <w:r w:rsidRPr="005C560D">
        <w:rPr>
          <w:rFonts w:ascii="Arial" w:eastAsia="Times New Roman" w:hAnsi="Arial" w:cs="Arial"/>
          <w:lang w:val="en-US"/>
        </w:rPr>
        <w:t>, and in particular the third subparagraph of Articles 34(8) and the third subparagraph of Article 35(11) thereof,</w:t>
      </w:r>
    </w:p>
    <w:p w:rsidR="005C560D" w:rsidRPr="005C560D" w:rsidRDefault="005C560D" w:rsidP="005C560D">
      <w:pPr>
        <w:widowControl w:val="0"/>
        <w:kinsoku w:val="0"/>
        <w:overflowPunct w:val="0"/>
        <w:spacing w:before="291" w:line="245" w:lineRule="exact"/>
        <w:ind w:left="72"/>
        <w:jc w:val="left"/>
        <w:textAlignment w:val="baseline"/>
        <w:rPr>
          <w:rFonts w:ascii="Arial" w:eastAsia="Times New Roman" w:hAnsi="Arial" w:cs="Arial"/>
          <w:spacing w:val="-2"/>
          <w:lang w:val="en-US"/>
        </w:rPr>
      </w:pPr>
      <w:r w:rsidRPr="005C560D">
        <w:rPr>
          <w:rFonts w:ascii="Arial" w:eastAsia="Times New Roman" w:hAnsi="Arial" w:cs="Arial"/>
          <w:spacing w:val="-2"/>
          <w:lang w:val="en-US"/>
        </w:rPr>
        <w:t>Whereas:</w:t>
      </w:r>
    </w:p>
    <w:p w:rsidR="005C560D" w:rsidRPr="005C560D" w:rsidRDefault="005C560D" w:rsidP="005C560D">
      <w:pPr>
        <w:widowControl w:val="0"/>
        <w:numPr>
          <w:ilvl w:val="0"/>
          <w:numId w:val="27"/>
        </w:numPr>
        <w:kinsoku w:val="0"/>
        <w:overflowPunct w:val="0"/>
        <w:autoSpaceDE w:val="0"/>
        <w:autoSpaceDN w:val="0"/>
        <w:adjustRightInd w:val="0"/>
        <w:spacing w:before="254" w:line="291"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It is important to specify the information that investment firms, market operators and, where foreseen, credit institutions should notify to the competent authorities of their home Member State in the event that they wish to provide investment services or perform investment activities as well as ancillary services in another Member State, in order to establish uniform information requirements and to benefit from the possibility to provide services throughout the Union.</w:t>
      </w:r>
    </w:p>
    <w:p w:rsidR="005C560D" w:rsidRPr="005C560D" w:rsidRDefault="005C560D" w:rsidP="00E44A09">
      <w:pPr>
        <w:widowControl w:val="0"/>
        <w:numPr>
          <w:ilvl w:val="0"/>
          <w:numId w:val="27"/>
        </w:numPr>
        <w:kinsoku w:val="0"/>
        <w:overflowPunct w:val="0"/>
        <w:autoSpaceDE w:val="0"/>
        <w:autoSpaceDN w:val="0"/>
        <w:adjustRightInd w:val="0"/>
        <w:spacing w:before="254" w:line="290" w:lineRule="exact"/>
        <w:ind w:left="652" w:right="74" w:hanging="578"/>
        <w:jc w:val="left"/>
        <w:textAlignment w:val="baseline"/>
        <w:rPr>
          <w:rFonts w:ascii="Arial" w:eastAsia="Times New Roman" w:hAnsi="Arial" w:cs="Arial"/>
          <w:lang w:val="en-US"/>
        </w:rPr>
      </w:pPr>
      <w:r w:rsidRPr="005C560D">
        <w:rPr>
          <w:rFonts w:ascii="Arial" w:eastAsia="Times New Roman" w:hAnsi="Arial" w:cs="Arial"/>
          <w:lang w:val="en-US"/>
        </w:rPr>
        <w:t>For the same reasons, it is also important to clarify the information that investment firms or market operators, operating a multilateral trading facility ("MTF"), or an organised trading facility ("OTF"), should submit in the event that they wish to facilitate, within the territory of another Member State, access to and trading on those systems by remote users, members or participants established in that other Member State.</w:t>
      </w:r>
    </w:p>
    <w:p w:rsidR="005C560D" w:rsidRPr="005C560D" w:rsidRDefault="005C560D" w:rsidP="00E44A09">
      <w:pPr>
        <w:widowControl w:val="0"/>
        <w:numPr>
          <w:ilvl w:val="0"/>
          <w:numId w:val="27"/>
        </w:numPr>
        <w:kinsoku w:val="0"/>
        <w:overflowPunct w:val="0"/>
        <w:autoSpaceDE w:val="0"/>
        <w:autoSpaceDN w:val="0"/>
        <w:adjustRightInd w:val="0"/>
        <w:spacing w:before="254" w:after="178" w:line="290" w:lineRule="exact"/>
        <w:ind w:left="658" w:right="72" w:hanging="574"/>
        <w:jc w:val="left"/>
        <w:textAlignment w:val="baseline"/>
        <w:rPr>
          <w:rFonts w:ascii="Arial" w:eastAsia="Times New Roman" w:hAnsi="Arial" w:cs="Arial"/>
          <w:sz w:val="16"/>
          <w:szCs w:val="16"/>
          <w:lang w:val="en-US"/>
        </w:rPr>
      </w:pPr>
      <w:r w:rsidRPr="005C560D">
        <w:rPr>
          <w:rFonts w:ascii="Arial" w:eastAsia="Times New Roman" w:hAnsi="Arial" w:cs="Arial"/>
          <w:lang w:val="en-US"/>
        </w:rPr>
        <w:t>Competent authorities of home and host Member States should receive updated information in case of any change in the particulars of a passport notification, including</w:t>
      </w:r>
      <w:r w:rsidR="00E44A09" w:rsidRPr="00E44A09">
        <w:rPr>
          <w:rFonts w:ascii="Arial" w:eastAsia="Times New Roman" w:hAnsi="Arial" w:cs="Arial"/>
          <w:lang w:val="en-US"/>
        </w:rPr>
        <w:t xml:space="preserve"> </w:t>
      </w:r>
    </w:p>
    <w:p w:rsidR="005C560D" w:rsidRPr="005C560D" w:rsidRDefault="005C560D" w:rsidP="00E44A09">
      <w:pPr>
        <w:autoSpaceDE w:val="0"/>
        <w:autoSpaceDN w:val="0"/>
        <w:adjustRightInd w:val="0"/>
        <w:spacing w:before="254" w:line="290" w:lineRule="exact"/>
        <w:jc w:val="left"/>
        <w:rPr>
          <w:rFonts w:ascii="Times New Roman" w:eastAsia="Times New Roman" w:hAnsi="Times New Roman"/>
          <w:sz w:val="24"/>
          <w:szCs w:val="24"/>
          <w:lang w:val="en-US"/>
        </w:rPr>
        <w:sectPr w:rsidR="005C560D" w:rsidRPr="005C560D">
          <w:headerReference w:type="default" r:id="rId9"/>
          <w:pgSz w:w="11904" w:h="16843"/>
          <w:pgMar w:top="720" w:right="1327" w:bottom="806" w:left="1331" w:header="720" w:footer="720" w:gutter="0"/>
          <w:cols w:space="720"/>
          <w:noEndnote/>
        </w:sectPr>
      </w:pPr>
    </w:p>
    <w:p w:rsidR="005C560D" w:rsidRPr="005C560D" w:rsidRDefault="005C560D" w:rsidP="005C560D">
      <w:pPr>
        <w:widowControl w:val="0"/>
        <w:kinsoku w:val="0"/>
        <w:overflowPunct w:val="0"/>
        <w:spacing w:line="338" w:lineRule="exact"/>
        <w:ind w:left="288" w:right="72"/>
        <w:jc w:val="left"/>
        <w:textAlignment w:val="baseline"/>
        <w:rPr>
          <w:rFonts w:ascii="Arial" w:eastAsia="Times New Roman" w:hAnsi="Arial" w:cs="Arial"/>
          <w:b/>
          <w:bCs/>
          <w:color w:val="6C7DAF"/>
          <w:spacing w:val="-1"/>
          <w:sz w:val="26"/>
          <w:szCs w:val="26"/>
          <w:lang w:val="en-US"/>
        </w:rPr>
      </w:pPr>
      <w:r>
        <w:rPr>
          <w:rFonts w:ascii="Times New Roman" w:eastAsia="Times New Roman" w:hAnsi="Times New Roman"/>
          <w:noProof/>
          <w:sz w:val="20"/>
          <w:szCs w:val="20"/>
        </w:rPr>
        <w:lastRenderedPageBreak/>
        <mc:AlternateContent>
          <mc:Choice Requires="wps">
            <w:drawing>
              <wp:anchor distT="0" distB="0" distL="0" distR="0" simplePos="0" relativeHeight="251661312" behindDoc="0" locked="0" layoutInCell="0" allowOverlap="1" wp14:anchorId="66DA7891" wp14:editId="665041A4">
                <wp:simplePos x="0" y="0"/>
                <wp:positionH relativeFrom="page">
                  <wp:posOffset>1593850</wp:posOffset>
                </wp:positionH>
                <wp:positionV relativeFrom="page">
                  <wp:posOffset>460375</wp:posOffset>
                </wp:positionV>
                <wp:extent cx="0" cy="564515"/>
                <wp:effectExtent l="12700" t="12700" r="15875" b="13335"/>
                <wp:wrapSquare wrapText="bothSides"/>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1524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5.5pt,36.25pt" to="125.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" o:allowincell="f" strokecolor="#283583" strokeweight="1.2pt">
                <w10:wrap type="square" anchorx="page" anchory="page"/>
              </v:line>
            </w:pict>
          </mc:Fallback>
        </mc:AlternateContent>
      </w:r>
    </w:p>
    <w:p w:rsidR="005C560D" w:rsidRPr="005C560D" w:rsidRDefault="005C560D" w:rsidP="00E44A09">
      <w:pPr>
        <w:widowControl w:val="0"/>
        <w:kinsoku w:val="0"/>
        <w:overflowPunct w:val="0"/>
        <w:spacing w:before="834" w:line="291" w:lineRule="exact"/>
        <w:ind w:left="576" w:right="72"/>
        <w:textAlignment w:val="baseline"/>
        <w:rPr>
          <w:rFonts w:ascii="Arial" w:eastAsia="Times New Roman" w:hAnsi="Arial" w:cs="Arial"/>
          <w:bCs/>
          <w:lang w:val="en-US"/>
        </w:rPr>
      </w:pPr>
      <w:r w:rsidRPr="005C560D">
        <w:rPr>
          <w:rFonts w:ascii="Arial" w:eastAsia="Times New Roman" w:hAnsi="Arial" w:cs="Arial"/>
          <w:bCs/>
          <w:lang w:val="en-US"/>
        </w:rPr>
        <w:t>any withdrawal or cancellation of the authorisation to provide investment services and activities. Such information should ensure those competent authorities are able to</w:t>
      </w:r>
      <w:r w:rsidR="00E44A09">
        <w:rPr>
          <w:rFonts w:ascii="Arial" w:eastAsia="Times New Roman" w:hAnsi="Arial" w:cs="Arial"/>
          <w:bCs/>
          <w:lang w:val="en-US"/>
        </w:rPr>
        <w:t xml:space="preserve"> </w:t>
      </w:r>
      <w:r w:rsidRPr="005C560D">
        <w:rPr>
          <w:rFonts w:ascii="Arial" w:eastAsia="Times New Roman" w:hAnsi="Arial" w:cs="Arial"/>
          <w:bCs/>
          <w:lang w:val="en-US"/>
        </w:rPr>
        <w:t>make an informed decision that is consistent with their powers and responsibilities.</w:t>
      </w:r>
    </w:p>
    <w:p w:rsidR="005C560D" w:rsidRPr="005C560D" w:rsidRDefault="005C560D" w:rsidP="005C560D">
      <w:pPr>
        <w:widowControl w:val="0"/>
        <w:numPr>
          <w:ilvl w:val="0"/>
          <w:numId w:val="28"/>
        </w:numPr>
        <w:kinsoku w:val="0"/>
        <w:overflowPunct w:val="0"/>
        <w:autoSpaceDE w:val="0"/>
        <w:autoSpaceDN w:val="0"/>
        <w:adjustRightInd w:val="0"/>
        <w:spacing w:before="246" w:line="291"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Changes to the name, address and contact details of investment firms in the home Member State are to be considered relevant and should therefore be notified as a change of branch particulars notification or as a change of tied agent particulars notification.</w:t>
      </w:r>
    </w:p>
    <w:p w:rsidR="005C560D" w:rsidRPr="005C560D" w:rsidRDefault="005C560D" w:rsidP="005C560D">
      <w:pPr>
        <w:widowControl w:val="0"/>
        <w:numPr>
          <w:ilvl w:val="0"/>
          <w:numId w:val="28"/>
        </w:numPr>
        <w:kinsoku w:val="0"/>
        <w:overflowPunct w:val="0"/>
        <w:autoSpaceDE w:val="0"/>
        <w:autoSpaceDN w:val="0"/>
        <w:adjustRightInd w:val="0"/>
        <w:spacing w:before="254" w:line="291" w:lineRule="exact"/>
        <w:ind w:right="72"/>
        <w:jc w:val="left"/>
        <w:textAlignment w:val="baseline"/>
        <w:rPr>
          <w:rFonts w:ascii="Arial" w:eastAsia="Times New Roman" w:hAnsi="Arial" w:cs="Arial"/>
          <w:bCs/>
          <w:spacing w:val="-7"/>
          <w:lang w:val="en-US"/>
        </w:rPr>
      </w:pPr>
      <w:r w:rsidRPr="005C560D">
        <w:rPr>
          <w:rFonts w:ascii="Arial" w:eastAsia="Times New Roman" w:hAnsi="Arial" w:cs="Arial"/>
          <w:bCs/>
          <w:spacing w:val="-7"/>
          <w:lang w:val="en-US"/>
        </w:rPr>
        <w:t>It is important for competent authorities of the home and host Member State to cooperate in addressing the threat of money laundering. This Regulation, and in particular the communication of the investment firm's programme of operations, should facilitate the assessment and supervision by the competent authority of the host Member State of the adequacy of the systems and controls to prevent money laundering and terrorist financing of a branch established in its territory, including the skill, knowledge and good character of its money laundering reporting officer.</w:t>
      </w:r>
    </w:p>
    <w:p w:rsidR="005C560D" w:rsidRPr="005C560D" w:rsidRDefault="005C560D" w:rsidP="005C560D">
      <w:pPr>
        <w:widowControl w:val="0"/>
        <w:numPr>
          <w:ilvl w:val="0"/>
          <w:numId w:val="28"/>
        </w:numPr>
        <w:kinsoku w:val="0"/>
        <w:overflowPunct w:val="0"/>
        <w:autoSpaceDE w:val="0"/>
        <w:autoSpaceDN w:val="0"/>
        <w:adjustRightInd w:val="0"/>
        <w:spacing w:before="247" w:line="291" w:lineRule="exact"/>
        <w:ind w:right="72"/>
        <w:jc w:val="left"/>
        <w:textAlignment w:val="baseline"/>
        <w:rPr>
          <w:rFonts w:ascii="Arial" w:eastAsia="Times New Roman" w:hAnsi="Arial" w:cs="Arial"/>
          <w:bCs/>
          <w:spacing w:val="-6"/>
          <w:lang w:val="en-US"/>
        </w:rPr>
      </w:pPr>
      <w:r w:rsidRPr="005C560D">
        <w:rPr>
          <w:rFonts w:ascii="Arial" w:eastAsia="Times New Roman" w:hAnsi="Arial" w:cs="Arial"/>
          <w:bCs/>
          <w:spacing w:val="-6"/>
          <w:lang w:val="en-US"/>
        </w:rPr>
        <w:t>The provisions in this Regulation are closely linked, since they deal with notifications related to the exercise of the freedom to provide investment services and activities and the exercise of the right of establishment that apply to investment firms, market operators and, where foreseen, credit institutions. To ensure coherence between those provisions, which should enter into force at the same time, and to facilitate a comprehensive view and compact access to them by persons subject to those obligations, it is desirable to include the regulatory technical standards for notification of information required by Title II, Chapter III of Directive 2014/65/EU in a single Regulation.</w:t>
      </w:r>
    </w:p>
    <w:p w:rsidR="005C560D" w:rsidRPr="005C560D" w:rsidRDefault="005C560D" w:rsidP="005C560D">
      <w:pPr>
        <w:widowControl w:val="0"/>
        <w:numPr>
          <w:ilvl w:val="0"/>
          <w:numId w:val="28"/>
        </w:numPr>
        <w:kinsoku w:val="0"/>
        <w:overflowPunct w:val="0"/>
        <w:autoSpaceDE w:val="0"/>
        <w:autoSpaceDN w:val="0"/>
        <w:adjustRightInd w:val="0"/>
        <w:spacing w:before="249" w:line="291"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The application of this Regulation shall be deferred in order to align its date of application with the date prescribed for the application of Directive 2014/65/EU of the European Parliament and of the Council of 15 May 2014 in Article 93(2) of said Directive.</w:t>
      </w:r>
    </w:p>
    <w:p w:rsidR="005C560D" w:rsidRPr="005C560D" w:rsidRDefault="005C560D" w:rsidP="005C560D">
      <w:pPr>
        <w:widowControl w:val="0"/>
        <w:numPr>
          <w:ilvl w:val="0"/>
          <w:numId w:val="28"/>
        </w:numPr>
        <w:kinsoku w:val="0"/>
        <w:overflowPunct w:val="0"/>
        <w:autoSpaceDE w:val="0"/>
        <w:autoSpaceDN w:val="0"/>
        <w:adjustRightInd w:val="0"/>
        <w:spacing w:before="249" w:line="291"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This Regulation is based on the draft regulatory technical standards submitted by ESMA to the Commission.</w:t>
      </w:r>
    </w:p>
    <w:p w:rsidR="005C560D" w:rsidRPr="005C560D" w:rsidRDefault="005C560D" w:rsidP="005C560D">
      <w:pPr>
        <w:widowControl w:val="0"/>
        <w:numPr>
          <w:ilvl w:val="0"/>
          <w:numId w:val="28"/>
        </w:numPr>
        <w:kinsoku w:val="0"/>
        <w:overflowPunct w:val="0"/>
        <w:autoSpaceDE w:val="0"/>
        <w:autoSpaceDN w:val="0"/>
        <w:adjustRightInd w:val="0"/>
        <w:spacing w:before="252" w:after="403" w:line="291"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In accordance with Article 10 of Regulation (EU) No 1095/2010 of the European Parliament and of the Council</w:t>
      </w:r>
      <w:r w:rsidR="00E44A09">
        <w:rPr>
          <w:rStyle w:val="FootnoteReference"/>
          <w:rFonts w:ascii="Arial" w:eastAsia="Times New Roman" w:hAnsi="Arial" w:cs="Arial"/>
          <w:bCs/>
          <w:lang w:val="en-US"/>
        </w:rPr>
        <w:footnoteReference w:id="2"/>
      </w:r>
      <w:r w:rsidRPr="005C560D">
        <w:rPr>
          <w:rFonts w:ascii="Arial" w:eastAsia="Times New Roman" w:hAnsi="Arial" w:cs="Arial"/>
          <w:bCs/>
          <w:vertAlign w:val="superscript"/>
          <w:lang w:val="en-US"/>
        </w:rPr>
        <w:t>2</w:t>
      </w:r>
      <w:r w:rsidRPr="005C560D">
        <w:rPr>
          <w:rFonts w:ascii="Arial" w:eastAsia="Times New Roman" w:hAnsi="Arial" w:cs="Arial"/>
          <w:bCs/>
          <w:lang w:val="en-US"/>
        </w:rPr>
        <w:t>, the European Securities and Markets Authority (ESMA) has conducted open public consultations on such draft regulatory technical standards, analysed the potential related costs and benefits and requested the opinion of the Securities and Markets Stakeholder Group established in accordance with Article 37 of that Regulation.</w:t>
      </w:r>
    </w:p>
    <w:p w:rsidR="005C560D" w:rsidRPr="005C560D" w:rsidRDefault="005C560D" w:rsidP="005C560D">
      <w:pPr>
        <w:widowControl w:val="0"/>
        <w:kinsoku w:val="0"/>
        <w:overflowPunct w:val="0"/>
        <w:spacing w:before="885" w:line="251" w:lineRule="exact"/>
        <w:ind w:left="72"/>
        <w:jc w:val="left"/>
        <w:textAlignment w:val="baseline"/>
        <w:rPr>
          <w:rFonts w:eastAsia="Times New Roman" w:cstheme="minorHAnsi"/>
          <w:spacing w:val="-1"/>
          <w:lang w:val="en-US"/>
        </w:rPr>
      </w:pPr>
      <w:r w:rsidRPr="005C560D">
        <w:rPr>
          <w:rFonts w:eastAsia="Times New Roman" w:cstheme="minorHAnsi"/>
          <w:spacing w:val="-1"/>
          <w:lang w:val="en-US"/>
        </w:rPr>
        <w:lastRenderedPageBreak/>
        <w:t>HAS ADOPTED THIS REGULATION:</w:t>
      </w:r>
    </w:p>
    <w:p w:rsidR="005C560D" w:rsidRPr="005C560D" w:rsidRDefault="005C560D" w:rsidP="005C560D">
      <w:pPr>
        <w:widowControl w:val="0"/>
        <w:kinsoku w:val="0"/>
        <w:overflowPunct w:val="0"/>
        <w:spacing w:before="235" w:line="298" w:lineRule="exact"/>
        <w:ind w:left="72"/>
        <w:jc w:val="center"/>
        <w:textAlignment w:val="baseline"/>
        <w:rPr>
          <w:rFonts w:eastAsia="Times New Roman" w:cstheme="minorHAnsi"/>
          <w:b/>
          <w:bCs/>
          <w:lang w:val="en-US"/>
        </w:rPr>
      </w:pPr>
      <w:r w:rsidRPr="005C560D">
        <w:rPr>
          <w:rFonts w:eastAsia="Times New Roman" w:cstheme="minorHAnsi"/>
          <w:lang w:val="en-US"/>
        </w:rPr>
        <w:t>Article 1</w:t>
      </w:r>
      <w:r w:rsidRPr="005C560D">
        <w:rPr>
          <w:rFonts w:eastAsia="Times New Roman" w:cstheme="minorHAnsi"/>
          <w:lang w:val="en-US"/>
        </w:rPr>
        <w:br/>
      </w:r>
      <w:r w:rsidRPr="005C560D">
        <w:rPr>
          <w:rFonts w:eastAsia="Times New Roman" w:cstheme="minorHAnsi"/>
          <w:b/>
          <w:bCs/>
          <w:lang w:val="en-US"/>
        </w:rPr>
        <w:t>Scope</w:t>
      </w:r>
    </w:p>
    <w:p w:rsidR="005C560D" w:rsidRPr="005C560D" w:rsidRDefault="005C560D" w:rsidP="00E44A09">
      <w:pPr>
        <w:widowControl w:val="0"/>
        <w:numPr>
          <w:ilvl w:val="0"/>
          <w:numId w:val="29"/>
        </w:numPr>
        <w:tabs>
          <w:tab w:val="clear" w:pos="720"/>
          <w:tab w:val="num" w:pos="644"/>
        </w:tabs>
        <w:kinsoku w:val="0"/>
        <w:overflowPunct w:val="0"/>
        <w:autoSpaceDE w:val="0"/>
        <w:autoSpaceDN w:val="0"/>
        <w:adjustRightInd w:val="0"/>
        <w:spacing w:before="255" w:line="288" w:lineRule="exact"/>
        <w:ind w:right="72"/>
        <w:jc w:val="left"/>
        <w:textAlignment w:val="baseline"/>
        <w:rPr>
          <w:rFonts w:eastAsia="Times New Roman" w:cstheme="minorHAnsi"/>
          <w:lang w:val="en-US"/>
        </w:rPr>
      </w:pPr>
      <w:r w:rsidRPr="005C560D">
        <w:rPr>
          <w:rFonts w:eastAsia="Times New Roman" w:cstheme="minorHAnsi"/>
          <w:lang w:val="en-US"/>
        </w:rPr>
        <w:t>This Regulation shall apply to investment firms and market operators operating an MTF or an OTF.</w:t>
      </w:r>
    </w:p>
    <w:p w:rsidR="005C560D" w:rsidRPr="005C560D" w:rsidRDefault="005C560D" w:rsidP="00E44A09">
      <w:pPr>
        <w:widowControl w:val="0"/>
        <w:numPr>
          <w:ilvl w:val="0"/>
          <w:numId w:val="29"/>
        </w:numPr>
        <w:tabs>
          <w:tab w:val="clear" w:pos="720"/>
          <w:tab w:val="num" w:pos="658"/>
        </w:tabs>
        <w:kinsoku w:val="0"/>
        <w:overflowPunct w:val="0"/>
        <w:autoSpaceDE w:val="0"/>
        <w:autoSpaceDN w:val="0"/>
        <w:adjustRightInd w:val="0"/>
        <w:spacing w:before="261" w:line="290" w:lineRule="exact"/>
        <w:ind w:right="32"/>
        <w:jc w:val="left"/>
        <w:textAlignment w:val="baseline"/>
        <w:rPr>
          <w:rFonts w:eastAsia="Times New Roman" w:cstheme="minorHAnsi"/>
          <w:lang w:val="en-US"/>
        </w:rPr>
      </w:pPr>
      <w:r w:rsidRPr="005C560D">
        <w:rPr>
          <w:rFonts w:eastAsia="Times New Roman" w:cstheme="minorHAnsi"/>
          <w:lang w:val="en-US"/>
        </w:rPr>
        <w:t>This Regulation shall also apply to credit institutions, authorised under Directive 2013/36/EU of the European Parliament and of the Council , which provide one or more investment services or perform investment activities, and wish to use tied agents under the following rights:</w:t>
      </w:r>
    </w:p>
    <w:p w:rsidR="005C560D" w:rsidRPr="005C560D" w:rsidRDefault="005C560D" w:rsidP="00E44A09">
      <w:pPr>
        <w:widowControl w:val="0"/>
        <w:numPr>
          <w:ilvl w:val="0"/>
          <w:numId w:val="30"/>
        </w:numPr>
        <w:kinsoku w:val="0"/>
        <w:overflowPunct w:val="0"/>
        <w:autoSpaceDE w:val="0"/>
        <w:autoSpaceDN w:val="0"/>
        <w:adjustRightInd w:val="0"/>
        <w:spacing w:before="248" w:line="291" w:lineRule="exact"/>
        <w:ind w:right="32"/>
        <w:jc w:val="left"/>
        <w:textAlignment w:val="baseline"/>
        <w:rPr>
          <w:rFonts w:eastAsia="Times New Roman" w:cstheme="minorHAnsi"/>
          <w:lang w:val="en-US"/>
        </w:rPr>
      </w:pPr>
      <w:r w:rsidRPr="005C560D">
        <w:rPr>
          <w:rFonts w:eastAsia="Times New Roman" w:cstheme="minorHAnsi"/>
          <w:lang w:val="en-US"/>
        </w:rPr>
        <w:t>the right of freedom to provide investment services and activities in accordance with Article 34(5) of Directive 2014/65/EU;</w:t>
      </w:r>
    </w:p>
    <w:p w:rsidR="005C560D" w:rsidRPr="005C560D" w:rsidRDefault="005C560D" w:rsidP="00E44A09">
      <w:pPr>
        <w:widowControl w:val="0"/>
        <w:numPr>
          <w:ilvl w:val="0"/>
          <w:numId w:val="30"/>
        </w:numPr>
        <w:kinsoku w:val="0"/>
        <w:overflowPunct w:val="0"/>
        <w:autoSpaceDE w:val="0"/>
        <w:autoSpaceDN w:val="0"/>
        <w:adjustRightInd w:val="0"/>
        <w:spacing w:before="255" w:line="286" w:lineRule="exact"/>
        <w:ind w:right="32"/>
        <w:jc w:val="left"/>
        <w:textAlignment w:val="baseline"/>
        <w:rPr>
          <w:rFonts w:eastAsia="Times New Roman" w:cstheme="minorHAnsi"/>
          <w:lang w:val="en-US"/>
        </w:rPr>
      </w:pPr>
      <w:r w:rsidRPr="005C560D">
        <w:rPr>
          <w:rFonts w:eastAsia="Times New Roman" w:cstheme="minorHAnsi"/>
          <w:lang w:val="en-US"/>
        </w:rPr>
        <w:t>the right of establishment in accordance with Article 35(7) of Directive 2014/65/EU.</w:t>
      </w:r>
    </w:p>
    <w:p w:rsidR="005C560D" w:rsidRPr="005C560D" w:rsidRDefault="005C560D" w:rsidP="005C560D">
      <w:pPr>
        <w:widowControl w:val="0"/>
        <w:kinsoku w:val="0"/>
        <w:overflowPunct w:val="0"/>
        <w:spacing w:before="243" w:line="293" w:lineRule="exact"/>
        <w:ind w:left="72"/>
        <w:jc w:val="center"/>
        <w:textAlignment w:val="baseline"/>
        <w:rPr>
          <w:rFonts w:eastAsia="Times New Roman" w:cstheme="minorHAnsi"/>
          <w:b/>
          <w:bCs/>
          <w:lang w:val="en-US"/>
        </w:rPr>
      </w:pPr>
      <w:r w:rsidRPr="005C560D">
        <w:rPr>
          <w:rFonts w:eastAsia="Times New Roman" w:cstheme="minorHAnsi"/>
          <w:lang w:val="en-US"/>
        </w:rPr>
        <w:t>Article 2</w:t>
      </w:r>
      <w:r w:rsidRPr="005C560D">
        <w:rPr>
          <w:rFonts w:eastAsia="Times New Roman" w:cstheme="minorHAnsi"/>
          <w:lang w:val="en-US"/>
        </w:rPr>
        <w:br/>
      </w:r>
      <w:r w:rsidRPr="005C560D">
        <w:rPr>
          <w:rFonts w:eastAsia="Times New Roman" w:cstheme="minorHAnsi"/>
          <w:b/>
          <w:bCs/>
          <w:lang w:val="en-US"/>
        </w:rPr>
        <w:t>Definitions</w:t>
      </w:r>
    </w:p>
    <w:p w:rsidR="005C560D" w:rsidRPr="005C560D" w:rsidRDefault="005C560D" w:rsidP="005C560D">
      <w:pPr>
        <w:widowControl w:val="0"/>
        <w:kinsoku w:val="0"/>
        <w:overflowPunct w:val="0"/>
        <w:spacing w:before="292" w:line="255" w:lineRule="exact"/>
        <w:ind w:left="72"/>
        <w:jc w:val="left"/>
        <w:textAlignment w:val="baseline"/>
        <w:rPr>
          <w:rFonts w:eastAsia="Times New Roman" w:cstheme="minorHAnsi"/>
          <w:lang w:val="en-US"/>
        </w:rPr>
      </w:pPr>
      <w:r w:rsidRPr="005C560D">
        <w:rPr>
          <w:rFonts w:eastAsia="Times New Roman" w:cstheme="minorHAnsi"/>
          <w:lang w:val="en-US"/>
        </w:rPr>
        <w:t>For the purposes of this Regulation, the following definitions shall apply:</w:t>
      </w:r>
    </w:p>
    <w:p w:rsidR="005C560D" w:rsidRPr="005C560D" w:rsidRDefault="005C560D" w:rsidP="005C560D">
      <w:pPr>
        <w:widowControl w:val="0"/>
        <w:numPr>
          <w:ilvl w:val="0"/>
          <w:numId w:val="31"/>
        </w:numPr>
        <w:kinsoku w:val="0"/>
        <w:overflowPunct w:val="0"/>
        <w:autoSpaceDE w:val="0"/>
        <w:autoSpaceDN w:val="0"/>
        <w:adjustRightInd w:val="0"/>
        <w:spacing w:before="253" w:line="290" w:lineRule="exact"/>
        <w:ind w:right="72"/>
        <w:jc w:val="left"/>
        <w:textAlignment w:val="baseline"/>
        <w:rPr>
          <w:rFonts w:eastAsia="Times New Roman" w:cstheme="minorHAnsi"/>
          <w:lang w:val="en-US"/>
        </w:rPr>
      </w:pPr>
      <w:r w:rsidRPr="005C560D">
        <w:rPr>
          <w:rFonts w:eastAsia="Times New Roman" w:cstheme="minorHAnsi"/>
          <w:lang w:val="en-US"/>
        </w:rPr>
        <w:t>"investment services and activities passport notification" means a notification made in accordance with Article 34(2) of Directive 2014/65/EU, or in accordance with Article 34(5) of Directive 2014/65/EU;</w:t>
      </w:r>
    </w:p>
    <w:p w:rsidR="005C560D" w:rsidRPr="005C560D" w:rsidRDefault="005C560D" w:rsidP="005C560D">
      <w:pPr>
        <w:widowControl w:val="0"/>
        <w:numPr>
          <w:ilvl w:val="0"/>
          <w:numId w:val="31"/>
        </w:numPr>
        <w:kinsoku w:val="0"/>
        <w:overflowPunct w:val="0"/>
        <w:autoSpaceDE w:val="0"/>
        <w:autoSpaceDN w:val="0"/>
        <w:adjustRightInd w:val="0"/>
        <w:spacing w:before="257" w:line="289" w:lineRule="exact"/>
        <w:ind w:right="72"/>
        <w:jc w:val="left"/>
        <w:textAlignment w:val="baseline"/>
        <w:rPr>
          <w:rFonts w:eastAsia="Times New Roman" w:cstheme="minorHAnsi"/>
          <w:lang w:val="en-US"/>
        </w:rPr>
      </w:pPr>
      <w:r w:rsidRPr="005C560D">
        <w:rPr>
          <w:rFonts w:eastAsia="Times New Roman" w:cstheme="minorHAnsi"/>
          <w:lang w:val="en-US"/>
        </w:rPr>
        <w:t>"branch passport notification" or "tied agent passport notification" means a notification made in accordance with Article 35(2) of Directive 2014/65/EU, or in accordance with Article 35(7) of Directive 2014/65/EU;</w:t>
      </w:r>
    </w:p>
    <w:p w:rsidR="005C560D" w:rsidRPr="005C560D" w:rsidRDefault="005C560D" w:rsidP="005C560D">
      <w:pPr>
        <w:widowControl w:val="0"/>
        <w:numPr>
          <w:ilvl w:val="0"/>
          <w:numId w:val="31"/>
        </w:numPr>
        <w:kinsoku w:val="0"/>
        <w:overflowPunct w:val="0"/>
        <w:autoSpaceDE w:val="0"/>
        <w:autoSpaceDN w:val="0"/>
        <w:adjustRightInd w:val="0"/>
        <w:spacing w:before="254" w:line="288" w:lineRule="exact"/>
        <w:ind w:right="72"/>
        <w:jc w:val="left"/>
        <w:textAlignment w:val="baseline"/>
        <w:rPr>
          <w:rFonts w:eastAsia="Times New Roman" w:cstheme="minorHAnsi"/>
          <w:lang w:val="en-US"/>
        </w:rPr>
      </w:pPr>
      <w:r w:rsidRPr="005C560D">
        <w:rPr>
          <w:rFonts w:eastAsia="Times New Roman" w:cstheme="minorHAnsi"/>
          <w:lang w:val="en-US"/>
        </w:rPr>
        <w:t>"notification for the provision of arrangements to facilitate access to an MTF or an OTF" means a notification made in accordance with Article 34(7) of Directive 2014/65/EU.</w:t>
      </w:r>
    </w:p>
    <w:p w:rsidR="005C560D" w:rsidRPr="005C560D" w:rsidRDefault="005C560D" w:rsidP="005C560D">
      <w:pPr>
        <w:widowControl w:val="0"/>
        <w:numPr>
          <w:ilvl w:val="0"/>
          <w:numId w:val="32"/>
        </w:numPr>
        <w:kinsoku w:val="0"/>
        <w:overflowPunct w:val="0"/>
        <w:autoSpaceDE w:val="0"/>
        <w:autoSpaceDN w:val="0"/>
        <w:adjustRightInd w:val="0"/>
        <w:spacing w:before="253" w:line="290" w:lineRule="exact"/>
        <w:ind w:right="72"/>
        <w:jc w:val="left"/>
        <w:textAlignment w:val="baseline"/>
        <w:rPr>
          <w:rFonts w:eastAsia="Times New Roman" w:cstheme="minorHAnsi"/>
          <w:lang w:val="en-US"/>
        </w:rPr>
      </w:pPr>
      <w:r w:rsidRPr="005C560D">
        <w:rPr>
          <w:rFonts w:eastAsia="Times New Roman" w:cstheme="minorHAnsi"/>
          <w:lang w:val="en-US"/>
        </w:rPr>
        <w:t>"passport notification" means an investment services and activities passport notification, a branch passport notification, tied agent passport notification, or a notification for the provision of arrangements to facilitate access to an MTF or an OTF.</w:t>
      </w:r>
    </w:p>
    <w:p w:rsidR="005C560D" w:rsidRPr="005C560D" w:rsidRDefault="005C560D" w:rsidP="005C560D">
      <w:pPr>
        <w:widowControl w:val="0"/>
        <w:kinsoku w:val="0"/>
        <w:overflowPunct w:val="0"/>
        <w:spacing w:before="288" w:line="251" w:lineRule="exact"/>
        <w:ind w:left="72"/>
        <w:jc w:val="center"/>
        <w:textAlignment w:val="baseline"/>
        <w:rPr>
          <w:rFonts w:eastAsia="Times New Roman" w:cstheme="minorHAnsi"/>
          <w:lang w:val="en-US"/>
        </w:rPr>
      </w:pPr>
      <w:r w:rsidRPr="005C560D">
        <w:rPr>
          <w:rFonts w:eastAsia="Times New Roman" w:cstheme="minorHAnsi"/>
          <w:lang w:val="en-US"/>
        </w:rPr>
        <w:t>Article 3</w:t>
      </w:r>
    </w:p>
    <w:p w:rsidR="005C560D" w:rsidRPr="005C560D" w:rsidRDefault="005C560D" w:rsidP="005C560D">
      <w:pPr>
        <w:widowControl w:val="0"/>
        <w:kinsoku w:val="0"/>
        <w:overflowPunct w:val="0"/>
        <w:spacing w:line="292" w:lineRule="exact"/>
        <w:ind w:left="72"/>
        <w:jc w:val="center"/>
        <w:textAlignment w:val="baseline"/>
        <w:rPr>
          <w:rFonts w:eastAsia="Times New Roman" w:cstheme="minorHAnsi"/>
          <w:b/>
          <w:bCs/>
          <w:lang w:val="en-US"/>
        </w:rPr>
      </w:pPr>
      <w:r w:rsidRPr="005C560D">
        <w:rPr>
          <w:rFonts w:eastAsia="Times New Roman" w:cstheme="minorHAnsi"/>
          <w:b/>
          <w:bCs/>
          <w:lang w:val="en-US"/>
        </w:rPr>
        <w:t>Information to be notified for the purposes of the investment services and activities</w:t>
      </w:r>
      <w:r w:rsidR="00E44A09">
        <w:rPr>
          <w:rFonts w:eastAsia="Times New Roman" w:cstheme="minorHAnsi"/>
          <w:b/>
          <w:bCs/>
          <w:lang w:val="en-US"/>
        </w:rPr>
        <w:t xml:space="preserve"> </w:t>
      </w:r>
      <w:r w:rsidRPr="005C560D">
        <w:rPr>
          <w:rFonts w:eastAsia="Times New Roman" w:cstheme="minorHAnsi"/>
          <w:b/>
          <w:bCs/>
          <w:lang w:val="en-US"/>
        </w:rPr>
        <w:t>passport notification</w:t>
      </w:r>
    </w:p>
    <w:p w:rsidR="005C560D" w:rsidRPr="005C560D" w:rsidRDefault="005C560D" w:rsidP="005D2327">
      <w:pPr>
        <w:widowControl w:val="0"/>
        <w:tabs>
          <w:tab w:val="left" w:pos="630"/>
        </w:tabs>
        <w:kinsoku w:val="0"/>
        <w:overflowPunct w:val="0"/>
        <w:spacing w:before="254" w:line="290" w:lineRule="exact"/>
        <w:ind w:left="669" w:hanging="573"/>
        <w:jc w:val="left"/>
        <w:textAlignment w:val="baseline"/>
        <w:rPr>
          <w:rFonts w:eastAsia="Times New Roman" w:cstheme="minorHAnsi"/>
          <w:lang w:val="en-US"/>
        </w:rPr>
      </w:pPr>
      <w:r w:rsidRPr="005C560D">
        <w:rPr>
          <w:rFonts w:eastAsia="Times New Roman" w:cstheme="minorHAnsi"/>
          <w:lang w:val="en-US"/>
        </w:rPr>
        <w:t>1.</w:t>
      </w:r>
      <w:r w:rsidRPr="005C560D">
        <w:rPr>
          <w:rFonts w:eastAsia="Times New Roman" w:cstheme="minorHAnsi"/>
          <w:lang w:val="en-US"/>
        </w:rPr>
        <w:tab/>
        <w:t>Investment firms shall ensure that the investment services and activities passport</w:t>
      </w:r>
      <w:r w:rsidR="00E44A09">
        <w:rPr>
          <w:rFonts w:eastAsia="Times New Roman" w:cstheme="minorHAnsi"/>
          <w:lang w:val="en-US"/>
        </w:rPr>
        <w:t xml:space="preserve"> </w:t>
      </w:r>
      <w:r w:rsidRPr="005C560D">
        <w:rPr>
          <w:rFonts w:eastAsia="Times New Roman" w:cstheme="minorHAnsi"/>
          <w:lang w:val="en-US"/>
        </w:rPr>
        <w:t>notification submitted pursuant to Article 34(2) of Directive 2014/65/EU includes the following information:</w:t>
      </w:r>
    </w:p>
    <w:p w:rsidR="005C560D" w:rsidRPr="005C560D" w:rsidRDefault="005C560D" w:rsidP="005C560D">
      <w:pPr>
        <w:autoSpaceDE w:val="0"/>
        <w:autoSpaceDN w:val="0"/>
        <w:adjustRightInd w:val="0"/>
        <w:jc w:val="left"/>
        <w:rPr>
          <w:rFonts w:ascii="Times New Roman" w:eastAsia="Times New Roman" w:hAnsi="Times New Roman"/>
          <w:sz w:val="24"/>
          <w:szCs w:val="24"/>
          <w:lang w:val="en-US"/>
        </w:rPr>
        <w:sectPr w:rsidR="005C560D" w:rsidRPr="005C560D">
          <w:pgSz w:w="11904" w:h="16843"/>
          <w:pgMar w:top="560" w:right="1319" w:bottom="822" w:left="1339" w:header="720" w:footer="720" w:gutter="0"/>
          <w:cols w:space="720"/>
          <w:noEndnote/>
        </w:sectPr>
      </w:pPr>
    </w:p>
    <w:p w:rsidR="00E44A09" w:rsidRDefault="005C560D" w:rsidP="00E44A09">
      <w:pPr>
        <w:widowControl w:val="0"/>
        <w:kinsoku w:val="0"/>
        <w:overflowPunct w:val="0"/>
        <w:spacing w:line="338" w:lineRule="exact"/>
        <w:ind w:left="216"/>
        <w:jc w:val="left"/>
        <w:textAlignment w:val="baseline"/>
        <w:rPr>
          <w:rFonts w:ascii="Arial" w:eastAsia="Times New Roman" w:hAnsi="Arial" w:cs="Arial"/>
          <w:b/>
          <w:bCs/>
          <w:color w:val="6C7DAF"/>
          <w:sz w:val="26"/>
          <w:szCs w:val="26"/>
          <w:lang w:val="en-US"/>
        </w:rPr>
      </w:pPr>
      <w:r>
        <w:rPr>
          <w:rFonts w:ascii="Times New Roman" w:eastAsia="Times New Roman" w:hAnsi="Times New Roman"/>
          <w:noProof/>
          <w:sz w:val="20"/>
          <w:szCs w:val="20"/>
        </w:rPr>
        <mc:AlternateContent>
          <mc:Choice Requires="wps">
            <w:drawing>
              <wp:anchor distT="0" distB="0" distL="0" distR="0" simplePos="0" relativeHeight="251665408" behindDoc="0" locked="0" layoutInCell="0" allowOverlap="1">
                <wp:simplePos x="0" y="0"/>
                <wp:positionH relativeFrom="page">
                  <wp:posOffset>6444615</wp:posOffset>
                </wp:positionH>
                <wp:positionV relativeFrom="page">
                  <wp:posOffset>9930765</wp:posOffset>
                </wp:positionV>
                <wp:extent cx="271780" cy="156845"/>
                <wp:effectExtent l="5715" t="5715" r="8255" b="889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56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60D" w:rsidRDefault="005C560D" w:rsidP="005C560D">
                            <w:pPr>
                              <w:kinsoku w:val="0"/>
                              <w:overflowPunct w:val="0"/>
                              <w:spacing w:line="244" w:lineRule="exact"/>
                              <w:textAlignment w:val="baseline"/>
                              <w:rPr>
                                <w:rFonts w:ascii="Arial" w:hAnsi="Arial" w:cs="Arial"/>
                                <w:spacing w:val="23"/>
                              </w:rPr>
                            </w:pPr>
                            <w:r>
                              <w:rPr>
                                <w:rFonts w:ascii="Arial" w:hAnsi="Arial" w:cs="Arial"/>
                                <w:spacing w:val="23"/>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507.45pt;margin-top:781.95pt;width:21.4pt;height:12.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" o:allowincell="f" stroked="f">
                <v:fill opacity="0"/>
                <v:textbox inset="0,0,0,0">
                  <w:txbxContent>
                    <w:p w:rsidR="005C560D" w:rsidRDefault="005C560D" w:rsidP="005C560D">
                      <w:pPr>
                        <w:kinsoku w:val="0"/>
                        <w:overflowPunct w:val="0"/>
                        <w:spacing w:line="244" w:lineRule="exact"/>
                        <w:textAlignment w:val="baseline"/>
                        <w:rPr>
                          <w:rFonts w:ascii="Arial" w:hAnsi="Arial" w:cs="Arial"/>
                          <w:spacing w:val="23"/>
                        </w:rPr>
                      </w:pPr>
                      <w:r>
                        <w:rPr>
                          <w:rFonts w:ascii="Arial" w:hAnsi="Arial" w:cs="Arial"/>
                          <w:spacing w:val="23"/>
                        </w:rPr>
                        <w:t>52</w:t>
                      </w:r>
                    </w:p>
                  </w:txbxContent>
                </v:textbox>
                <w10:wrap type="square" anchorx="page" anchory="page"/>
              </v:shape>
            </w:pict>
          </mc:Fallback>
        </mc:AlternateContent>
      </w:r>
      <w:r>
        <w:rPr>
          <w:rFonts w:ascii="Times New Roman" w:eastAsia="Times New Roman" w:hAnsi="Times New Roman"/>
          <w:noProof/>
          <w:sz w:val="20"/>
          <w:szCs w:val="20"/>
        </w:rPr>
        <mc:AlternateContent>
          <mc:Choice Requires="wps">
            <w:drawing>
              <wp:anchor distT="0" distB="0" distL="0" distR="0" simplePos="0" relativeHeight="251666432" behindDoc="0" locked="0" layoutInCell="0" allowOverlap="1">
                <wp:simplePos x="0" y="0"/>
                <wp:positionH relativeFrom="page">
                  <wp:posOffset>1593850</wp:posOffset>
                </wp:positionH>
                <wp:positionV relativeFrom="page">
                  <wp:posOffset>460375</wp:posOffset>
                </wp:positionV>
                <wp:extent cx="0" cy="564515"/>
                <wp:effectExtent l="12700" t="12700" r="15875" b="13335"/>
                <wp:wrapSquare wrapText="bothSides"/>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1524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5.5pt,36.25pt" to="125.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" o:allowincell="f" strokecolor="#283583" strokeweight="1.2pt">
                <w10:wrap type="square" anchorx="page" anchory="page"/>
              </v:line>
            </w:pict>
          </mc:Fallback>
        </mc:AlternateContent>
      </w:r>
    </w:p>
    <w:p w:rsidR="005C560D" w:rsidRPr="005C560D" w:rsidRDefault="005C560D" w:rsidP="00E44A09">
      <w:pPr>
        <w:widowControl w:val="0"/>
        <w:numPr>
          <w:ilvl w:val="0"/>
          <w:numId w:val="33"/>
        </w:numPr>
        <w:kinsoku w:val="0"/>
        <w:overflowPunct w:val="0"/>
        <w:spacing w:line="338" w:lineRule="exact"/>
        <w:jc w:val="left"/>
        <w:textAlignment w:val="baseline"/>
        <w:rPr>
          <w:rFonts w:ascii="Arial" w:eastAsia="Times New Roman" w:hAnsi="Arial" w:cs="Arial"/>
          <w:lang w:val="en-US"/>
        </w:rPr>
      </w:pPr>
      <w:r w:rsidRPr="005C560D">
        <w:rPr>
          <w:rFonts w:ascii="Arial" w:eastAsia="Times New Roman" w:hAnsi="Arial" w:cs="Arial"/>
          <w:lang w:val="en-US"/>
        </w:rPr>
        <w:t>the name, address and contact details of the investment firm along with the name of a specified contact person at the investment firm;</w:t>
      </w:r>
    </w:p>
    <w:p w:rsidR="005C560D" w:rsidRPr="005C560D" w:rsidRDefault="005C560D" w:rsidP="005C560D">
      <w:pPr>
        <w:widowControl w:val="0"/>
        <w:numPr>
          <w:ilvl w:val="0"/>
          <w:numId w:val="33"/>
        </w:numPr>
        <w:kinsoku w:val="0"/>
        <w:overflowPunct w:val="0"/>
        <w:autoSpaceDE w:val="0"/>
        <w:autoSpaceDN w:val="0"/>
        <w:adjustRightInd w:val="0"/>
        <w:spacing w:before="291" w:line="250" w:lineRule="exact"/>
        <w:jc w:val="left"/>
        <w:textAlignment w:val="baseline"/>
        <w:rPr>
          <w:rFonts w:ascii="Arial" w:eastAsia="Times New Roman" w:hAnsi="Arial" w:cs="Arial"/>
          <w:lang w:val="en-US"/>
        </w:rPr>
      </w:pPr>
      <w:r w:rsidRPr="005C560D">
        <w:rPr>
          <w:rFonts w:ascii="Arial" w:eastAsia="Times New Roman" w:hAnsi="Arial" w:cs="Arial"/>
          <w:lang w:val="en-US"/>
        </w:rPr>
        <w:t>a programme of operations which includes the following items:</w:t>
      </w:r>
    </w:p>
    <w:p w:rsidR="005C560D" w:rsidRPr="005C560D" w:rsidRDefault="005C560D" w:rsidP="005C560D">
      <w:pPr>
        <w:widowControl w:val="0"/>
        <w:numPr>
          <w:ilvl w:val="0"/>
          <w:numId w:val="34"/>
        </w:numPr>
        <w:tabs>
          <w:tab w:val="right" w:pos="9144"/>
        </w:tabs>
        <w:kinsoku w:val="0"/>
        <w:overflowPunct w:val="0"/>
        <w:autoSpaceDE w:val="0"/>
        <w:autoSpaceDN w:val="0"/>
        <w:adjustRightInd w:val="0"/>
        <w:spacing w:before="253" w:line="291"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details of the particular investment services, activities and ancillary services</w:t>
      </w:r>
      <w:r w:rsidR="00E44A09">
        <w:rPr>
          <w:rFonts w:ascii="Arial" w:eastAsia="Times New Roman" w:hAnsi="Arial" w:cs="Arial"/>
          <w:lang w:val="en-US"/>
        </w:rPr>
        <w:t xml:space="preserve"> </w:t>
      </w:r>
      <w:r w:rsidRPr="005C560D">
        <w:rPr>
          <w:rFonts w:ascii="Arial" w:eastAsia="Times New Roman" w:hAnsi="Arial" w:cs="Arial"/>
          <w:lang w:val="en-US"/>
        </w:rPr>
        <w:t>to be provided in the host Member State and the financial instruments to be used; and</w:t>
      </w:r>
    </w:p>
    <w:p w:rsidR="005C560D" w:rsidRPr="005C560D" w:rsidRDefault="005C560D" w:rsidP="005C560D">
      <w:pPr>
        <w:widowControl w:val="0"/>
        <w:numPr>
          <w:ilvl w:val="0"/>
          <w:numId w:val="35"/>
        </w:numPr>
        <w:kinsoku w:val="0"/>
        <w:overflowPunct w:val="0"/>
        <w:autoSpaceDE w:val="0"/>
        <w:autoSpaceDN w:val="0"/>
        <w:adjustRightInd w:val="0"/>
        <w:spacing w:before="252" w:line="290"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confirmation as to whether the investment firm wishes to use tied agents, established in its home Member State, to provide services in the host Member State and, if so the name, address, contact details of such tied agents and the investment services or activities, ancillary services and financial instruments to be provided by the latter.</w:t>
      </w:r>
    </w:p>
    <w:p w:rsidR="005C560D" w:rsidRPr="005C560D" w:rsidRDefault="00E44A09" w:rsidP="005D2327">
      <w:pPr>
        <w:widowControl w:val="0"/>
        <w:tabs>
          <w:tab w:val="right" w:pos="9144"/>
        </w:tabs>
        <w:kinsoku w:val="0"/>
        <w:overflowPunct w:val="0"/>
        <w:spacing w:before="254" w:line="290" w:lineRule="exact"/>
        <w:ind w:left="709" w:hanging="669"/>
        <w:jc w:val="left"/>
        <w:textAlignment w:val="baseline"/>
        <w:rPr>
          <w:rFonts w:ascii="Arial" w:eastAsia="Times New Roman" w:hAnsi="Arial" w:cs="Arial"/>
          <w:lang w:val="en-US"/>
        </w:rPr>
      </w:pPr>
      <w:r>
        <w:rPr>
          <w:rFonts w:ascii="Arial" w:eastAsia="Times New Roman" w:hAnsi="Arial" w:cs="Arial"/>
          <w:lang w:val="en-US"/>
        </w:rPr>
        <w:t>2.</w:t>
      </w:r>
      <w:r>
        <w:rPr>
          <w:rFonts w:ascii="Arial" w:eastAsia="Times New Roman" w:hAnsi="Arial" w:cs="Arial"/>
          <w:lang w:val="en-US"/>
        </w:rPr>
        <w:tab/>
      </w:r>
      <w:r w:rsidR="005C560D" w:rsidRPr="005C560D">
        <w:rPr>
          <w:rFonts w:ascii="Arial" w:eastAsia="Times New Roman" w:hAnsi="Arial" w:cs="Arial"/>
          <w:lang w:val="en-US"/>
        </w:rPr>
        <w:t>Credit institutions referred to in Article 1(2)(a) submitting an investment services and</w:t>
      </w:r>
      <w:r>
        <w:rPr>
          <w:rFonts w:ascii="Arial" w:eastAsia="Times New Roman" w:hAnsi="Arial" w:cs="Arial"/>
          <w:lang w:val="en-US"/>
        </w:rPr>
        <w:t xml:space="preserve"> </w:t>
      </w:r>
      <w:r w:rsidR="005C560D" w:rsidRPr="005C560D">
        <w:rPr>
          <w:rFonts w:ascii="Arial" w:eastAsia="Times New Roman" w:hAnsi="Arial" w:cs="Arial"/>
          <w:lang w:val="en-US"/>
        </w:rPr>
        <w:t>activities passport notification in accordance with Article 34(5) of Directive 2014/65/EU shall ensure that such notification contains the information set out in points (a) and (b)(ii) of paragraph 1.</w:t>
      </w:r>
    </w:p>
    <w:p w:rsidR="005C560D" w:rsidRPr="005C560D" w:rsidRDefault="005C560D" w:rsidP="005C560D">
      <w:pPr>
        <w:widowControl w:val="0"/>
        <w:kinsoku w:val="0"/>
        <w:overflowPunct w:val="0"/>
        <w:spacing w:before="291" w:line="250" w:lineRule="exact"/>
        <w:ind w:left="72"/>
        <w:jc w:val="center"/>
        <w:textAlignment w:val="baseline"/>
        <w:rPr>
          <w:rFonts w:ascii="Arial" w:eastAsia="Times New Roman" w:hAnsi="Arial" w:cs="Arial"/>
          <w:lang w:val="en-US"/>
        </w:rPr>
      </w:pPr>
      <w:r w:rsidRPr="005C560D">
        <w:rPr>
          <w:rFonts w:ascii="Arial" w:eastAsia="Times New Roman" w:hAnsi="Arial" w:cs="Arial"/>
          <w:lang w:val="en-US"/>
        </w:rPr>
        <w:t>Article 4</w:t>
      </w:r>
    </w:p>
    <w:p w:rsidR="005C560D" w:rsidRPr="005C560D" w:rsidRDefault="005C560D" w:rsidP="005C560D">
      <w:pPr>
        <w:widowControl w:val="0"/>
        <w:kinsoku w:val="0"/>
        <w:overflowPunct w:val="0"/>
        <w:spacing w:before="47" w:line="250" w:lineRule="exact"/>
        <w:ind w:left="72"/>
        <w:jc w:val="left"/>
        <w:textAlignment w:val="baseline"/>
        <w:rPr>
          <w:rFonts w:ascii="Arial" w:eastAsia="Times New Roman" w:hAnsi="Arial" w:cs="Arial"/>
          <w:b/>
          <w:bCs/>
          <w:lang w:val="en-US"/>
        </w:rPr>
      </w:pPr>
      <w:r w:rsidRPr="005C560D">
        <w:rPr>
          <w:rFonts w:ascii="Arial" w:eastAsia="Times New Roman" w:hAnsi="Arial" w:cs="Arial"/>
          <w:b/>
          <w:bCs/>
          <w:lang w:val="en-US"/>
        </w:rPr>
        <w:t>Information to be notified concerning the change of investment services and activities</w:t>
      </w:r>
    </w:p>
    <w:p w:rsidR="005C560D" w:rsidRPr="005C560D" w:rsidRDefault="005C560D" w:rsidP="005C560D">
      <w:pPr>
        <w:widowControl w:val="0"/>
        <w:kinsoku w:val="0"/>
        <w:overflowPunct w:val="0"/>
        <w:spacing w:before="43" w:line="250" w:lineRule="exact"/>
        <w:ind w:left="4032"/>
        <w:jc w:val="left"/>
        <w:textAlignment w:val="baseline"/>
        <w:rPr>
          <w:rFonts w:ascii="Arial" w:eastAsia="Times New Roman" w:hAnsi="Arial" w:cs="Arial"/>
          <w:b/>
          <w:bCs/>
          <w:spacing w:val="-1"/>
          <w:lang w:val="en-US"/>
        </w:rPr>
      </w:pPr>
      <w:r w:rsidRPr="005C560D">
        <w:rPr>
          <w:rFonts w:ascii="Arial" w:eastAsia="Times New Roman" w:hAnsi="Arial" w:cs="Arial"/>
          <w:b/>
          <w:bCs/>
          <w:spacing w:val="-1"/>
          <w:lang w:val="en-US"/>
        </w:rPr>
        <w:t>particulars</w:t>
      </w:r>
    </w:p>
    <w:p w:rsidR="005C560D" w:rsidRPr="005C560D" w:rsidRDefault="005C560D" w:rsidP="005C560D">
      <w:pPr>
        <w:widowControl w:val="0"/>
        <w:kinsoku w:val="0"/>
        <w:overflowPunct w:val="0"/>
        <w:spacing w:before="250" w:line="290" w:lineRule="exact"/>
        <w:ind w:left="72" w:right="72"/>
        <w:textAlignment w:val="baseline"/>
        <w:rPr>
          <w:rFonts w:ascii="Arial" w:eastAsia="Times New Roman" w:hAnsi="Arial" w:cs="Arial"/>
          <w:lang w:val="en-US"/>
        </w:rPr>
      </w:pPr>
      <w:r w:rsidRPr="005C560D">
        <w:rPr>
          <w:rFonts w:ascii="Arial" w:eastAsia="Times New Roman" w:hAnsi="Arial" w:cs="Arial"/>
          <w:lang w:val="en-US"/>
        </w:rPr>
        <w:t>Investment firms and such credit institutions as are referred to in Article 1(2)(a) shall ensure that a notification to communicate a change in particulars, pursuant to Article 34(4) of Directive 2014/65/EU, includes details of any change to any of the information contained in the initial investment services and activities passport notification.</w:t>
      </w:r>
    </w:p>
    <w:p w:rsidR="005C560D" w:rsidRPr="005C560D" w:rsidRDefault="005C560D" w:rsidP="005C560D">
      <w:pPr>
        <w:widowControl w:val="0"/>
        <w:kinsoku w:val="0"/>
        <w:overflowPunct w:val="0"/>
        <w:spacing w:before="291" w:line="250" w:lineRule="exact"/>
        <w:ind w:left="72"/>
        <w:jc w:val="center"/>
        <w:textAlignment w:val="baseline"/>
        <w:rPr>
          <w:rFonts w:ascii="Arial" w:eastAsia="Times New Roman" w:hAnsi="Arial" w:cs="Arial"/>
          <w:lang w:val="en-US"/>
        </w:rPr>
      </w:pPr>
      <w:r w:rsidRPr="005C560D">
        <w:rPr>
          <w:rFonts w:ascii="Arial" w:eastAsia="Times New Roman" w:hAnsi="Arial" w:cs="Arial"/>
          <w:lang w:val="en-US"/>
        </w:rPr>
        <w:t>Article 5</w:t>
      </w:r>
    </w:p>
    <w:p w:rsidR="005C560D" w:rsidRPr="005C560D" w:rsidRDefault="005C560D" w:rsidP="005C560D">
      <w:pPr>
        <w:widowControl w:val="0"/>
        <w:kinsoku w:val="0"/>
        <w:overflowPunct w:val="0"/>
        <w:spacing w:before="40" w:line="250" w:lineRule="exact"/>
        <w:ind w:left="216"/>
        <w:jc w:val="left"/>
        <w:textAlignment w:val="baseline"/>
        <w:rPr>
          <w:rFonts w:ascii="Arial" w:eastAsia="Times New Roman" w:hAnsi="Arial" w:cs="Arial"/>
          <w:b/>
          <w:bCs/>
          <w:lang w:val="en-US"/>
        </w:rPr>
      </w:pPr>
      <w:r w:rsidRPr="005C560D">
        <w:rPr>
          <w:rFonts w:ascii="Arial" w:eastAsia="Times New Roman" w:hAnsi="Arial" w:cs="Arial"/>
          <w:b/>
          <w:bCs/>
          <w:lang w:val="en-US"/>
        </w:rPr>
        <w:t>Information to be notified concerning arrangements to facilitate access to an MTF or</w:t>
      </w:r>
    </w:p>
    <w:p w:rsidR="005C560D" w:rsidRPr="005C560D" w:rsidRDefault="005C560D" w:rsidP="005C560D">
      <w:pPr>
        <w:widowControl w:val="0"/>
        <w:kinsoku w:val="0"/>
        <w:overflowPunct w:val="0"/>
        <w:spacing w:before="39" w:line="250" w:lineRule="exact"/>
        <w:ind w:left="72"/>
        <w:jc w:val="center"/>
        <w:textAlignment w:val="baseline"/>
        <w:rPr>
          <w:rFonts w:ascii="Arial" w:eastAsia="Times New Roman" w:hAnsi="Arial" w:cs="Arial"/>
          <w:b/>
          <w:bCs/>
          <w:spacing w:val="-4"/>
          <w:lang w:val="en-US"/>
        </w:rPr>
      </w:pPr>
      <w:r w:rsidRPr="005C560D">
        <w:rPr>
          <w:rFonts w:ascii="Arial" w:eastAsia="Times New Roman" w:hAnsi="Arial" w:cs="Arial"/>
          <w:b/>
          <w:bCs/>
          <w:spacing w:val="-4"/>
          <w:lang w:val="en-US"/>
        </w:rPr>
        <w:t>OTF</w:t>
      </w:r>
    </w:p>
    <w:p w:rsidR="005C560D" w:rsidRPr="005C560D" w:rsidRDefault="005C560D" w:rsidP="005C560D">
      <w:pPr>
        <w:widowControl w:val="0"/>
        <w:kinsoku w:val="0"/>
        <w:overflowPunct w:val="0"/>
        <w:spacing w:before="252" w:line="291" w:lineRule="exact"/>
        <w:ind w:left="72" w:right="72"/>
        <w:textAlignment w:val="baseline"/>
        <w:rPr>
          <w:rFonts w:ascii="Arial" w:eastAsia="Times New Roman" w:hAnsi="Arial" w:cs="Arial"/>
          <w:lang w:val="en-US"/>
        </w:rPr>
      </w:pPr>
      <w:r w:rsidRPr="005C560D">
        <w:rPr>
          <w:rFonts w:ascii="Arial" w:eastAsia="Times New Roman" w:hAnsi="Arial" w:cs="Arial"/>
          <w:lang w:val="en-US"/>
        </w:rPr>
        <w:t xml:space="preserve">Investment firms and market operators submitting notifications regarding arrangements to facilitate access to an </w:t>
      </w:r>
      <w:r w:rsidRPr="005C560D">
        <w:rPr>
          <w:rFonts w:ascii="Arial" w:eastAsia="Times New Roman" w:hAnsi="Arial" w:cs="Arial"/>
          <w:bCs/>
          <w:lang w:val="en-US"/>
        </w:rPr>
        <w:t>MTF</w:t>
      </w:r>
      <w:r w:rsidRPr="005C560D">
        <w:rPr>
          <w:rFonts w:ascii="Arial" w:eastAsia="Times New Roman" w:hAnsi="Arial" w:cs="Arial"/>
          <w:b/>
          <w:bCs/>
          <w:lang w:val="en-US"/>
        </w:rPr>
        <w:t xml:space="preserve"> </w:t>
      </w:r>
      <w:r w:rsidRPr="005C560D">
        <w:rPr>
          <w:rFonts w:ascii="Arial" w:eastAsia="Times New Roman" w:hAnsi="Arial" w:cs="Arial"/>
          <w:lang w:val="en-US"/>
        </w:rPr>
        <w:t xml:space="preserve">or </w:t>
      </w:r>
      <w:r w:rsidRPr="005C560D">
        <w:rPr>
          <w:rFonts w:ascii="Arial" w:eastAsia="Times New Roman" w:hAnsi="Arial" w:cs="Arial"/>
          <w:bCs/>
          <w:lang w:val="en-US"/>
        </w:rPr>
        <w:t>OTF</w:t>
      </w:r>
      <w:r w:rsidRPr="005C560D">
        <w:rPr>
          <w:rFonts w:ascii="Arial" w:eastAsia="Times New Roman" w:hAnsi="Arial" w:cs="Arial"/>
          <w:b/>
          <w:bCs/>
          <w:lang w:val="en-US"/>
        </w:rPr>
        <w:t xml:space="preserve"> </w:t>
      </w:r>
      <w:r w:rsidRPr="005C560D">
        <w:rPr>
          <w:rFonts w:ascii="Arial" w:eastAsia="Times New Roman" w:hAnsi="Arial" w:cs="Arial"/>
          <w:lang w:val="en-US"/>
        </w:rPr>
        <w:t>pursuant to Article 34(7) of Directive 2014/65/EU shall ensure such notification includes the following information:</w:t>
      </w:r>
    </w:p>
    <w:p w:rsidR="005C560D" w:rsidRPr="005C560D" w:rsidRDefault="005C560D" w:rsidP="005C560D">
      <w:pPr>
        <w:widowControl w:val="0"/>
        <w:numPr>
          <w:ilvl w:val="0"/>
          <w:numId w:val="36"/>
        </w:numPr>
        <w:kinsoku w:val="0"/>
        <w:overflowPunct w:val="0"/>
        <w:autoSpaceDE w:val="0"/>
        <w:autoSpaceDN w:val="0"/>
        <w:adjustRightInd w:val="0"/>
        <w:spacing w:before="249" w:line="292"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the name, address and contact details of the investment firm or the market operator, along with the name of a specified contact person at the investment firm or the market operator;</w:t>
      </w:r>
    </w:p>
    <w:p w:rsidR="005C560D" w:rsidRPr="005C560D" w:rsidRDefault="005C560D" w:rsidP="005C560D">
      <w:pPr>
        <w:widowControl w:val="0"/>
        <w:numPr>
          <w:ilvl w:val="0"/>
          <w:numId w:val="36"/>
        </w:numPr>
        <w:kinsoku w:val="0"/>
        <w:overflowPunct w:val="0"/>
        <w:autoSpaceDE w:val="0"/>
        <w:autoSpaceDN w:val="0"/>
        <w:adjustRightInd w:val="0"/>
        <w:spacing w:before="248" w:line="291"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a short description of the appropriate arrangements to be in place and the date from which these arrangements will be provided in the host Member State;</w:t>
      </w:r>
    </w:p>
    <w:p w:rsidR="005C560D" w:rsidRPr="005C560D" w:rsidRDefault="005C560D" w:rsidP="005C560D">
      <w:pPr>
        <w:autoSpaceDE w:val="0"/>
        <w:autoSpaceDN w:val="0"/>
        <w:adjustRightInd w:val="0"/>
        <w:jc w:val="left"/>
        <w:rPr>
          <w:rFonts w:ascii="Times New Roman" w:eastAsia="Times New Roman" w:hAnsi="Times New Roman"/>
          <w:sz w:val="24"/>
          <w:szCs w:val="24"/>
          <w:lang w:val="en-US"/>
        </w:rPr>
        <w:sectPr w:rsidR="005C560D" w:rsidRPr="005C560D">
          <w:pgSz w:w="11904" w:h="16843"/>
          <w:pgMar w:top="580" w:right="1322" w:bottom="808" w:left="1336" w:header="720" w:footer="720" w:gutter="0"/>
          <w:cols w:space="720"/>
          <w:noEndnote/>
        </w:sectPr>
      </w:pPr>
    </w:p>
    <w:p w:rsidR="005C560D" w:rsidRPr="005C560D" w:rsidRDefault="005C560D" w:rsidP="005C560D">
      <w:pPr>
        <w:widowControl w:val="0"/>
        <w:kinsoku w:val="0"/>
        <w:overflowPunct w:val="0"/>
        <w:spacing w:before="833" w:line="291" w:lineRule="exact"/>
        <w:ind w:left="648" w:right="72" w:hanging="576"/>
        <w:textAlignment w:val="baseline"/>
        <w:rPr>
          <w:rFonts w:ascii="Arial" w:eastAsia="Times New Roman" w:hAnsi="Arial" w:cs="Arial"/>
          <w:lang w:val="en-US"/>
        </w:rPr>
      </w:pPr>
      <w:r w:rsidRPr="005C560D">
        <w:rPr>
          <w:rFonts w:ascii="Arial" w:eastAsia="Times New Roman" w:hAnsi="Arial" w:cs="Arial"/>
          <w:lang w:val="en-US"/>
        </w:rPr>
        <w:t xml:space="preserve">(c) </w:t>
      </w:r>
      <w:r w:rsidR="00E44A09">
        <w:rPr>
          <w:rFonts w:ascii="Arial" w:eastAsia="Times New Roman" w:hAnsi="Arial" w:cs="Arial"/>
          <w:lang w:val="en-US"/>
        </w:rPr>
        <w:tab/>
      </w:r>
      <w:r w:rsidRPr="005C560D">
        <w:rPr>
          <w:rFonts w:ascii="Arial" w:eastAsia="Times New Roman" w:hAnsi="Arial" w:cs="Arial"/>
          <w:lang w:val="en-US"/>
        </w:rPr>
        <w:t>a short description of the business model of the MTF or the OTF, including the type of the financial instruments traded, the type of participants, and the marketing approach of the MTF or OTF to target remote users, members or participants.</w:t>
      </w:r>
    </w:p>
    <w:p w:rsidR="005C560D" w:rsidRPr="005C560D" w:rsidRDefault="005C560D" w:rsidP="005C560D">
      <w:pPr>
        <w:widowControl w:val="0"/>
        <w:kinsoku w:val="0"/>
        <w:overflowPunct w:val="0"/>
        <w:spacing w:before="291" w:line="249" w:lineRule="exact"/>
        <w:ind w:left="72" w:right="72"/>
        <w:jc w:val="center"/>
        <w:textAlignment w:val="baseline"/>
        <w:rPr>
          <w:rFonts w:ascii="Arial" w:eastAsia="Times New Roman" w:hAnsi="Arial" w:cs="Arial"/>
          <w:lang w:val="en-US"/>
        </w:rPr>
      </w:pPr>
      <w:r w:rsidRPr="005C560D">
        <w:rPr>
          <w:rFonts w:ascii="Arial" w:eastAsia="Times New Roman" w:hAnsi="Arial" w:cs="Arial"/>
          <w:lang w:val="en-US"/>
        </w:rPr>
        <w:t>Article 6</w:t>
      </w:r>
    </w:p>
    <w:p w:rsidR="005C560D" w:rsidRPr="005C560D" w:rsidRDefault="005C560D" w:rsidP="005C560D">
      <w:pPr>
        <w:widowControl w:val="0"/>
        <w:kinsoku w:val="0"/>
        <w:overflowPunct w:val="0"/>
        <w:spacing w:before="40" w:line="248" w:lineRule="exact"/>
        <w:ind w:left="72" w:right="72"/>
        <w:jc w:val="center"/>
        <w:textAlignment w:val="baseline"/>
        <w:rPr>
          <w:rFonts w:ascii="Arial" w:eastAsia="Times New Roman" w:hAnsi="Arial" w:cs="Arial"/>
          <w:b/>
          <w:bCs/>
          <w:lang w:val="en-US"/>
        </w:rPr>
      </w:pPr>
      <w:r w:rsidRPr="005C560D">
        <w:rPr>
          <w:rFonts w:ascii="Arial" w:eastAsia="Times New Roman" w:hAnsi="Arial" w:cs="Arial"/>
          <w:b/>
          <w:bCs/>
          <w:lang w:val="en-US"/>
        </w:rPr>
        <w:t>Information to be notified in a branch passport notification or a tied agent passport</w:t>
      </w:r>
    </w:p>
    <w:p w:rsidR="005C560D" w:rsidRPr="005C560D" w:rsidRDefault="005C560D" w:rsidP="005C560D">
      <w:pPr>
        <w:widowControl w:val="0"/>
        <w:kinsoku w:val="0"/>
        <w:overflowPunct w:val="0"/>
        <w:spacing w:before="44" w:line="248" w:lineRule="exact"/>
        <w:ind w:left="72" w:right="72"/>
        <w:jc w:val="center"/>
        <w:textAlignment w:val="baseline"/>
        <w:rPr>
          <w:rFonts w:ascii="Arial" w:eastAsia="Times New Roman" w:hAnsi="Arial" w:cs="Arial"/>
          <w:b/>
          <w:bCs/>
          <w:spacing w:val="-2"/>
          <w:lang w:val="en-US"/>
        </w:rPr>
      </w:pPr>
      <w:r w:rsidRPr="005C560D">
        <w:rPr>
          <w:rFonts w:ascii="Arial" w:eastAsia="Times New Roman" w:hAnsi="Arial" w:cs="Arial"/>
          <w:b/>
          <w:bCs/>
          <w:spacing w:val="-2"/>
          <w:lang w:val="en-US"/>
        </w:rPr>
        <w:t>notification</w:t>
      </w:r>
    </w:p>
    <w:p w:rsidR="005C560D" w:rsidRPr="005C560D" w:rsidRDefault="005C560D" w:rsidP="005D2327">
      <w:pPr>
        <w:widowControl w:val="0"/>
        <w:tabs>
          <w:tab w:val="decimal" w:pos="216"/>
          <w:tab w:val="left" w:pos="709"/>
          <w:tab w:val="right" w:pos="9144"/>
        </w:tabs>
        <w:kinsoku w:val="0"/>
        <w:overflowPunct w:val="0"/>
        <w:spacing w:before="254" w:line="290" w:lineRule="exact"/>
        <w:ind w:left="709" w:right="74" w:hanging="635"/>
        <w:jc w:val="left"/>
        <w:textAlignment w:val="baseline"/>
        <w:rPr>
          <w:rFonts w:ascii="Arial" w:eastAsia="Times New Roman" w:hAnsi="Arial" w:cs="Arial"/>
          <w:lang w:val="en-US"/>
        </w:rPr>
      </w:pPr>
      <w:r w:rsidRPr="005C560D">
        <w:rPr>
          <w:rFonts w:ascii="Arial" w:eastAsia="Times New Roman" w:hAnsi="Arial" w:cs="Arial"/>
          <w:lang w:val="en-US"/>
        </w:rPr>
        <w:t>1.</w:t>
      </w:r>
      <w:r w:rsidRPr="005C560D">
        <w:rPr>
          <w:rFonts w:ascii="Arial" w:eastAsia="Times New Roman" w:hAnsi="Arial" w:cs="Arial"/>
          <w:lang w:val="en-US"/>
        </w:rPr>
        <w:tab/>
        <w:t>Investment firms and such credit institutions as are referred to in Article 1(2)(b) shall</w:t>
      </w:r>
      <w:r w:rsidR="00E44A09">
        <w:rPr>
          <w:rFonts w:ascii="Arial" w:eastAsia="Times New Roman" w:hAnsi="Arial" w:cs="Arial"/>
          <w:lang w:val="en-US"/>
        </w:rPr>
        <w:t xml:space="preserve"> </w:t>
      </w:r>
      <w:r w:rsidRPr="005C560D">
        <w:rPr>
          <w:rFonts w:ascii="Arial" w:eastAsia="Times New Roman" w:hAnsi="Arial" w:cs="Arial"/>
          <w:lang w:val="en-US"/>
        </w:rPr>
        <w:t>ensure that a branch passport notification or a tied agent passport notification submitted pursuant to Article 35(2) or Article 35(7) of Directive 2014/65/EU as applicable, includes the following information:</w:t>
      </w:r>
    </w:p>
    <w:p w:rsidR="005C560D" w:rsidRPr="005C560D" w:rsidRDefault="005C560D" w:rsidP="005C560D">
      <w:pPr>
        <w:widowControl w:val="0"/>
        <w:numPr>
          <w:ilvl w:val="0"/>
          <w:numId w:val="37"/>
        </w:numPr>
        <w:kinsoku w:val="0"/>
        <w:overflowPunct w:val="0"/>
        <w:autoSpaceDE w:val="0"/>
        <w:autoSpaceDN w:val="0"/>
        <w:adjustRightInd w:val="0"/>
        <w:spacing w:before="256" w:line="289"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the name, address and contact details of the investment firm or credit institution in the home Member State, and the name of a specified contact person at the investment firm or credit institution;</w:t>
      </w:r>
    </w:p>
    <w:p w:rsidR="005C560D" w:rsidRPr="005C560D" w:rsidRDefault="005C560D" w:rsidP="005C560D">
      <w:pPr>
        <w:widowControl w:val="0"/>
        <w:numPr>
          <w:ilvl w:val="0"/>
          <w:numId w:val="37"/>
        </w:numPr>
        <w:kinsoku w:val="0"/>
        <w:overflowPunct w:val="0"/>
        <w:autoSpaceDE w:val="0"/>
        <w:autoSpaceDN w:val="0"/>
        <w:adjustRightInd w:val="0"/>
        <w:spacing w:before="257" w:line="288"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the name, address and contact details in the host Member State of the branch or of the tied agent from which documents may be obtained;</w:t>
      </w:r>
    </w:p>
    <w:p w:rsidR="005C560D" w:rsidRPr="005C560D" w:rsidRDefault="005C560D" w:rsidP="005C560D">
      <w:pPr>
        <w:widowControl w:val="0"/>
        <w:numPr>
          <w:ilvl w:val="0"/>
          <w:numId w:val="37"/>
        </w:numPr>
        <w:kinsoku w:val="0"/>
        <w:overflowPunct w:val="0"/>
        <w:autoSpaceDE w:val="0"/>
        <w:autoSpaceDN w:val="0"/>
        <w:adjustRightInd w:val="0"/>
        <w:spacing w:before="250" w:line="293"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the name of those persons responsible for the management of the branch or of the tied agent;</w:t>
      </w:r>
    </w:p>
    <w:p w:rsidR="005C560D" w:rsidRPr="005C560D" w:rsidRDefault="005C560D" w:rsidP="005C560D">
      <w:pPr>
        <w:widowControl w:val="0"/>
        <w:numPr>
          <w:ilvl w:val="0"/>
          <w:numId w:val="37"/>
        </w:numPr>
        <w:kinsoku w:val="0"/>
        <w:overflowPunct w:val="0"/>
        <w:autoSpaceDE w:val="0"/>
        <w:autoSpaceDN w:val="0"/>
        <w:adjustRightInd w:val="0"/>
        <w:spacing w:before="244" w:line="293"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reference to the location, electronic or otherwise, of the public register where the tied agent is registered; and</w:t>
      </w:r>
    </w:p>
    <w:p w:rsidR="005C560D" w:rsidRPr="005C560D" w:rsidRDefault="005C560D" w:rsidP="005C560D">
      <w:pPr>
        <w:widowControl w:val="0"/>
        <w:numPr>
          <w:ilvl w:val="0"/>
          <w:numId w:val="37"/>
        </w:numPr>
        <w:kinsoku w:val="0"/>
        <w:overflowPunct w:val="0"/>
        <w:autoSpaceDE w:val="0"/>
        <w:autoSpaceDN w:val="0"/>
        <w:adjustRightInd w:val="0"/>
        <w:spacing w:before="293" w:line="249" w:lineRule="exact"/>
        <w:ind w:right="72"/>
        <w:jc w:val="left"/>
        <w:textAlignment w:val="baseline"/>
        <w:rPr>
          <w:rFonts w:ascii="Arial" w:eastAsia="Times New Roman" w:hAnsi="Arial" w:cs="Arial"/>
          <w:spacing w:val="-1"/>
          <w:lang w:val="en-US"/>
        </w:rPr>
      </w:pPr>
      <w:r w:rsidRPr="005C560D">
        <w:rPr>
          <w:rFonts w:ascii="Arial" w:eastAsia="Times New Roman" w:hAnsi="Arial" w:cs="Arial"/>
          <w:spacing w:val="-1"/>
          <w:lang w:val="en-US"/>
        </w:rPr>
        <w:t>a programme of operations.</w:t>
      </w:r>
    </w:p>
    <w:p w:rsidR="005C560D" w:rsidRPr="005C560D" w:rsidRDefault="005C560D" w:rsidP="005D2327">
      <w:pPr>
        <w:widowControl w:val="0"/>
        <w:tabs>
          <w:tab w:val="decimal" w:pos="216"/>
          <w:tab w:val="right" w:pos="9144"/>
        </w:tabs>
        <w:kinsoku w:val="0"/>
        <w:overflowPunct w:val="0"/>
        <w:spacing w:before="286" w:line="249" w:lineRule="exact"/>
        <w:ind w:left="686" w:right="72" w:hanging="614"/>
        <w:jc w:val="left"/>
        <w:textAlignment w:val="baseline"/>
        <w:rPr>
          <w:rFonts w:ascii="Arial" w:eastAsia="Times New Roman" w:hAnsi="Arial" w:cs="Arial"/>
          <w:spacing w:val="-1"/>
          <w:lang w:val="en-US"/>
        </w:rPr>
      </w:pPr>
      <w:r w:rsidRPr="005C560D">
        <w:rPr>
          <w:rFonts w:ascii="Arial" w:eastAsia="Times New Roman" w:hAnsi="Arial" w:cs="Arial"/>
          <w:lang w:val="en-US"/>
        </w:rPr>
        <w:t>2.</w:t>
      </w:r>
      <w:r w:rsidRPr="005C560D">
        <w:rPr>
          <w:rFonts w:ascii="Arial" w:eastAsia="Times New Roman" w:hAnsi="Arial" w:cs="Arial"/>
          <w:lang w:val="en-US"/>
        </w:rPr>
        <w:tab/>
        <w:t>The programme of operations referred to in point (e) of paragraph 1 shall comprise the</w:t>
      </w:r>
      <w:r w:rsidR="005D2327">
        <w:rPr>
          <w:rFonts w:ascii="Arial" w:eastAsia="Times New Roman" w:hAnsi="Arial" w:cs="Arial"/>
          <w:lang w:val="en-US"/>
        </w:rPr>
        <w:t xml:space="preserve"> </w:t>
      </w:r>
      <w:r w:rsidRPr="005C560D">
        <w:rPr>
          <w:rFonts w:ascii="Arial" w:eastAsia="Times New Roman" w:hAnsi="Arial" w:cs="Arial"/>
          <w:spacing w:val="-1"/>
          <w:lang w:val="en-US"/>
        </w:rPr>
        <w:t>following items:</w:t>
      </w:r>
    </w:p>
    <w:p w:rsidR="005C560D" w:rsidRPr="005C560D" w:rsidRDefault="005C560D" w:rsidP="005C560D">
      <w:pPr>
        <w:widowControl w:val="0"/>
        <w:numPr>
          <w:ilvl w:val="0"/>
          <w:numId w:val="38"/>
        </w:numPr>
        <w:kinsoku w:val="0"/>
        <w:overflowPunct w:val="0"/>
        <w:autoSpaceDE w:val="0"/>
        <w:autoSpaceDN w:val="0"/>
        <w:adjustRightInd w:val="0"/>
        <w:spacing w:before="256" w:line="289"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a list of investment services, activities, ancillary services and financial instruments to be provided;</w:t>
      </w:r>
    </w:p>
    <w:p w:rsidR="005C560D" w:rsidRPr="005C560D" w:rsidRDefault="005C560D" w:rsidP="005C560D">
      <w:pPr>
        <w:widowControl w:val="0"/>
        <w:numPr>
          <w:ilvl w:val="0"/>
          <w:numId w:val="38"/>
        </w:numPr>
        <w:kinsoku w:val="0"/>
        <w:overflowPunct w:val="0"/>
        <w:autoSpaceDE w:val="0"/>
        <w:autoSpaceDN w:val="0"/>
        <w:adjustRightInd w:val="0"/>
        <w:spacing w:before="251" w:line="291"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an overview explaining how the branch or the tied agent will contribute to the investment firm's, credit institution's or group's strategy, and setting out whether the investment firm is a member of a group, and what the main functions of the branch or tied agent will be;</w:t>
      </w:r>
    </w:p>
    <w:p w:rsidR="005C560D" w:rsidRPr="005C560D" w:rsidRDefault="005C560D" w:rsidP="005C560D">
      <w:pPr>
        <w:widowControl w:val="0"/>
        <w:numPr>
          <w:ilvl w:val="0"/>
          <w:numId w:val="38"/>
        </w:numPr>
        <w:kinsoku w:val="0"/>
        <w:overflowPunct w:val="0"/>
        <w:autoSpaceDE w:val="0"/>
        <w:autoSpaceDN w:val="0"/>
        <w:adjustRightInd w:val="0"/>
        <w:spacing w:before="254" w:line="290"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a description of the type of client or counterparty with which the branch or tied agent will be dealing and of how the investment firm or credit institution will obtain and deal with those clients and counterparties;</w:t>
      </w:r>
    </w:p>
    <w:p w:rsidR="005C560D" w:rsidRPr="005C560D" w:rsidRDefault="005C560D" w:rsidP="005C560D">
      <w:pPr>
        <w:widowControl w:val="0"/>
        <w:numPr>
          <w:ilvl w:val="0"/>
          <w:numId w:val="38"/>
        </w:numPr>
        <w:kinsoku w:val="0"/>
        <w:overflowPunct w:val="0"/>
        <w:autoSpaceDE w:val="0"/>
        <w:autoSpaceDN w:val="0"/>
        <w:adjustRightInd w:val="0"/>
        <w:spacing w:before="253" w:line="288"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the following information on the organisational structure of the branch or tied agent:</w:t>
      </w:r>
    </w:p>
    <w:p w:rsidR="005C560D" w:rsidRPr="005C560D" w:rsidRDefault="005C560D" w:rsidP="005C560D">
      <w:pPr>
        <w:autoSpaceDE w:val="0"/>
        <w:autoSpaceDN w:val="0"/>
        <w:adjustRightInd w:val="0"/>
        <w:jc w:val="left"/>
        <w:rPr>
          <w:rFonts w:ascii="Times New Roman" w:eastAsia="Times New Roman" w:hAnsi="Times New Roman"/>
          <w:sz w:val="24"/>
          <w:szCs w:val="24"/>
          <w:lang w:val="en-US"/>
        </w:rPr>
        <w:sectPr w:rsidR="005C560D" w:rsidRPr="005C560D">
          <w:pgSz w:w="11904" w:h="16843"/>
          <w:pgMar w:top="580" w:right="1314" w:bottom="806" w:left="1344" w:header="720" w:footer="720" w:gutter="0"/>
          <w:cols w:space="720"/>
          <w:noEndnote/>
        </w:sectPr>
      </w:pPr>
    </w:p>
    <w:p w:rsidR="005C560D" w:rsidRPr="005C560D" w:rsidRDefault="005C560D" w:rsidP="005C560D">
      <w:pPr>
        <w:widowControl w:val="0"/>
        <w:numPr>
          <w:ilvl w:val="0"/>
          <w:numId w:val="39"/>
        </w:numPr>
        <w:tabs>
          <w:tab w:val="right" w:pos="9144"/>
        </w:tabs>
        <w:kinsoku w:val="0"/>
        <w:overflowPunct w:val="0"/>
        <w:autoSpaceDE w:val="0"/>
        <w:autoSpaceDN w:val="0"/>
        <w:adjustRightInd w:val="0"/>
        <w:spacing w:before="542" w:line="291"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functional, geographical and legal reporting lines if a matrix management</w:t>
      </w:r>
      <w:r w:rsidR="005D2327">
        <w:rPr>
          <w:rFonts w:ascii="Arial" w:eastAsia="Times New Roman" w:hAnsi="Arial" w:cs="Arial"/>
          <w:bCs/>
          <w:lang w:val="en-US"/>
        </w:rPr>
        <w:t xml:space="preserve"> </w:t>
      </w:r>
      <w:r w:rsidRPr="005C560D">
        <w:rPr>
          <w:rFonts w:ascii="Arial" w:eastAsia="Times New Roman" w:hAnsi="Arial" w:cs="Arial"/>
          <w:bCs/>
          <w:lang w:val="en-US"/>
        </w:rPr>
        <w:t>structure is in operation;</w:t>
      </w:r>
    </w:p>
    <w:p w:rsidR="005C560D" w:rsidRPr="005C560D" w:rsidRDefault="005C560D" w:rsidP="005C560D">
      <w:pPr>
        <w:widowControl w:val="0"/>
        <w:numPr>
          <w:ilvl w:val="0"/>
          <w:numId w:val="40"/>
        </w:numPr>
        <w:kinsoku w:val="0"/>
        <w:overflowPunct w:val="0"/>
        <w:autoSpaceDE w:val="0"/>
        <w:autoSpaceDN w:val="0"/>
        <w:adjustRightInd w:val="0"/>
        <w:spacing w:before="250" w:line="291" w:lineRule="exact"/>
        <w:ind w:right="72"/>
        <w:jc w:val="left"/>
        <w:textAlignment w:val="baseline"/>
        <w:rPr>
          <w:rFonts w:ascii="Arial" w:eastAsia="Times New Roman" w:hAnsi="Arial" w:cs="Arial"/>
          <w:bCs/>
          <w:spacing w:val="-3"/>
          <w:lang w:val="en-US"/>
        </w:rPr>
      </w:pPr>
      <w:r w:rsidRPr="005C560D">
        <w:rPr>
          <w:rFonts w:ascii="Arial" w:eastAsia="Times New Roman" w:hAnsi="Arial" w:cs="Arial"/>
          <w:bCs/>
          <w:spacing w:val="-3"/>
          <w:lang w:val="en-US"/>
        </w:rPr>
        <w:t>description of the manner in which the branch or the tied agent fits into the corporate structure of the investment firm or credit institution, or of the group if the investment firm or credit institution is a member of a group;</w:t>
      </w:r>
    </w:p>
    <w:p w:rsidR="005C560D" w:rsidRPr="005C560D" w:rsidRDefault="005C560D" w:rsidP="005C560D">
      <w:pPr>
        <w:widowControl w:val="0"/>
        <w:numPr>
          <w:ilvl w:val="0"/>
          <w:numId w:val="40"/>
        </w:numPr>
        <w:kinsoku w:val="0"/>
        <w:overflowPunct w:val="0"/>
        <w:autoSpaceDE w:val="0"/>
        <w:autoSpaceDN w:val="0"/>
        <w:adjustRightInd w:val="0"/>
        <w:spacing w:before="297" w:line="245" w:lineRule="exact"/>
        <w:jc w:val="left"/>
        <w:textAlignment w:val="baseline"/>
        <w:rPr>
          <w:rFonts w:ascii="Arial" w:eastAsia="Times New Roman" w:hAnsi="Arial" w:cs="Arial"/>
          <w:bCs/>
          <w:spacing w:val="-3"/>
          <w:lang w:val="en-US"/>
        </w:rPr>
      </w:pPr>
      <w:r w:rsidRPr="005C560D">
        <w:rPr>
          <w:rFonts w:ascii="Arial" w:eastAsia="Times New Roman" w:hAnsi="Arial" w:cs="Arial"/>
          <w:bCs/>
          <w:spacing w:val="-3"/>
          <w:lang w:val="en-US"/>
        </w:rPr>
        <w:t>the rules for reporting by the branch or the tied agent to the head office;</w:t>
      </w:r>
    </w:p>
    <w:p w:rsidR="005C560D" w:rsidRPr="005C560D" w:rsidRDefault="005C560D" w:rsidP="005C560D">
      <w:pPr>
        <w:widowControl w:val="0"/>
        <w:kinsoku w:val="0"/>
        <w:overflowPunct w:val="0"/>
        <w:spacing w:before="256" w:line="289" w:lineRule="exact"/>
        <w:ind w:left="1224" w:right="360" w:hanging="576"/>
        <w:jc w:val="left"/>
        <w:textAlignment w:val="baseline"/>
        <w:rPr>
          <w:rFonts w:ascii="Arial" w:eastAsia="Times New Roman" w:hAnsi="Arial" w:cs="Arial"/>
          <w:bCs/>
          <w:lang w:val="en-US"/>
        </w:rPr>
      </w:pPr>
      <w:r w:rsidRPr="005C560D">
        <w:rPr>
          <w:rFonts w:ascii="Arial" w:eastAsia="Times New Roman" w:hAnsi="Arial" w:cs="Arial"/>
          <w:bCs/>
          <w:lang w:val="en-US"/>
        </w:rPr>
        <w:t xml:space="preserve">(e) </w:t>
      </w:r>
      <w:r w:rsidR="005D2327">
        <w:rPr>
          <w:rFonts w:ascii="Arial" w:eastAsia="Times New Roman" w:hAnsi="Arial" w:cs="Arial"/>
          <w:bCs/>
          <w:lang w:val="en-US"/>
        </w:rPr>
        <w:tab/>
      </w:r>
      <w:r w:rsidRPr="005C560D">
        <w:rPr>
          <w:rFonts w:ascii="Arial" w:eastAsia="Times New Roman" w:hAnsi="Arial" w:cs="Arial"/>
          <w:bCs/>
          <w:lang w:val="en-US"/>
        </w:rPr>
        <w:t>details of individuals performing key functions with the branch or the tied agent, including the individuals responsible for day-to-day branch or tied agent operations, compliance and dealing with complaints;</w:t>
      </w:r>
    </w:p>
    <w:p w:rsidR="005C560D" w:rsidRPr="005C560D" w:rsidRDefault="005C560D" w:rsidP="005D2327">
      <w:pPr>
        <w:widowControl w:val="0"/>
        <w:tabs>
          <w:tab w:val="right" w:pos="1232"/>
          <w:tab w:val="right" w:pos="9144"/>
        </w:tabs>
        <w:kinsoku w:val="0"/>
        <w:overflowPunct w:val="0"/>
        <w:spacing w:before="241" w:line="301" w:lineRule="exact"/>
        <w:ind w:left="1232" w:hanging="602"/>
        <w:jc w:val="left"/>
        <w:textAlignment w:val="baseline"/>
        <w:rPr>
          <w:rFonts w:ascii="Arial" w:eastAsia="Times New Roman" w:hAnsi="Arial" w:cs="Arial"/>
          <w:bCs/>
          <w:spacing w:val="-4"/>
          <w:lang w:val="en-US"/>
        </w:rPr>
      </w:pPr>
      <w:r w:rsidRPr="005C560D">
        <w:rPr>
          <w:rFonts w:ascii="Arial" w:eastAsia="Times New Roman" w:hAnsi="Arial" w:cs="Arial"/>
          <w:lang w:val="en-US"/>
        </w:rPr>
        <w:t>(f)</w:t>
      </w:r>
      <w:r w:rsidRPr="005C560D">
        <w:rPr>
          <w:rFonts w:ascii="Arial" w:eastAsia="Times New Roman" w:hAnsi="Arial" w:cs="Arial"/>
          <w:lang w:val="en-US"/>
        </w:rPr>
        <w:tab/>
      </w:r>
      <w:r w:rsidR="005D2327">
        <w:rPr>
          <w:rFonts w:ascii="Arial" w:eastAsia="Times New Roman" w:hAnsi="Arial" w:cs="Arial"/>
          <w:lang w:val="en-US"/>
        </w:rPr>
        <w:tab/>
      </w:r>
      <w:r w:rsidRPr="005C560D">
        <w:rPr>
          <w:rFonts w:ascii="Arial" w:eastAsia="Times New Roman" w:hAnsi="Arial" w:cs="Arial"/>
          <w:bCs/>
          <w:lang w:val="en-US"/>
        </w:rPr>
        <w:t>details of any outsourcing arrangements critical to the operations of the branch or</w:t>
      </w:r>
      <w:r w:rsidR="005D2327">
        <w:rPr>
          <w:rFonts w:ascii="Arial" w:eastAsia="Times New Roman" w:hAnsi="Arial" w:cs="Arial"/>
          <w:bCs/>
          <w:lang w:val="en-US"/>
        </w:rPr>
        <w:t xml:space="preserve"> </w:t>
      </w:r>
      <w:r w:rsidRPr="005C560D">
        <w:rPr>
          <w:rFonts w:ascii="Arial" w:eastAsia="Times New Roman" w:hAnsi="Arial" w:cs="Arial"/>
          <w:bCs/>
          <w:spacing w:val="-4"/>
          <w:lang w:val="en-US"/>
        </w:rPr>
        <w:t>the tied agent;</w:t>
      </w:r>
    </w:p>
    <w:p w:rsidR="005C560D" w:rsidRPr="005C560D" w:rsidRDefault="005C560D" w:rsidP="005C560D">
      <w:pPr>
        <w:widowControl w:val="0"/>
        <w:kinsoku w:val="0"/>
        <w:overflowPunct w:val="0"/>
        <w:spacing w:before="295" w:line="245" w:lineRule="exact"/>
        <w:ind w:left="72"/>
        <w:jc w:val="center"/>
        <w:textAlignment w:val="baseline"/>
        <w:rPr>
          <w:rFonts w:ascii="Arial" w:eastAsia="Times New Roman" w:hAnsi="Arial" w:cs="Arial"/>
          <w:bCs/>
          <w:spacing w:val="-1"/>
          <w:lang w:val="en-US"/>
        </w:rPr>
      </w:pPr>
      <w:r w:rsidRPr="005C560D">
        <w:rPr>
          <w:rFonts w:ascii="Arial" w:eastAsia="Times New Roman" w:hAnsi="Arial" w:cs="Arial"/>
          <w:bCs/>
          <w:spacing w:val="-1"/>
          <w:lang w:val="en-US"/>
        </w:rPr>
        <w:t xml:space="preserve">(g) </w:t>
      </w:r>
      <w:r w:rsidR="005D2327">
        <w:rPr>
          <w:rFonts w:ascii="Arial" w:eastAsia="Times New Roman" w:hAnsi="Arial" w:cs="Arial"/>
          <w:bCs/>
          <w:spacing w:val="-1"/>
          <w:lang w:val="en-US"/>
        </w:rPr>
        <w:tab/>
      </w:r>
      <w:r w:rsidRPr="005C560D">
        <w:rPr>
          <w:rFonts w:ascii="Arial" w:eastAsia="Times New Roman" w:hAnsi="Arial" w:cs="Arial"/>
          <w:bCs/>
          <w:spacing w:val="-1"/>
          <w:lang w:val="en-US"/>
        </w:rPr>
        <w:t>summary details of the systems and controls that will be put in place, including:</w:t>
      </w:r>
    </w:p>
    <w:p w:rsidR="005C560D" w:rsidRPr="005C560D" w:rsidRDefault="005C560D" w:rsidP="005C560D">
      <w:pPr>
        <w:widowControl w:val="0"/>
        <w:numPr>
          <w:ilvl w:val="0"/>
          <w:numId w:val="41"/>
        </w:numPr>
        <w:tabs>
          <w:tab w:val="right" w:pos="9144"/>
        </w:tabs>
        <w:kinsoku w:val="0"/>
        <w:overflowPunct w:val="0"/>
        <w:autoSpaceDE w:val="0"/>
        <w:autoSpaceDN w:val="0"/>
        <w:adjustRightInd w:val="0"/>
        <w:spacing w:before="245" w:line="294"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arrangements that will be put in place to safeguard client money and</w:t>
      </w:r>
      <w:r w:rsidR="005D2327">
        <w:rPr>
          <w:rFonts w:ascii="Arial" w:eastAsia="Times New Roman" w:hAnsi="Arial" w:cs="Arial"/>
          <w:bCs/>
          <w:lang w:val="en-US"/>
        </w:rPr>
        <w:t xml:space="preserve"> </w:t>
      </w:r>
      <w:r w:rsidRPr="005C560D">
        <w:rPr>
          <w:rFonts w:ascii="Arial" w:eastAsia="Times New Roman" w:hAnsi="Arial" w:cs="Arial"/>
          <w:bCs/>
          <w:lang w:val="en-US"/>
        </w:rPr>
        <w:t>customer assets;</w:t>
      </w:r>
    </w:p>
    <w:p w:rsidR="005C560D" w:rsidRPr="005C560D" w:rsidRDefault="005C560D" w:rsidP="005C560D">
      <w:pPr>
        <w:widowControl w:val="0"/>
        <w:numPr>
          <w:ilvl w:val="0"/>
          <w:numId w:val="42"/>
        </w:numPr>
        <w:kinsoku w:val="0"/>
        <w:overflowPunct w:val="0"/>
        <w:autoSpaceDE w:val="0"/>
        <w:autoSpaceDN w:val="0"/>
        <w:adjustRightInd w:val="0"/>
        <w:spacing w:before="248" w:line="292"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arrangements for the compliance with the rules of conduct of business and other obligations that fall under the responsibility of the competent authority of the host Member State according to Article 35(8) of Directive 2014/65/EU and record keeping under Article 16(6) of that Directive;</w:t>
      </w:r>
    </w:p>
    <w:p w:rsidR="005C560D" w:rsidRPr="005C560D" w:rsidRDefault="005C560D" w:rsidP="005C560D">
      <w:pPr>
        <w:widowControl w:val="0"/>
        <w:numPr>
          <w:ilvl w:val="0"/>
          <w:numId w:val="42"/>
        </w:numPr>
        <w:kinsoku w:val="0"/>
        <w:overflowPunct w:val="0"/>
        <w:autoSpaceDE w:val="0"/>
        <w:autoSpaceDN w:val="0"/>
        <w:adjustRightInd w:val="0"/>
        <w:spacing w:before="239" w:line="295"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internal arrangements for controls on staff, which shall include controls over personal account dealing;</w:t>
      </w:r>
    </w:p>
    <w:p w:rsidR="005C560D" w:rsidRPr="005C560D" w:rsidRDefault="005C560D" w:rsidP="005C560D">
      <w:pPr>
        <w:widowControl w:val="0"/>
        <w:numPr>
          <w:ilvl w:val="0"/>
          <w:numId w:val="42"/>
        </w:numPr>
        <w:kinsoku w:val="0"/>
        <w:overflowPunct w:val="0"/>
        <w:autoSpaceDE w:val="0"/>
        <w:autoSpaceDN w:val="0"/>
        <w:adjustRightInd w:val="0"/>
        <w:spacing w:before="296" w:line="245" w:lineRule="exact"/>
        <w:jc w:val="left"/>
        <w:textAlignment w:val="baseline"/>
        <w:rPr>
          <w:rFonts w:ascii="Arial" w:eastAsia="Times New Roman" w:hAnsi="Arial" w:cs="Arial"/>
          <w:bCs/>
          <w:spacing w:val="-4"/>
          <w:lang w:val="en-US"/>
        </w:rPr>
      </w:pPr>
      <w:r w:rsidRPr="005C560D">
        <w:rPr>
          <w:rFonts w:ascii="Arial" w:eastAsia="Times New Roman" w:hAnsi="Arial" w:cs="Arial"/>
          <w:bCs/>
          <w:spacing w:val="-4"/>
          <w:lang w:val="en-US"/>
        </w:rPr>
        <w:t>arrangements to comply with anti-money laundering obligations;</w:t>
      </w:r>
    </w:p>
    <w:p w:rsidR="005C560D" w:rsidRPr="005C560D" w:rsidRDefault="005C560D" w:rsidP="005C560D">
      <w:pPr>
        <w:widowControl w:val="0"/>
        <w:numPr>
          <w:ilvl w:val="0"/>
          <w:numId w:val="42"/>
        </w:numPr>
        <w:kinsoku w:val="0"/>
        <w:overflowPunct w:val="0"/>
        <w:autoSpaceDE w:val="0"/>
        <w:autoSpaceDN w:val="0"/>
        <w:adjustRightInd w:val="0"/>
        <w:spacing w:before="248" w:line="291"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details of controls over outsourcing and other arrangements with third parties in connection with the investment services or activities carried on by the branch or the tied agent;</w:t>
      </w:r>
    </w:p>
    <w:p w:rsidR="005C560D" w:rsidRPr="005C560D" w:rsidRDefault="005C560D" w:rsidP="005C560D">
      <w:pPr>
        <w:widowControl w:val="0"/>
        <w:numPr>
          <w:ilvl w:val="0"/>
          <w:numId w:val="42"/>
        </w:numPr>
        <w:kinsoku w:val="0"/>
        <w:overflowPunct w:val="0"/>
        <w:autoSpaceDE w:val="0"/>
        <w:autoSpaceDN w:val="0"/>
        <w:adjustRightInd w:val="0"/>
        <w:spacing w:before="250" w:line="291" w:lineRule="exact"/>
        <w:ind w:right="72"/>
        <w:jc w:val="left"/>
        <w:textAlignment w:val="baseline"/>
        <w:rPr>
          <w:rFonts w:ascii="Arial" w:eastAsia="Times New Roman" w:hAnsi="Arial" w:cs="Arial"/>
          <w:bCs/>
          <w:lang w:val="en-US"/>
        </w:rPr>
      </w:pPr>
      <w:r w:rsidRPr="005C560D">
        <w:rPr>
          <w:rFonts w:ascii="Arial" w:eastAsia="Times New Roman" w:hAnsi="Arial" w:cs="Arial"/>
          <w:bCs/>
          <w:lang w:val="en-US"/>
        </w:rPr>
        <w:t>details of the accredited compensation scheme of which the investment firm or credit institution is a member;</w:t>
      </w:r>
    </w:p>
    <w:p w:rsidR="005C560D" w:rsidRPr="005C560D" w:rsidRDefault="005C560D" w:rsidP="005C560D">
      <w:pPr>
        <w:widowControl w:val="0"/>
        <w:kinsoku w:val="0"/>
        <w:overflowPunct w:val="0"/>
        <w:spacing w:before="247" w:line="292" w:lineRule="exact"/>
        <w:ind w:left="1224" w:right="144" w:hanging="576"/>
        <w:jc w:val="left"/>
        <w:textAlignment w:val="baseline"/>
        <w:rPr>
          <w:rFonts w:ascii="Arial" w:eastAsia="Times New Roman" w:hAnsi="Arial" w:cs="Arial"/>
          <w:bCs/>
          <w:lang w:val="en-US"/>
        </w:rPr>
      </w:pPr>
      <w:r w:rsidRPr="005C560D">
        <w:rPr>
          <w:rFonts w:ascii="Arial" w:eastAsia="Times New Roman" w:hAnsi="Arial" w:cs="Arial"/>
          <w:bCs/>
          <w:lang w:val="en-US"/>
        </w:rPr>
        <w:t xml:space="preserve">(h) </w:t>
      </w:r>
      <w:r w:rsidR="005D2327">
        <w:rPr>
          <w:rFonts w:ascii="Arial" w:eastAsia="Times New Roman" w:hAnsi="Arial" w:cs="Arial"/>
          <w:bCs/>
          <w:lang w:val="en-US"/>
        </w:rPr>
        <w:tab/>
      </w:r>
      <w:r w:rsidRPr="005C560D">
        <w:rPr>
          <w:rFonts w:ascii="Arial" w:eastAsia="Times New Roman" w:hAnsi="Arial" w:cs="Arial"/>
          <w:bCs/>
          <w:lang w:val="en-US"/>
        </w:rPr>
        <w:t>forecast statements for both profit and loss and cash flow, over an initial thirty-six month period.</w:t>
      </w:r>
    </w:p>
    <w:p w:rsidR="005C560D" w:rsidRPr="005C560D" w:rsidRDefault="005C560D" w:rsidP="005D2327">
      <w:pPr>
        <w:widowControl w:val="0"/>
        <w:tabs>
          <w:tab w:val="right" w:pos="142"/>
          <w:tab w:val="left" w:pos="658"/>
        </w:tabs>
        <w:kinsoku w:val="0"/>
        <w:overflowPunct w:val="0"/>
        <w:spacing w:before="254" w:line="290" w:lineRule="exact"/>
        <w:ind w:left="652" w:hanging="578"/>
        <w:jc w:val="left"/>
        <w:textAlignment w:val="baseline"/>
        <w:rPr>
          <w:rFonts w:ascii="Arial" w:eastAsia="Times New Roman" w:hAnsi="Arial" w:cs="Arial"/>
          <w:bCs/>
          <w:lang w:val="en-US"/>
        </w:rPr>
      </w:pPr>
      <w:r w:rsidRPr="005C560D">
        <w:rPr>
          <w:rFonts w:ascii="Arial" w:eastAsia="Times New Roman" w:hAnsi="Arial" w:cs="Arial"/>
          <w:bCs/>
          <w:lang w:val="en-US"/>
        </w:rPr>
        <w:t>3.</w:t>
      </w:r>
      <w:r w:rsidRPr="005C560D">
        <w:rPr>
          <w:rFonts w:ascii="Arial" w:eastAsia="Times New Roman" w:hAnsi="Arial" w:cs="Arial"/>
          <w:bCs/>
          <w:lang w:val="en-US"/>
        </w:rPr>
        <w:tab/>
      </w:r>
      <w:r w:rsidR="005D2327">
        <w:rPr>
          <w:rFonts w:ascii="Arial" w:eastAsia="Times New Roman" w:hAnsi="Arial" w:cs="Arial"/>
          <w:bCs/>
          <w:lang w:val="en-US"/>
        </w:rPr>
        <w:tab/>
      </w:r>
      <w:r w:rsidRPr="005C560D">
        <w:rPr>
          <w:rFonts w:ascii="Arial" w:eastAsia="Times New Roman" w:hAnsi="Arial" w:cs="Arial"/>
          <w:bCs/>
          <w:lang w:val="en-US"/>
        </w:rPr>
        <w:t>When a branch is to be established in a host Member State and intends to use tied</w:t>
      </w:r>
      <w:r w:rsidR="005D2327">
        <w:rPr>
          <w:rFonts w:ascii="Arial" w:eastAsia="Times New Roman" w:hAnsi="Arial" w:cs="Arial"/>
          <w:bCs/>
          <w:lang w:val="en-US"/>
        </w:rPr>
        <w:t xml:space="preserve"> </w:t>
      </w:r>
      <w:r w:rsidRPr="005C560D">
        <w:rPr>
          <w:rFonts w:ascii="Arial" w:eastAsia="Times New Roman" w:hAnsi="Arial" w:cs="Arial"/>
          <w:bCs/>
          <w:lang w:val="en-US"/>
        </w:rPr>
        <w:t>agents in that Member State, in accordance with Article 35(2)(c) of Directive 2014/65/EU, the programme of operations referred to in point (e) of paragraph 1 shall also comprise information regarding the identity, address and contact details of each such tied agent.</w:t>
      </w:r>
    </w:p>
    <w:p w:rsidR="005C560D" w:rsidRPr="005C560D" w:rsidRDefault="005C560D" w:rsidP="005C560D">
      <w:pPr>
        <w:autoSpaceDE w:val="0"/>
        <w:autoSpaceDN w:val="0"/>
        <w:adjustRightInd w:val="0"/>
        <w:jc w:val="left"/>
        <w:rPr>
          <w:rFonts w:ascii="Times New Roman" w:eastAsia="Times New Roman" w:hAnsi="Times New Roman"/>
          <w:sz w:val="24"/>
          <w:szCs w:val="24"/>
          <w:lang w:val="en-US"/>
        </w:rPr>
        <w:sectPr w:rsidR="005C560D" w:rsidRPr="005C560D">
          <w:pgSz w:w="11904" w:h="16843"/>
          <w:pgMar w:top="560" w:right="1321" w:bottom="797" w:left="1337" w:header="720" w:footer="720" w:gutter="0"/>
          <w:cols w:space="720"/>
          <w:noEndnote/>
        </w:sectPr>
      </w:pPr>
    </w:p>
    <w:p w:rsidR="005C560D" w:rsidRPr="005C560D" w:rsidRDefault="005C560D" w:rsidP="005C560D">
      <w:pPr>
        <w:widowControl w:val="0"/>
        <w:kinsoku w:val="0"/>
        <w:overflowPunct w:val="0"/>
        <w:spacing w:before="587" w:line="245" w:lineRule="exact"/>
        <w:ind w:left="72"/>
        <w:jc w:val="center"/>
        <w:textAlignment w:val="baseline"/>
        <w:rPr>
          <w:rFonts w:ascii="Arial" w:eastAsia="Times New Roman" w:hAnsi="Arial" w:cs="Arial"/>
          <w:lang w:val="en-US"/>
        </w:rPr>
      </w:pPr>
      <w:r w:rsidRPr="005C560D">
        <w:rPr>
          <w:rFonts w:ascii="Arial" w:eastAsia="Times New Roman" w:hAnsi="Arial" w:cs="Arial"/>
          <w:lang w:val="en-US"/>
        </w:rPr>
        <w:t>Article 7</w:t>
      </w:r>
    </w:p>
    <w:p w:rsidR="005C560D" w:rsidRPr="005C560D" w:rsidRDefault="005C560D" w:rsidP="005C560D">
      <w:pPr>
        <w:widowControl w:val="0"/>
        <w:kinsoku w:val="0"/>
        <w:overflowPunct w:val="0"/>
        <w:spacing w:before="47" w:line="248" w:lineRule="exact"/>
        <w:ind w:left="216"/>
        <w:jc w:val="left"/>
        <w:textAlignment w:val="baseline"/>
        <w:rPr>
          <w:rFonts w:ascii="Arial" w:eastAsia="Times New Roman" w:hAnsi="Arial" w:cs="Arial"/>
          <w:b/>
          <w:bCs/>
          <w:lang w:val="en-US"/>
        </w:rPr>
      </w:pPr>
      <w:r w:rsidRPr="005C560D">
        <w:rPr>
          <w:rFonts w:ascii="Arial" w:eastAsia="Times New Roman" w:hAnsi="Arial" w:cs="Arial"/>
          <w:b/>
          <w:bCs/>
          <w:lang w:val="en-US"/>
        </w:rPr>
        <w:t>Information to be notified concerning the change of branch or tied agent particulars</w:t>
      </w:r>
    </w:p>
    <w:p w:rsidR="005C560D" w:rsidRPr="005C560D" w:rsidRDefault="005C560D" w:rsidP="005C560D">
      <w:pPr>
        <w:widowControl w:val="0"/>
        <w:numPr>
          <w:ilvl w:val="0"/>
          <w:numId w:val="43"/>
        </w:numPr>
        <w:tabs>
          <w:tab w:val="right" w:pos="9144"/>
        </w:tabs>
        <w:kinsoku w:val="0"/>
        <w:overflowPunct w:val="0"/>
        <w:autoSpaceDE w:val="0"/>
        <w:autoSpaceDN w:val="0"/>
        <w:adjustRightInd w:val="0"/>
        <w:spacing w:before="251" w:line="290" w:lineRule="exact"/>
        <w:ind w:right="72"/>
        <w:jc w:val="left"/>
        <w:textAlignment w:val="baseline"/>
        <w:rPr>
          <w:rFonts w:ascii="Arial" w:eastAsia="Times New Roman" w:hAnsi="Arial" w:cs="Arial"/>
          <w:spacing w:val="1"/>
          <w:lang w:val="en-US"/>
        </w:rPr>
      </w:pPr>
      <w:r w:rsidRPr="005C560D">
        <w:rPr>
          <w:rFonts w:ascii="Arial" w:eastAsia="Times New Roman" w:hAnsi="Arial" w:cs="Arial"/>
          <w:spacing w:val="1"/>
          <w:lang w:val="en-US"/>
        </w:rPr>
        <w:t>Investment firms and such credit institutions as are referred to in Article 1(2)(b) shall</w:t>
      </w:r>
      <w:r w:rsidR="005D2327">
        <w:rPr>
          <w:rFonts w:ascii="Arial" w:eastAsia="Times New Roman" w:hAnsi="Arial" w:cs="Arial"/>
          <w:spacing w:val="1"/>
          <w:lang w:val="en-US"/>
        </w:rPr>
        <w:t xml:space="preserve"> </w:t>
      </w:r>
      <w:r w:rsidRPr="005C560D">
        <w:rPr>
          <w:rFonts w:ascii="Arial" w:eastAsia="Times New Roman" w:hAnsi="Arial" w:cs="Arial"/>
          <w:spacing w:val="1"/>
          <w:lang w:val="en-US"/>
        </w:rPr>
        <w:t>ensure that a notification to communicate a change in particulars, pursuant to Article 35(10) of Directive 2014/65/EU, includes details of any change to any of the information contained in the initial investment services and activities passport notification.</w:t>
      </w:r>
    </w:p>
    <w:p w:rsidR="005C560D" w:rsidRPr="005C560D" w:rsidRDefault="005C560D" w:rsidP="005C560D">
      <w:pPr>
        <w:widowControl w:val="0"/>
        <w:numPr>
          <w:ilvl w:val="0"/>
          <w:numId w:val="43"/>
        </w:numPr>
        <w:tabs>
          <w:tab w:val="right" w:pos="9144"/>
        </w:tabs>
        <w:kinsoku w:val="0"/>
        <w:overflowPunct w:val="0"/>
        <w:autoSpaceDE w:val="0"/>
        <w:autoSpaceDN w:val="0"/>
        <w:adjustRightInd w:val="0"/>
        <w:spacing w:before="254" w:line="290"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Investment firms and such credit institutions as are referred to in Article 1(2)(b) shall</w:t>
      </w:r>
      <w:r w:rsidR="005D2327">
        <w:rPr>
          <w:rFonts w:ascii="Arial" w:eastAsia="Times New Roman" w:hAnsi="Arial" w:cs="Arial"/>
          <w:lang w:val="en-US"/>
        </w:rPr>
        <w:t xml:space="preserve"> </w:t>
      </w:r>
      <w:r w:rsidRPr="005C560D">
        <w:rPr>
          <w:rFonts w:ascii="Arial" w:eastAsia="Times New Roman" w:hAnsi="Arial" w:cs="Arial"/>
          <w:lang w:val="en-US"/>
        </w:rPr>
        <w:t>ensure that any changes to the branch passport notification or tied agent passport notification that relate to the termination of the operation of the branch, or the cessation of the use of a tied agent, shall include the following information:</w:t>
      </w:r>
    </w:p>
    <w:p w:rsidR="005C560D" w:rsidRPr="005C560D" w:rsidRDefault="005C560D" w:rsidP="005C560D">
      <w:pPr>
        <w:widowControl w:val="0"/>
        <w:numPr>
          <w:ilvl w:val="0"/>
          <w:numId w:val="44"/>
        </w:numPr>
        <w:kinsoku w:val="0"/>
        <w:overflowPunct w:val="0"/>
        <w:autoSpaceDE w:val="0"/>
        <w:autoSpaceDN w:val="0"/>
        <w:adjustRightInd w:val="0"/>
        <w:spacing w:before="259" w:line="286"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the name of the person or persons who will be responsible for the process of terminating the operation of the branch or the tied agent;</w:t>
      </w:r>
    </w:p>
    <w:p w:rsidR="005C560D" w:rsidRPr="005C560D" w:rsidRDefault="005C560D" w:rsidP="005C560D">
      <w:pPr>
        <w:widowControl w:val="0"/>
        <w:numPr>
          <w:ilvl w:val="0"/>
          <w:numId w:val="44"/>
        </w:numPr>
        <w:kinsoku w:val="0"/>
        <w:overflowPunct w:val="0"/>
        <w:autoSpaceDE w:val="0"/>
        <w:autoSpaceDN w:val="0"/>
        <w:adjustRightInd w:val="0"/>
        <w:spacing w:before="297" w:line="245" w:lineRule="exact"/>
        <w:jc w:val="left"/>
        <w:textAlignment w:val="baseline"/>
        <w:rPr>
          <w:rFonts w:ascii="Arial" w:eastAsia="Times New Roman" w:hAnsi="Arial" w:cs="Arial"/>
          <w:lang w:val="en-US"/>
        </w:rPr>
      </w:pPr>
      <w:r w:rsidRPr="005C560D">
        <w:rPr>
          <w:rFonts w:ascii="Arial" w:eastAsia="Times New Roman" w:hAnsi="Arial" w:cs="Arial"/>
          <w:lang w:val="en-US"/>
        </w:rPr>
        <w:t>the schedule of the planned termination;</w:t>
      </w:r>
    </w:p>
    <w:p w:rsidR="005C560D" w:rsidRPr="005C560D" w:rsidRDefault="005C560D" w:rsidP="005C560D">
      <w:pPr>
        <w:widowControl w:val="0"/>
        <w:numPr>
          <w:ilvl w:val="0"/>
          <w:numId w:val="44"/>
        </w:numPr>
        <w:kinsoku w:val="0"/>
        <w:overflowPunct w:val="0"/>
        <w:autoSpaceDE w:val="0"/>
        <w:autoSpaceDN w:val="0"/>
        <w:adjustRightInd w:val="0"/>
        <w:spacing w:before="256" w:line="290" w:lineRule="exact"/>
        <w:ind w:right="72"/>
        <w:jc w:val="left"/>
        <w:textAlignment w:val="baseline"/>
        <w:rPr>
          <w:rFonts w:ascii="Arial" w:eastAsia="Times New Roman" w:hAnsi="Arial" w:cs="Arial"/>
          <w:lang w:val="en-US"/>
        </w:rPr>
      </w:pPr>
      <w:r w:rsidRPr="005C560D">
        <w:rPr>
          <w:rFonts w:ascii="Arial" w:eastAsia="Times New Roman" w:hAnsi="Arial" w:cs="Arial"/>
          <w:lang w:val="en-US"/>
        </w:rPr>
        <w:t>the details and processes proposed to wind down the business operations, including details of how client interests are to be protected, complaints resolved and any outstanding liabilities discharged.</w:t>
      </w:r>
    </w:p>
    <w:p w:rsidR="005C560D" w:rsidRPr="005C560D" w:rsidRDefault="005C560D" w:rsidP="005C560D">
      <w:pPr>
        <w:widowControl w:val="0"/>
        <w:kinsoku w:val="0"/>
        <w:overflowPunct w:val="0"/>
        <w:spacing w:before="582" w:line="245" w:lineRule="exact"/>
        <w:ind w:left="72"/>
        <w:jc w:val="center"/>
        <w:textAlignment w:val="baseline"/>
        <w:rPr>
          <w:rFonts w:ascii="Arial" w:eastAsia="Times New Roman" w:hAnsi="Arial" w:cs="Arial"/>
          <w:lang w:val="en-US"/>
        </w:rPr>
      </w:pPr>
      <w:r w:rsidRPr="005C560D">
        <w:rPr>
          <w:rFonts w:ascii="Arial" w:eastAsia="Times New Roman" w:hAnsi="Arial" w:cs="Arial"/>
          <w:lang w:val="en-US"/>
        </w:rPr>
        <w:t>Article 8</w:t>
      </w:r>
    </w:p>
    <w:p w:rsidR="005C560D" w:rsidRPr="005C560D" w:rsidRDefault="005C560D" w:rsidP="005C560D">
      <w:pPr>
        <w:widowControl w:val="0"/>
        <w:kinsoku w:val="0"/>
        <w:overflowPunct w:val="0"/>
        <w:spacing w:before="48" w:line="248" w:lineRule="exact"/>
        <w:ind w:left="72"/>
        <w:jc w:val="center"/>
        <w:textAlignment w:val="baseline"/>
        <w:rPr>
          <w:rFonts w:ascii="Arial" w:eastAsia="Times New Roman" w:hAnsi="Arial" w:cs="Arial"/>
          <w:b/>
          <w:bCs/>
          <w:spacing w:val="-1"/>
          <w:lang w:val="en-US"/>
        </w:rPr>
      </w:pPr>
      <w:r w:rsidRPr="005C560D">
        <w:rPr>
          <w:rFonts w:ascii="Arial" w:eastAsia="Times New Roman" w:hAnsi="Arial" w:cs="Arial"/>
          <w:b/>
          <w:bCs/>
          <w:spacing w:val="-1"/>
          <w:lang w:val="en-US"/>
        </w:rPr>
        <w:t>Entry into force</w:t>
      </w:r>
    </w:p>
    <w:p w:rsidR="005C560D" w:rsidRPr="005C560D" w:rsidRDefault="005C560D" w:rsidP="005C560D">
      <w:pPr>
        <w:widowControl w:val="0"/>
        <w:kinsoku w:val="0"/>
        <w:overflowPunct w:val="0"/>
        <w:spacing w:before="250" w:line="292" w:lineRule="exact"/>
        <w:ind w:left="72" w:right="72"/>
        <w:textAlignment w:val="baseline"/>
        <w:rPr>
          <w:rFonts w:ascii="Arial" w:eastAsia="Times New Roman" w:hAnsi="Arial" w:cs="Arial"/>
          <w:i/>
          <w:iCs/>
          <w:lang w:val="en-US"/>
        </w:rPr>
      </w:pPr>
      <w:r w:rsidRPr="005C560D">
        <w:rPr>
          <w:rFonts w:ascii="Arial" w:eastAsia="Times New Roman" w:hAnsi="Arial" w:cs="Arial"/>
          <w:lang w:val="en-US"/>
        </w:rPr>
        <w:t xml:space="preserve">This Regulation shall enter into force on the twentieth day following that of its publication in the </w:t>
      </w:r>
      <w:r w:rsidRPr="005C560D">
        <w:rPr>
          <w:rFonts w:ascii="Arial" w:eastAsia="Times New Roman" w:hAnsi="Arial" w:cs="Arial"/>
          <w:i/>
          <w:iCs/>
          <w:lang w:val="en-US"/>
        </w:rPr>
        <w:t>Official Journal of the European Union.</w:t>
      </w:r>
    </w:p>
    <w:p w:rsidR="005C560D" w:rsidRPr="005C560D" w:rsidRDefault="005C560D" w:rsidP="005C560D">
      <w:pPr>
        <w:widowControl w:val="0"/>
        <w:kinsoku w:val="0"/>
        <w:overflowPunct w:val="0"/>
        <w:spacing w:before="289" w:line="245" w:lineRule="exact"/>
        <w:ind w:left="72"/>
        <w:jc w:val="left"/>
        <w:textAlignment w:val="baseline"/>
        <w:rPr>
          <w:rFonts w:ascii="Arial" w:eastAsia="Times New Roman" w:hAnsi="Arial" w:cs="Arial"/>
          <w:spacing w:val="-1"/>
          <w:lang w:val="en-US"/>
        </w:rPr>
      </w:pPr>
      <w:r w:rsidRPr="005C560D">
        <w:rPr>
          <w:rFonts w:ascii="Arial" w:eastAsia="Times New Roman" w:hAnsi="Arial" w:cs="Arial"/>
          <w:spacing w:val="-1"/>
          <w:lang w:val="en-US"/>
        </w:rPr>
        <w:t>It shall apply from 3 January 2017.</w:t>
      </w:r>
    </w:p>
    <w:p w:rsidR="005C560D" w:rsidRPr="005C560D" w:rsidRDefault="005C560D" w:rsidP="005C560D">
      <w:pPr>
        <w:widowControl w:val="0"/>
        <w:kinsoku w:val="0"/>
        <w:overflowPunct w:val="0"/>
        <w:spacing w:before="295" w:line="245" w:lineRule="exact"/>
        <w:ind w:left="72"/>
        <w:jc w:val="left"/>
        <w:textAlignment w:val="baseline"/>
        <w:rPr>
          <w:rFonts w:ascii="Arial" w:eastAsia="Times New Roman" w:hAnsi="Arial" w:cs="Arial"/>
          <w:lang w:val="en-US"/>
        </w:rPr>
      </w:pPr>
      <w:r w:rsidRPr="005C560D">
        <w:rPr>
          <w:rFonts w:ascii="Arial" w:eastAsia="Times New Roman" w:hAnsi="Arial" w:cs="Arial"/>
          <w:lang w:val="en-US"/>
        </w:rPr>
        <w:t>This Regulation shall be binding in its entirety and directly applicable in all Member States.</w:t>
      </w:r>
    </w:p>
    <w:p w:rsidR="005C560D" w:rsidRPr="005C560D" w:rsidRDefault="005C560D" w:rsidP="005C560D">
      <w:pPr>
        <w:widowControl w:val="0"/>
        <w:kinsoku w:val="0"/>
        <w:overflowPunct w:val="0"/>
        <w:spacing w:before="12" w:line="539" w:lineRule="exact"/>
        <w:ind w:left="6408" w:right="792" w:hanging="72"/>
        <w:jc w:val="left"/>
        <w:textAlignment w:val="baseline"/>
        <w:rPr>
          <w:rFonts w:ascii="Arial" w:eastAsia="Times New Roman" w:hAnsi="Arial" w:cs="Arial"/>
          <w:i/>
          <w:iCs/>
          <w:lang w:val="en-US"/>
        </w:rPr>
      </w:pPr>
      <w:bookmarkStart w:id="0" w:name="_GoBack"/>
      <w:bookmarkEnd w:id="0"/>
      <w:r w:rsidRPr="005C560D">
        <w:rPr>
          <w:rFonts w:ascii="Arial" w:eastAsia="Times New Roman" w:hAnsi="Arial" w:cs="Arial"/>
          <w:i/>
          <w:iCs/>
          <w:lang w:val="en-US"/>
        </w:rPr>
        <w:t>Done at Brussels, For the Commission</w:t>
      </w:r>
    </w:p>
    <w:p w:rsidR="005C560D" w:rsidRPr="005C560D" w:rsidRDefault="005C560D" w:rsidP="005C560D">
      <w:pPr>
        <w:widowControl w:val="0"/>
        <w:kinsoku w:val="0"/>
        <w:overflowPunct w:val="0"/>
        <w:spacing w:before="292" w:line="251" w:lineRule="exact"/>
        <w:ind w:left="6408"/>
        <w:jc w:val="left"/>
        <w:textAlignment w:val="baseline"/>
        <w:rPr>
          <w:rFonts w:ascii="Arial" w:eastAsia="Times New Roman" w:hAnsi="Arial" w:cs="Arial"/>
          <w:i/>
          <w:iCs/>
          <w:spacing w:val="-1"/>
          <w:lang w:val="en-US"/>
        </w:rPr>
      </w:pPr>
      <w:r w:rsidRPr="005C560D">
        <w:rPr>
          <w:rFonts w:ascii="Arial" w:eastAsia="Times New Roman" w:hAnsi="Arial" w:cs="Arial"/>
          <w:i/>
          <w:iCs/>
          <w:spacing w:val="-1"/>
          <w:lang w:val="en-US"/>
        </w:rPr>
        <w:t>The President</w:t>
      </w:r>
    </w:p>
    <w:p w:rsidR="005C560D" w:rsidRPr="005C560D" w:rsidRDefault="005C560D" w:rsidP="005C560D">
      <w:pPr>
        <w:widowControl w:val="0"/>
        <w:kinsoku w:val="0"/>
        <w:overflowPunct w:val="0"/>
        <w:spacing w:before="5" w:line="578" w:lineRule="exact"/>
        <w:ind w:left="6408" w:hanging="72"/>
        <w:jc w:val="left"/>
        <w:textAlignment w:val="baseline"/>
        <w:rPr>
          <w:rFonts w:ascii="Arial" w:eastAsia="Times New Roman" w:hAnsi="Arial" w:cs="Arial"/>
          <w:i/>
          <w:iCs/>
          <w:lang w:val="en-US"/>
        </w:rPr>
      </w:pPr>
      <w:r w:rsidRPr="005C560D">
        <w:rPr>
          <w:rFonts w:ascii="Arial" w:eastAsia="Times New Roman" w:hAnsi="Arial" w:cs="Arial"/>
          <w:i/>
          <w:iCs/>
          <w:lang w:val="en-US"/>
        </w:rPr>
        <w:t>On behalf of the President [Position]</w:t>
      </w:r>
    </w:p>
    <w:p w:rsidR="00903624" w:rsidRPr="00732881" w:rsidRDefault="00903624" w:rsidP="00614675">
      <w:pPr>
        <w:pStyle w:val="ssPara1"/>
      </w:pPr>
    </w:p>
    <w:sectPr w:rsidR="00903624" w:rsidRPr="00732881" w:rsidSect="002145F3">
      <w:headerReference w:type="even" r:id="rId10"/>
      <w:headerReference w:type="default" r:id="rId11"/>
      <w:footerReference w:type="even" r:id="rId12"/>
      <w:footerReference w:type="default" r:id="rId13"/>
      <w:headerReference w:type="first" r:id="rId14"/>
      <w:footerReference w:type="first" r:id="rId15"/>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21" w:rsidRDefault="00E85921" w:rsidP="002145F3">
      <w:r>
        <w:separator/>
      </w:r>
    </w:p>
  </w:endnote>
  <w:endnote w:type="continuationSeparator" w:id="0">
    <w:p w:rsidR="00E85921" w:rsidRDefault="00E85921"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55" w:rsidRDefault="00DA2C55">
    <w:pPr>
      <w:pStyle w:val="Footer"/>
    </w:pPr>
  </w:p>
  <w:p w:rsidR="003C52BF" w:rsidRDefault="003C52BF"/>
  <w:p w:rsidR="003C52BF" w:rsidRDefault="00DA2C55">
    <w:r>
      <w:t>FMFS/OPEN/-1/SJWA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486A67"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5C560D">
      <w:rPr>
        <w:rStyle w:val="PageNumber"/>
        <w:noProof/>
      </w:rPr>
      <w:t>2</w:t>
    </w:r>
    <w:r w:rsidR="002145F3" w:rsidRPr="00FA6CFE">
      <w:rPr>
        <w:rStyle w:val="PageNumber"/>
      </w:rPr>
      <w:fldChar w:fldCharType="end"/>
    </w:r>
    <w:r w:rsidR="002145F3" w:rsidRPr="00FA6CFE">
      <w:tab/>
      <w:t xml:space="preserve"> </w:t>
    </w:r>
    <w:bookmarkStart w:id="3" w:name="bmkDocIDContinuation"/>
    <w:r>
      <w:t>L_LIVE_EMEA1:29554781v1</w:t>
    </w:r>
    <w:bookmarkEnd w:id="3"/>
  </w:p>
  <w:p w:rsidR="003C52BF" w:rsidRDefault="003C52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486A67">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L_LIVE_EMEA1:29554781v1</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21" w:rsidRDefault="00E85921" w:rsidP="002145F3">
      <w:r>
        <w:separator/>
      </w:r>
    </w:p>
  </w:footnote>
  <w:footnote w:type="continuationSeparator" w:id="0">
    <w:p w:rsidR="00E85921" w:rsidRDefault="00E85921" w:rsidP="002145F3">
      <w:r>
        <w:continuationSeparator/>
      </w:r>
    </w:p>
  </w:footnote>
  <w:footnote w:id="1">
    <w:p w:rsidR="00E44A09" w:rsidRDefault="00E44A09">
      <w:pPr>
        <w:pStyle w:val="FootnoteText"/>
      </w:pPr>
      <w:r>
        <w:rPr>
          <w:rStyle w:val="FootnoteReference"/>
        </w:rPr>
        <w:footnoteRef/>
      </w:r>
      <w:r>
        <w:t xml:space="preserve"> </w:t>
      </w:r>
      <w:r w:rsidRPr="00E44A09">
        <w:rPr>
          <w:sz w:val="16"/>
          <w:szCs w:val="16"/>
        </w:rPr>
        <w:t>OJ L 173, 12.6.2014, p.349</w:t>
      </w:r>
    </w:p>
  </w:footnote>
  <w:footnote w:id="2">
    <w:p w:rsidR="00E44A09" w:rsidRDefault="00E44A09">
      <w:pPr>
        <w:pStyle w:val="FootnoteText"/>
      </w:pPr>
      <w:r>
        <w:rPr>
          <w:rStyle w:val="FootnoteReference"/>
        </w:rPr>
        <w:footnoteRef/>
      </w:r>
      <w:r>
        <w:t xml:space="preserve"> </w:t>
      </w:r>
      <w:r w:rsidRPr="005C560D">
        <w:rPr>
          <w:rFonts w:ascii="Arial" w:eastAsia="Times New Roman" w:hAnsi="Arial" w:cs="Arial"/>
          <w:sz w:val="16"/>
          <w:szCs w:val="16"/>
          <w:lang w:val="en-US"/>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A09" w:rsidRDefault="00E44A09">
    <w:pPr>
      <w:pStyle w:val="Header"/>
    </w:pPr>
    <w:r>
      <w:rPr>
        <w:noProof/>
      </w:rPr>
      <mc:AlternateContent>
        <mc:Choice Requires="wps">
          <w:drawing>
            <wp:anchor distT="0" distB="0" distL="114300" distR="114300" simplePos="0" relativeHeight="251659264" behindDoc="0" locked="0" layoutInCell="1" allowOverlap="1" wp14:anchorId="77E549E7" wp14:editId="32510A05">
              <wp:simplePos x="0" y="0"/>
              <wp:positionH relativeFrom="page">
                <wp:posOffset>1601470</wp:posOffset>
              </wp:positionH>
              <wp:positionV relativeFrom="page">
                <wp:posOffset>458470</wp:posOffset>
              </wp:positionV>
              <wp:extent cx="0" cy="564515"/>
              <wp:effectExtent l="0" t="0" r="19050" b="260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15240">
                        <a:solidFill>
                          <a:srgbClr val="2935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1pt,36.1pt" to="126.1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" strokecolor="#293583" strokeweight="1.2pt">
              <w10:wrap anchorx="page" anchory="page"/>
            </v:line>
          </w:pict>
        </mc:Fallback>
      </mc:AlternateContent>
    </w:r>
    <w:r>
      <w:rPr>
        <w:noProof/>
      </w:rPr>
      <w:drawing>
        <wp:inline distT="0" distB="0" distL="0" distR="0" wp14:anchorId="69FA3941" wp14:editId="3F7371D8">
          <wp:extent cx="609600" cy="573405"/>
          <wp:effectExtent l="0" t="0" r="0" b="0"/>
          <wp:docPr id="6"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a:stretch>
                    <a:fillRect/>
                  </a:stretch>
                </pic:blipFill>
                <pic:spPr>
                  <a:xfrm>
                    <a:off x="0" y="0"/>
                    <a:ext cx="609600" cy="573405"/>
                  </a:xfrm>
                  <a:prstGeom prst="rect">
                    <a:avLst/>
                  </a:prstGeom>
                </pic:spPr>
              </pic:pic>
            </a:graphicData>
          </a:graphic>
        </wp:inline>
      </w:drawing>
    </w:r>
  </w:p>
  <w:p w:rsidR="00E44A09" w:rsidRDefault="00E44A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55" w:rsidRDefault="00DA2C55">
    <w:pPr>
      <w:pStyle w:val="Header"/>
    </w:pPr>
  </w:p>
  <w:p w:rsidR="003C52BF" w:rsidRDefault="003C52B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55" w:rsidRDefault="00DA2C55">
    <w:pPr>
      <w:pStyle w:val="Header"/>
    </w:pPr>
  </w:p>
  <w:p w:rsidR="003C52BF" w:rsidRDefault="003C52B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C55" w:rsidRDefault="005D2327">
    <w:pPr>
      <w:pStyle w:val="Header"/>
    </w:pPr>
    <w:r>
      <w:rPr>
        <w:noProof/>
      </w:rPr>
      <w:drawing>
        <wp:inline distT="0" distB="0" distL="0" distR="0" wp14:anchorId="7D2A6751" wp14:editId="5ECA8B7B">
          <wp:extent cx="609600" cy="5727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727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0EFD099"/>
    <w:multiLevelType w:val="singleLevel"/>
    <w:tmpl w:val="075B77D3"/>
    <w:lvl w:ilvl="0">
      <w:start w:val="1"/>
      <w:numFmt w:val="lowerLetter"/>
      <w:lvlText w:val="(%1)"/>
      <w:lvlJc w:val="left"/>
      <w:pPr>
        <w:tabs>
          <w:tab w:val="num" w:pos="1224"/>
        </w:tabs>
        <w:ind w:left="1224" w:hanging="576"/>
      </w:pPr>
      <w:rPr>
        <w:rFonts w:ascii="Arial" w:hAnsi="Arial" w:cs="Arial"/>
        <w:snapToGrid/>
        <w:sz w:val="22"/>
        <w:szCs w:val="22"/>
      </w:rPr>
    </w:lvl>
  </w:abstractNum>
  <w:abstractNum w:abstractNumId="11">
    <w:nsid w:val="023DB60D"/>
    <w:multiLevelType w:val="singleLevel"/>
    <w:tmpl w:val="46E6BD03"/>
    <w:lvl w:ilvl="0">
      <w:start w:val="1"/>
      <w:numFmt w:val="lowerLetter"/>
      <w:lvlText w:val="(%1)"/>
      <w:lvlJc w:val="left"/>
      <w:pPr>
        <w:tabs>
          <w:tab w:val="num" w:pos="720"/>
        </w:tabs>
        <w:ind w:left="648" w:hanging="576"/>
      </w:pPr>
      <w:rPr>
        <w:rFonts w:ascii="Arial" w:hAnsi="Arial" w:cs="Arial"/>
        <w:snapToGrid/>
        <w:sz w:val="22"/>
        <w:szCs w:val="22"/>
      </w:rPr>
    </w:lvl>
  </w:abstractNum>
  <w:abstractNum w:abstractNumId="12">
    <w:nsid w:val="02459FF8"/>
    <w:multiLevelType w:val="singleLevel"/>
    <w:tmpl w:val="0C877F8D"/>
    <w:lvl w:ilvl="0">
      <w:start w:val="1"/>
      <w:numFmt w:val="decimal"/>
      <w:lvlText w:val="%1."/>
      <w:lvlJc w:val="left"/>
      <w:pPr>
        <w:tabs>
          <w:tab w:val="num" w:pos="720"/>
        </w:tabs>
        <w:ind w:left="648" w:hanging="576"/>
      </w:pPr>
      <w:rPr>
        <w:rFonts w:ascii="Arial" w:hAnsi="Arial" w:cs="Arial"/>
        <w:snapToGrid/>
        <w:spacing w:val="1"/>
        <w:sz w:val="22"/>
        <w:szCs w:val="22"/>
      </w:rPr>
    </w:lvl>
  </w:abstractNum>
  <w:abstractNum w:abstractNumId="13">
    <w:nsid w:val="0256D68D"/>
    <w:multiLevelType w:val="singleLevel"/>
    <w:tmpl w:val="7F8CACD9"/>
    <w:lvl w:ilvl="0">
      <w:start w:val="1"/>
      <w:numFmt w:val="lowerLetter"/>
      <w:lvlText w:val="(%1)"/>
      <w:lvlJc w:val="left"/>
      <w:pPr>
        <w:tabs>
          <w:tab w:val="num" w:pos="1224"/>
        </w:tabs>
        <w:ind w:left="1224" w:hanging="576"/>
      </w:pPr>
      <w:rPr>
        <w:rFonts w:ascii="Arial" w:hAnsi="Arial" w:cs="Arial"/>
        <w:snapToGrid/>
        <w:sz w:val="22"/>
        <w:szCs w:val="22"/>
      </w:rPr>
    </w:lvl>
  </w:abstractNum>
  <w:abstractNum w:abstractNumId="14">
    <w:nsid w:val="027EDAEA"/>
    <w:multiLevelType w:val="singleLevel"/>
    <w:tmpl w:val="97D68AB6"/>
    <w:lvl w:ilvl="0">
      <w:start w:val="4"/>
      <w:numFmt w:val="decimal"/>
      <w:lvlText w:val="(%1)"/>
      <w:lvlJc w:val="left"/>
      <w:pPr>
        <w:tabs>
          <w:tab w:val="num" w:pos="576"/>
        </w:tabs>
        <w:ind w:left="576" w:hanging="576"/>
      </w:pPr>
      <w:rPr>
        <w:rFonts w:ascii="Arial" w:hAnsi="Arial" w:cs="Arial"/>
        <w:b w:val="0"/>
        <w:bCs/>
        <w:snapToGrid/>
        <w:sz w:val="22"/>
        <w:szCs w:val="22"/>
      </w:rPr>
    </w:lvl>
  </w:abstractNum>
  <w:abstractNum w:abstractNumId="15">
    <w:nsid w:val="036371AA"/>
    <w:multiLevelType w:val="singleLevel"/>
    <w:tmpl w:val="62BC4ABA"/>
    <w:lvl w:ilvl="0">
      <w:start w:val="1"/>
      <w:numFmt w:val="lowerRoman"/>
      <w:lvlText w:val="(%1)"/>
      <w:lvlJc w:val="left"/>
      <w:pPr>
        <w:tabs>
          <w:tab w:val="num" w:pos="1800"/>
        </w:tabs>
        <w:ind w:left="1800" w:hanging="576"/>
      </w:pPr>
      <w:rPr>
        <w:rFonts w:ascii="Arial" w:hAnsi="Arial" w:cs="Arial"/>
        <w:b w:val="0"/>
        <w:bCs/>
        <w:snapToGrid/>
        <w:sz w:val="21"/>
        <w:szCs w:val="21"/>
      </w:rPr>
    </w:lvl>
  </w:abstractNum>
  <w:abstractNum w:abstractNumId="16">
    <w:nsid w:val="0366E3F7"/>
    <w:multiLevelType w:val="singleLevel"/>
    <w:tmpl w:val="3BB3D36D"/>
    <w:lvl w:ilvl="0">
      <w:start w:val="1"/>
      <w:numFmt w:val="decimal"/>
      <w:lvlText w:val="%1."/>
      <w:lvlJc w:val="left"/>
      <w:pPr>
        <w:tabs>
          <w:tab w:val="num" w:pos="720"/>
        </w:tabs>
        <w:ind w:left="648" w:hanging="576"/>
      </w:pPr>
      <w:rPr>
        <w:rFonts w:ascii="Verdana" w:hAnsi="Verdana" w:cs="Verdana"/>
        <w:snapToGrid/>
        <w:sz w:val="21"/>
        <w:szCs w:val="21"/>
      </w:rPr>
    </w:lvl>
  </w:abstractNum>
  <w:abstractNum w:abstractNumId="17">
    <w:nsid w:val="051F7CA9"/>
    <w:multiLevelType w:val="singleLevel"/>
    <w:tmpl w:val="2F784D43"/>
    <w:lvl w:ilvl="0">
      <w:start w:val="1"/>
      <w:numFmt w:val="lowerLetter"/>
      <w:lvlText w:val="(%1)"/>
      <w:lvlJc w:val="left"/>
      <w:pPr>
        <w:tabs>
          <w:tab w:val="num" w:pos="1224"/>
        </w:tabs>
        <w:ind w:left="1224" w:hanging="576"/>
      </w:pPr>
      <w:rPr>
        <w:rFonts w:ascii="Arial" w:hAnsi="Arial" w:cs="Arial"/>
        <w:snapToGrid/>
        <w:sz w:val="22"/>
        <w:szCs w:val="22"/>
      </w:rPr>
    </w:lvl>
  </w:abstractNum>
  <w:abstractNum w:abstractNumId="18">
    <w:nsid w:val="05646ACF"/>
    <w:multiLevelType w:val="singleLevel"/>
    <w:tmpl w:val="50FA1A3A"/>
    <w:lvl w:ilvl="0">
      <w:start w:val="1"/>
      <w:numFmt w:val="lowerRoman"/>
      <w:lvlText w:val="(%1)"/>
      <w:lvlJc w:val="left"/>
      <w:pPr>
        <w:tabs>
          <w:tab w:val="num" w:pos="1800"/>
        </w:tabs>
        <w:ind w:left="1800" w:hanging="576"/>
      </w:pPr>
      <w:rPr>
        <w:rFonts w:ascii="Arial" w:hAnsi="Arial" w:cs="Arial"/>
        <w:b w:val="0"/>
        <w:bCs/>
        <w:snapToGrid/>
        <w:sz w:val="22"/>
        <w:szCs w:val="22"/>
      </w:rPr>
    </w:lvl>
  </w:abstractNum>
  <w:abstractNum w:abstractNumId="19">
    <w:nsid w:val="05721FB6"/>
    <w:multiLevelType w:val="singleLevel"/>
    <w:tmpl w:val="3AAB8875"/>
    <w:lvl w:ilvl="0">
      <w:start w:val="1"/>
      <w:numFmt w:val="lowerLetter"/>
      <w:lvlText w:val="(%1)"/>
      <w:lvlJc w:val="left"/>
      <w:pPr>
        <w:tabs>
          <w:tab w:val="num" w:pos="1152"/>
        </w:tabs>
        <w:ind w:left="1152" w:hanging="432"/>
      </w:pPr>
      <w:rPr>
        <w:rFonts w:ascii="Arial" w:hAnsi="Arial" w:cs="Arial"/>
        <w:snapToGrid/>
        <w:sz w:val="22"/>
        <w:szCs w:val="22"/>
      </w:rPr>
    </w:lvl>
  </w:abstractNum>
  <w:abstractNum w:abstractNumId="20">
    <w:nsid w:val="060911D5"/>
    <w:multiLevelType w:val="singleLevel"/>
    <w:tmpl w:val="6F57F84B"/>
    <w:lvl w:ilvl="0">
      <w:start w:val="1"/>
      <w:numFmt w:val="lowerLetter"/>
      <w:lvlText w:val="(%1)"/>
      <w:lvlJc w:val="left"/>
      <w:pPr>
        <w:tabs>
          <w:tab w:val="num" w:pos="1224"/>
        </w:tabs>
        <w:ind w:left="1152" w:hanging="432"/>
      </w:pPr>
      <w:rPr>
        <w:rFonts w:ascii="Verdana" w:hAnsi="Verdana" w:cs="Verdana"/>
        <w:snapToGrid/>
        <w:spacing w:val="-12"/>
        <w:sz w:val="21"/>
        <w:szCs w:val="21"/>
      </w:rPr>
    </w:lvl>
  </w:abstractNum>
  <w:abstractNum w:abstractNumId="21">
    <w:nsid w:val="07270173"/>
    <w:multiLevelType w:val="multilevel"/>
    <w:tmpl w:val="71CADD9C"/>
    <w:numStyleLink w:val="AppendixNumbering"/>
  </w:abstractNum>
  <w:abstractNum w:abstractNumId="22">
    <w:nsid w:val="07A20AD2"/>
    <w:multiLevelType w:val="singleLevel"/>
    <w:tmpl w:val="46210938"/>
    <w:lvl w:ilvl="0">
      <w:start w:val="1"/>
      <w:numFmt w:val="lowerRoman"/>
      <w:lvlText w:val="(%1)"/>
      <w:lvlJc w:val="left"/>
      <w:pPr>
        <w:tabs>
          <w:tab w:val="num" w:pos="1728"/>
        </w:tabs>
        <w:ind w:left="1728" w:hanging="576"/>
      </w:pPr>
      <w:rPr>
        <w:rFonts w:ascii="Arial" w:hAnsi="Arial" w:cs="Arial"/>
        <w:snapToGrid/>
        <w:sz w:val="22"/>
        <w:szCs w:val="22"/>
      </w:rPr>
    </w:lvl>
  </w:abstractNum>
  <w:abstractNum w:abstractNumId="23">
    <w:nsid w:val="07B592A4"/>
    <w:multiLevelType w:val="singleLevel"/>
    <w:tmpl w:val="557BD164"/>
    <w:lvl w:ilvl="0">
      <w:start w:val="1"/>
      <w:numFmt w:val="decimal"/>
      <w:lvlText w:val="(%1)"/>
      <w:lvlJc w:val="left"/>
      <w:pPr>
        <w:tabs>
          <w:tab w:val="num" w:pos="648"/>
        </w:tabs>
        <w:ind w:left="648" w:hanging="576"/>
      </w:pPr>
      <w:rPr>
        <w:rFonts w:ascii="Arial" w:hAnsi="Arial" w:cs="Arial"/>
        <w:snapToGrid/>
        <w:sz w:val="22"/>
        <w:szCs w:val="22"/>
      </w:rPr>
    </w:lvl>
  </w:abstractNum>
  <w:abstractNum w:abstractNumId="24">
    <w:nsid w:val="07F7443F"/>
    <w:multiLevelType w:val="singleLevel"/>
    <w:tmpl w:val="66DCA38B"/>
    <w:lvl w:ilvl="0">
      <w:start w:val="1"/>
      <w:numFmt w:val="lowerLetter"/>
      <w:lvlText w:val="(%1)"/>
      <w:lvlJc w:val="left"/>
      <w:pPr>
        <w:tabs>
          <w:tab w:val="num" w:pos="648"/>
        </w:tabs>
        <w:ind w:left="648" w:hanging="576"/>
      </w:pPr>
      <w:rPr>
        <w:rFonts w:ascii="Verdana" w:hAnsi="Verdana" w:cs="Verdana"/>
        <w:snapToGrid/>
        <w:spacing w:val="-11"/>
        <w:sz w:val="21"/>
        <w:szCs w:val="21"/>
      </w:rPr>
    </w:lvl>
  </w:abstractNum>
  <w:abstractNum w:abstractNumId="25">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2D5649B"/>
    <w:multiLevelType w:val="multilevel"/>
    <w:tmpl w:val="E7229E7C"/>
    <w:numStyleLink w:val="ExhibitNumbering"/>
  </w:abstractNum>
  <w:abstractNum w:abstractNumId="29">
    <w:nsid w:val="34281940"/>
    <w:multiLevelType w:val="multilevel"/>
    <w:tmpl w:val="71CADD9C"/>
    <w:numStyleLink w:val="AppendixNumbering"/>
  </w:abstractNum>
  <w:abstractNum w:abstractNumId="30">
    <w:nsid w:val="355E0BB2"/>
    <w:multiLevelType w:val="multilevel"/>
    <w:tmpl w:val="54D02D98"/>
    <w:numStyleLink w:val="PartNumbering"/>
  </w:abstractNum>
  <w:abstractNum w:abstractNumId="31">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185586C"/>
    <w:multiLevelType w:val="multilevel"/>
    <w:tmpl w:val="E7229E7C"/>
    <w:numStyleLink w:val="ExhibitNumbering"/>
  </w:abstractNum>
  <w:abstractNum w:abstractNumId="34">
    <w:nsid w:val="4400737D"/>
    <w:multiLevelType w:val="multilevel"/>
    <w:tmpl w:val="C8D6362C"/>
    <w:numStyleLink w:val="ListHeadings"/>
  </w:abstractNum>
  <w:abstractNum w:abstractNumId="35">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D8E29CB"/>
    <w:multiLevelType w:val="multilevel"/>
    <w:tmpl w:val="06E2487A"/>
    <w:numStyleLink w:val="ScheduleNumbering"/>
  </w:abstractNum>
  <w:abstractNum w:abstractNumId="37">
    <w:nsid w:val="6DC023DB"/>
    <w:multiLevelType w:val="multilevel"/>
    <w:tmpl w:val="54D02D98"/>
    <w:numStyleLink w:val="PartNumbering"/>
  </w:abstractNum>
  <w:abstractNum w:abstractNumId="38">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9">
    <w:nsid w:val="7F7618A8"/>
    <w:multiLevelType w:val="multilevel"/>
    <w:tmpl w:val="1130A0CA"/>
    <w:numStyleLink w:val="SectionNumbering"/>
  </w:abstractNum>
  <w:num w:numId="1">
    <w:abstractNumId w:val="35"/>
  </w:num>
  <w:num w:numId="2">
    <w:abstractNumId w:val="25"/>
  </w:num>
  <w:num w:numId="3">
    <w:abstractNumId w:val="27"/>
  </w:num>
  <w:num w:numId="4">
    <w:abstractNumId w:val="26"/>
  </w:num>
  <w:num w:numId="5">
    <w:abstractNumId w:val="31"/>
  </w:num>
  <w:num w:numId="6">
    <w:abstractNumId w:val="21"/>
  </w:num>
  <w:num w:numId="7">
    <w:abstractNumId w:val="33"/>
  </w:num>
  <w:num w:numId="8">
    <w:abstractNumId w:val="34"/>
  </w:num>
  <w:num w:numId="9">
    <w:abstractNumId w:val="37"/>
  </w:num>
  <w:num w:numId="10">
    <w:abstractNumId w:val="3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9"/>
  </w:num>
  <w:num w:numId="22">
    <w:abstractNumId w:val="28"/>
  </w:num>
  <w:num w:numId="23">
    <w:abstractNumId w:val="30"/>
  </w:num>
  <w:num w:numId="24">
    <w:abstractNumId w:val="32"/>
  </w:num>
  <w:num w:numId="25">
    <w:abstractNumId w:val="39"/>
  </w:num>
  <w:num w:numId="26">
    <w:abstractNumId w:val="39"/>
  </w:num>
  <w:num w:numId="27">
    <w:abstractNumId w:val="23"/>
  </w:num>
  <w:num w:numId="28">
    <w:abstractNumId w:val="14"/>
  </w:num>
  <w:num w:numId="29">
    <w:abstractNumId w:val="16"/>
  </w:num>
  <w:num w:numId="30">
    <w:abstractNumId w:val="20"/>
  </w:num>
  <w:num w:numId="31">
    <w:abstractNumId w:val="24"/>
  </w:num>
  <w:num w:numId="32">
    <w:abstractNumId w:val="24"/>
    <w:lvlOverride w:ilvl="0">
      <w:lvl w:ilvl="0">
        <w:numFmt w:val="lowerLetter"/>
        <w:lvlText w:val="(%1)"/>
        <w:lvlJc w:val="left"/>
        <w:pPr>
          <w:tabs>
            <w:tab w:val="num" w:pos="648"/>
          </w:tabs>
          <w:ind w:left="720" w:hanging="648"/>
        </w:pPr>
        <w:rPr>
          <w:rFonts w:ascii="Verdana" w:hAnsi="Verdana" w:cs="Verdana"/>
          <w:snapToGrid/>
          <w:spacing w:val="-9"/>
          <w:sz w:val="21"/>
          <w:szCs w:val="21"/>
        </w:rPr>
      </w:lvl>
    </w:lvlOverride>
  </w:num>
  <w:num w:numId="33">
    <w:abstractNumId w:val="19"/>
  </w:num>
  <w:num w:numId="34">
    <w:abstractNumId w:val="22"/>
  </w:num>
  <w:num w:numId="35">
    <w:abstractNumId w:val="22"/>
    <w:lvlOverride w:ilvl="0">
      <w:lvl w:ilvl="0">
        <w:numFmt w:val="lowerRoman"/>
        <w:lvlText w:val="(%1)"/>
        <w:lvlJc w:val="left"/>
        <w:pPr>
          <w:tabs>
            <w:tab w:val="num" w:pos="1728"/>
          </w:tabs>
          <w:ind w:left="1728" w:hanging="576"/>
        </w:pPr>
        <w:rPr>
          <w:rFonts w:ascii="Arial" w:hAnsi="Arial" w:cs="Arial"/>
          <w:snapToGrid/>
          <w:sz w:val="22"/>
          <w:szCs w:val="22"/>
        </w:rPr>
      </w:lvl>
    </w:lvlOverride>
  </w:num>
  <w:num w:numId="36">
    <w:abstractNumId w:val="11"/>
  </w:num>
  <w:num w:numId="37">
    <w:abstractNumId w:val="10"/>
  </w:num>
  <w:num w:numId="38">
    <w:abstractNumId w:val="17"/>
  </w:num>
  <w:num w:numId="39">
    <w:abstractNumId w:val="15"/>
  </w:num>
  <w:num w:numId="40">
    <w:abstractNumId w:val="15"/>
    <w:lvlOverride w:ilvl="0">
      <w:lvl w:ilvl="0">
        <w:numFmt w:val="lowerRoman"/>
        <w:lvlText w:val="(%1)"/>
        <w:lvlJc w:val="left"/>
        <w:pPr>
          <w:tabs>
            <w:tab w:val="num" w:pos="1800"/>
          </w:tabs>
          <w:ind w:left="1800" w:hanging="576"/>
        </w:pPr>
        <w:rPr>
          <w:rFonts w:ascii="Arial" w:hAnsi="Arial" w:cs="Arial"/>
          <w:b w:val="0"/>
          <w:bCs/>
          <w:snapToGrid/>
          <w:spacing w:val="-3"/>
          <w:sz w:val="21"/>
          <w:szCs w:val="21"/>
        </w:rPr>
      </w:lvl>
    </w:lvlOverride>
  </w:num>
  <w:num w:numId="41">
    <w:abstractNumId w:val="18"/>
  </w:num>
  <w:num w:numId="42">
    <w:abstractNumId w:val="18"/>
    <w:lvlOverride w:ilvl="0">
      <w:lvl w:ilvl="0">
        <w:numFmt w:val="lowerRoman"/>
        <w:lvlText w:val="(%1)"/>
        <w:lvlJc w:val="left"/>
        <w:pPr>
          <w:tabs>
            <w:tab w:val="num" w:pos="1800"/>
          </w:tabs>
          <w:ind w:left="1800" w:hanging="576"/>
        </w:pPr>
        <w:rPr>
          <w:rFonts w:ascii="Arial" w:hAnsi="Arial" w:cs="Arial"/>
          <w:b w:val="0"/>
          <w:bCs/>
          <w:snapToGrid/>
          <w:sz w:val="22"/>
          <w:szCs w:val="22"/>
        </w:rPr>
      </w:lvl>
    </w:lvlOverride>
  </w:num>
  <w:num w:numId="43">
    <w:abstractNumId w:val="12"/>
  </w:num>
  <w:num w:numId="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E85921"/>
    <w:rsid w:val="0003545D"/>
    <w:rsid w:val="00044E5C"/>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3C52BF"/>
    <w:rsid w:val="004078CF"/>
    <w:rsid w:val="00414ED0"/>
    <w:rsid w:val="004357E6"/>
    <w:rsid w:val="00455A1A"/>
    <w:rsid w:val="00457E41"/>
    <w:rsid w:val="00465953"/>
    <w:rsid w:val="00486A67"/>
    <w:rsid w:val="004928A1"/>
    <w:rsid w:val="00493ADC"/>
    <w:rsid w:val="004A360E"/>
    <w:rsid w:val="004D760D"/>
    <w:rsid w:val="004D78CD"/>
    <w:rsid w:val="004E3F51"/>
    <w:rsid w:val="0050793D"/>
    <w:rsid w:val="00566B4A"/>
    <w:rsid w:val="005C560D"/>
    <w:rsid w:val="005D2327"/>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A2C55"/>
    <w:rsid w:val="00DE4ACA"/>
    <w:rsid w:val="00E147B9"/>
    <w:rsid w:val="00E23D22"/>
    <w:rsid w:val="00E44A09"/>
    <w:rsid w:val="00E51D18"/>
    <w:rsid w:val="00E85890"/>
    <w:rsid w:val="00E85921"/>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 w:type="paragraph" w:styleId="FootnoteText">
    <w:name w:val="footnote text"/>
    <w:basedOn w:val="Normal"/>
    <w:link w:val="FootnoteTextChar"/>
    <w:uiPriority w:val="99"/>
    <w:semiHidden/>
    <w:unhideWhenUsed/>
    <w:rsid w:val="00E44A09"/>
    <w:rPr>
      <w:sz w:val="20"/>
      <w:szCs w:val="20"/>
    </w:rPr>
  </w:style>
  <w:style w:type="character" w:customStyle="1" w:styleId="FootnoteTextChar">
    <w:name w:val="Footnote Text Char"/>
    <w:basedOn w:val="DefaultParagraphFont"/>
    <w:link w:val="FootnoteText"/>
    <w:uiPriority w:val="99"/>
    <w:semiHidden/>
    <w:rsid w:val="00E44A09"/>
    <w:rPr>
      <w:rFonts w:asciiTheme="minorHAnsi" w:eastAsia="MingLiU" w:hAnsiTheme="minorHAnsi"/>
      <w:sz w:val="20"/>
      <w:szCs w:val="20"/>
    </w:rPr>
  </w:style>
  <w:style w:type="character" w:styleId="FootnoteReference">
    <w:name w:val="footnote reference"/>
    <w:basedOn w:val="DefaultParagraphFont"/>
    <w:uiPriority w:val="99"/>
    <w:semiHidden/>
    <w:unhideWhenUsed/>
    <w:rsid w:val="00E44A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 w:type="paragraph" w:styleId="FootnoteText">
    <w:name w:val="footnote text"/>
    <w:basedOn w:val="Normal"/>
    <w:link w:val="FootnoteTextChar"/>
    <w:uiPriority w:val="99"/>
    <w:semiHidden/>
    <w:unhideWhenUsed/>
    <w:rsid w:val="00E44A09"/>
    <w:rPr>
      <w:sz w:val="20"/>
      <w:szCs w:val="20"/>
    </w:rPr>
  </w:style>
  <w:style w:type="character" w:customStyle="1" w:styleId="FootnoteTextChar">
    <w:name w:val="Footnote Text Char"/>
    <w:basedOn w:val="DefaultParagraphFont"/>
    <w:link w:val="FootnoteText"/>
    <w:uiPriority w:val="99"/>
    <w:semiHidden/>
    <w:rsid w:val="00E44A09"/>
    <w:rPr>
      <w:rFonts w:asciiTheme="minorHAnsi" w:eastAsia="MingLiU" w:hAnsiTheme="minorHAnsi"/>
      <w:sz w:val="20"/>
      <w:szCs w:val="20"/>
    </w:rPr>
  </w:style>
  <w:style w:type="character" w:styleId="FootnoteReference">
    <w:name w:val="footnote reference"/>
    <w:basedOn w:val="DefaultParagraphFont"/>
    <w:uiPriority w:val="99"/>
    <w:semiHidden/>
    <w:unhideWhenUsed/>
    <w:rsid w:val="00E44A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EBB3C-C32B-4C90-A048-B4F53442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7</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2</cp:revision>
  <dcterms:created xsi:type="dcterms:W3CDTF">2015-11-23T09:38:00Z</dcterms:created>
  <dcterms:modified xsi:type="dcterms:W3CDTF">2015-11-23T09:38:00Z</dcterms:modified>
</cp:coreProperties>
</file>