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FC" w:rsidRPr="00085694" w:rsidRDefault="00852EFC" w:rsidP="00852EFC">
      <w:pPr>
        <w:spacing w:line="265" w:lineRule="exact"/>
        <w:textAlignment w:val="baseline"/>
        <w:rPr>
          <w:rFonts w:eastAsia="Times New Roman"/>
          <w:b/>
          <w:color w:val="6177A8"/>
          <w:spacing w:val="10"/>
          <w:sz w:val="20"/>
        </w:rPr>
      </w:pPr>
      <w:r w:rsidRPr="00085694">
        <w:rPr>
          <w:rFonts w:ascii="Garamond" w:eastAsia="Garamond" w:hAnsi="Garamond"/>
          <w:color w:val="000000"/>
          <w:spacing w:val="-4"/>
          <w:sz w:val="25"/>
        </w:rPr>
        <w:t>28 September 2015 I ESMA/2015/1464</w:t>
      </w:r>
      <w:r w:rsidRPr="00085694">
        <w:rPr>
          <w:noProof/>
        </w:rPr>
        <mc:AlternateContent>
          <mc:Choice Requires="wps">
            <w:drawing>
              <wp:anchor distT="0" distB="0" distL="0" distR="0" simplePos="0" relativeHeight="251692032" behindDoc="1" locked="0" layoutInCell="1" allowOverlap="1" wp14:anchorId="0C52D8C2" wp14:editId="615249B7">
                <wp:simplePos x="0" y="0"/>
                <wp:positionH relativeFrom="page">
                  <wp:posOffset>851535</wp:posOffset>
                </wp:positionH>
                <wp:positionV relativeFrom="page">
                  <wp:posOffset>9995535</wp:posOffset>
                </wp:positionV>
                <wp:extent cx="168275" cy="172720"/>
                <wp:effectExtent l="3810" t="3810" r="0" b="4445"/>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EFC" w:rsidRDefault="00852EFC" w:rsidP="00852EFC">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tl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Q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BYem2W0AgAAtAUA&#10;AA4AAAAAAAAAAAAAAAAALgIAAGRycy9lMm9Eb2MueG1sUEsBAi0AFAAGAAgAAAAhAIlqjMzeAAAA&#10;DQEAAA8AAAAAAAAAAAAAAAAADgUAAGRycy9kb3ducmV2LnhtbFBLBQYAAAAABAAEAPMAAAAZBgAA&#10;AAA=&#10;" filled="f" stroked="f">
                <v:textbox inset="0,0,0,0">
                  <w:txbxContent>
                    <w:p w:rsidR="00852EFC" w:rsidRDefault="00852EFC" w:rsidP="00852EFC">
                      <w:pPr>
                        <w:spacing w:line="271" w:lineRule="exact"/>
                        <w:textAlignment w:val="baseline"/>
                        <w:rPr>
                          <w:rFonts w:eastAsia="Times New Roman"/>
                          <w:color w:val="000000"/>
                          <w:sz w:val="24"/>
                        </w:rPr>
                      </w:pPr>
                    </w:p>
                  </w:txbxContent>
                </v:textbox>
                <w10:wrap type="square" anchorx="page" anchory="page"/>
              </v:shape>
            </w:pict>
          </mc:Fallback>
        </mc:AlternateContent>
      </w:r>
      <w:r w:rsidRPr="00085694">
        <w:rPr>
          <w:rFonts w:eastAsia="Times New Roman"/>
          <w:b/>
          <w:color w:val="6177A8"/>
          <w:spacing w:val="10"/>
          <w:sz w:val="20"/>
        </w:rPr>
        <w:t>* * *</w:t>
      </w:r>
    </w:p>
    <w:p w:rsidR="009F749F" w:rsidRPr="009F749F" w:rsidRDefault="009F749F" w:rsidP="009F749F">
      <w:pPr>
        <w:spacing w:before="428" w:after="2055" w:line="404" w:lineRule="exact"/>
        <w:ind w:left="72" w:right="72"/>
        <w:jc w:val="left"/>
        <w:textAlignment w:val="baseline"/>
        <w:rPr>
          <w:rFonts w:ascii="Times New Roman" w:eastAsia="Times New Roman" w:hAnsi="Times New Roman"/>
          <w:b/>
          <w:color w:val="000000"/>
          <w:sz w:val="32"/>
          <w:lang w:val="en-US" w:eastAsia="en-US"/>
        </w:rPr>
      </w:pPr>
      <w:r w:rsidRPr="009F749F">
        <w:rPr>
          <w:rFonts w:ascii="Times New Roman" w:eastAsia="Times New Roman" w:hAnsi="Times New Roman"/>
          <w:b/>
          <w:color w:val="000000"/>
          <w:sz w:val="32"/>
          <w:lang w:val="en-US" w:eastAsia="en-US"/>
        </w:rPr>
        <w:t>RTS 5: Draft regulatory technical standards on criteria for determining whether derivatives have a direct, substantial and foreseeable effect within the EU (Article 28(5) of MiFIR)</w:t>
      </w:r>
    </w:p>
    <w:p w:rsidR="009F749F" w:rsidRPr="009F749F" w:rsidRDefault="009F749F" w:rsidP="009F749F">
      <w:pPr>
        <w:jc w:val="left"/>
        <w:rPr>
          <w:rFonts w:ascii="Times New Roman" w:eastAsia="PMingLiU" w:hAnsi="Times New Roman"/>
          <w:lang w:val="en-US" w:eastAsia="en-US"/>
        </w:rPr>
        <w:sectPr w:rsidR="009F749F" w:rsidRPr="009F749F">
          <w:pgSz w:w="11909" w:h="16838"/>
          <w:pgMar w:top="580" w:right="1297" w:bottom="960" w:left="1287" w:header="720" w:footer="720" w:gutter="0"/>
          <w:cols w:space="720"/>
        </w:sectPr>
      </w:pPr>
    </w:p>
    <w:p w:rsidR="009F749F" w:rsidRPr="009F749F" w:rsidRDefault="009F749F" w:rsidP="009F749F">
      <w:pPr>
        <w:spacing w:line="288" w:lineRule="exact"/>
        <w:jc w:val="left"/>
        <w:textAlignment w:val="baseline"/>
        <w:rPr>
          <w:rFonts w:ascii="Times New Roman" w:eastAsia="Times New Roman" w:hAnsi="Times New Roman"/>
          <w:color w:val="000000"/>
          <w:sz w:val="24"/>
          <w:lang w:val="en-US" w:eastAsia="en-US"/>
        </w:rPr>
      </w:pPr>
      <w:r w:rsidRPr="009F749F">
        <w:rPr>
          <w:rFonts w:ascii="Times New Roman" w:eastAsia="PMingLiU" w:hAnsi="Times New Roman"/>
          <w:noProof/>
        </w:rPr>
        <w:lastRenderedPageBreak/>
        <mc:AlternateContent>
          <mc:Choice Requires="wps">
            <w:drawing>
              <wp:anchor distT="0" distB="0" distL="0" distR="0" simplePos="0" relativeHeight="251668480" behindDoc="1" locked="0" layoutInCell="1" allowOverlap="1" wp14:anchorId="6747E830" wp14:editId="4CA36123">
                <wp:simplePos x="0" y="0"/>
                <wp:positionH relativeFrom="column">
                  <wp:posOffset>197485</wp:posOffset>
                </wp:positionH>
                <wp:positionV relativeFrom="paragraph">
                  <wp:posOffset>0</wp:posOffset>
                </wp:positionV>
                <wp:extent cx="2953385" cy="646430"/>
                <wp:effectExtent l="0" t="0" r="1905" b="1270"/>
                <wp:wrapNone/>
                <wp:docPr id="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9F749F">
                              <w:trPr>
                                <w:trHeight w:hRule="exact" w:val="1018"/>
                              </w:trPr>
                              <w:tc>
                                <w:tcPr>
                                  <w:tcW w:w="1507" w:type="dxa"/>
                                  <w:tcBorders>
                                    <w:top w:val="nil"/>
                                    <w:left w:val="nil"/>
                                    <w:bottom w:val="nil"/>
                                    <w:right w:val="nil"/>
                                  </w:tcBorders>
                                  <w:hideMark/>
                                </w:tcPr>
                                <w:p w:rsidR="009F749F" w:rsidRDefault="009F749F">
                                  <w:pPr>
                                    <w:spacing w:before="15"/>
                                    <w:jc w:val="center"/>
                                    <w:textAlignment w:val="baseline"/>
                                    <w:rPr>
                                      <w:lang w:val="en-US" w:eastAsia="en-US"/>
                                    </w:rPr>
                                  </w:pPr>
                                  <w:r>
                                    <w:rPr>
                                      <w:noProof/>
                                      <w:sz w:val="20"/>
                                      <w:szCs w:val="20"/>
                                    </w:rPr>
                                    <w:drawing>
                                      <wp:inline distT="0" distB="0" distL="0" distR="0" wp14:anchorId="102E7B61" wp14:editId="623FDFA6">
                                        <wp:extent cx="951230" cy="642620"/>
                                        <wp:effectExtent l="0" t="0" r="1270" b="5080"/>
                                        <wp:docPr id="3"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42620"/>
                                                </a:xfrm>
                                                <a:prstGeom prst="rect">
                                                  <a:avLst/>
                                                </a:prstGeom>
                                                <a:noFill/>
                                                <a:ln>
                                                  <a:noFill/>
                                                </a:ln>
                                              </pic:spPr>
                                            </pic:pic>
                                          </a:graphicData>
                                        </a:graphic>
                                      </wp:inline>
                                    </w:drawing>
                                  </w:r>
                                </w:p>
                              </w:tc>
                              <w:tc>
                                <w:tcPr>
                                  <w:tcW w:w="3144" w:type="dxa"/>
                                  <w:tcBorders>
                                    <w:top w:val="nil"/>
                                    <w:left w:val="nil"/>
                                    <w:bottom w:val="nil"/>
                                    <w:right w:val="nil"/>
                                  </w:tcBorders>
                                  <w:hideMark/>
                                </w:tcPr>
                                <w:p w:rsidR="009F749F" w:rsidRDefault="009F749F">
                                  <w:pPr>
                                    <w:spacing w:after="736"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9F749F" w:rsidRDefault="009F749F" w:rsidP="009F749F">
                            <w:pPr>
                              <w:rPr>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margin-left:15.55pt;margin-top:0;width:232.55pt;height:50.9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nsAIAAKs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AFTnHTA0QMdNboVIwoD05+hVym43ffgqEfYB55traq/E+V3hbhYN4Tv6I2UYmgoqSA/39x0n12d&#10;cJQB2Q6fRAVxyF4LCzTWsjPNg3YgQAeeHk/cmFxK2AyS5WIRLzEq4SwKo3BhyXNJOt/updIfqOiQ&#10;MTIsgXuLTg53SptsSDq7mGBcFKxtLf8tf7EBjtMOxIar5sxkYel8SrxkE2/i0AmDaOOEXp47N8U6&#10;dKLCv1zmi3y9zv1fJq4fpg2rKspNmFlafvhn1B1FPoniJC4lWlYZOJOSkrvtupXoQEDahf1sz+Hk&#10;7Oa+TMM2AWp5VZIfhN5tkDhFFF86YREuneTSix3PT26TyAuTMC9elnTHOP33ktCQ4WQZLCcxnZN+&#10;VZtnv7e1kbRjGoZHy7oMxycnkhoJbnhlqdWEtZP9rBUm/XMrgO6ZaCtYo9FJrXrcjoBiVLwV1SNI&#10;VwpQFugTJh4YjZA/MRpgemRY/dgTSTFqP3KQvxk1syFnYzsbhJdwNcMao8lc62kk7XvJdg0gTw+M&#10;ixt4IjWz6j1ncXxYMBFsEcfpZUbO83/rdZ6xq98AAAD//wMAUEsDBBQABgAIAAAAIQBPzkpa3QAA&#10;AAcBAAAPAAAAZHJzL2Rvd25yZXYueG1sTI/BTsMwEETvSP0Haytxo3YKitoQp6oQnJAQaThwdOJt&#10;EjVeh9htw9+znOC4mqeZt/ludoO44BR6TxqSlQKB1HjbU6vho3q524AI0ZA1gyfU8I0BdsXiJjeZ&#10;9Vcq8XKIreASCpnR0MU4ZlKGpkNnwsqPSJwd/eRM5HNqpZ3MlcvdINdKpdKZnnihMyM+ddicDmen&#10;Yf9J5XP/9Va/l8eyr6qtotf0pPXtct4/gog4xz8YfvVZHQp2qv2ZbBCDhvskYVIDP8TpwzZdg6gZ&#10;U8kGZJHL//7FDwAAAP//AwBQSwECLQAUAAYACAAAACEAtoM4kv4AAADhAQAAEwAAAAAAAAAAAAAA&#10;AAAAAAAAW0NvbnRlbnRfVHlwZXNdLnhtbFBLAQItABQABgAIAAAAIQA4/SH/1gAAAJQBAAALAAAA&#10;AAAAAAAAAAAAAC8BAABfcmVscy8ucmVsc1BLAQItABQABgAIAAAAIQCIiW+nsAIAAKsFAAAOAAAA&#10;AAAAAAAAAAAAAC4CAABkcnMvZTJvRG9jLnhtbFBLAQItABQABgAIAAAAIQBPzkpa3QAAAAcBAAAP&#10;AAAAAAAAAAAAAAAAAAoFAABkcnMvZG93bnJldi54bWxQSwUGAAAAAAQABADzAAAAFA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9F749F">
                        <w:trPr>
                          <w:trHeight w:hRule="exact" w:val="1018"/>
                        </w:trPr>
                        <w:tc>
                          <w:tcPr>
                            <w:tcW w:w="1507" w:type="dxa"/>
                            <w:tcBorders>
                              <w:top w:val="nil"/>
                              <w:left w:val="nil"/>
                              <w:bottom w:val="nil"/>
                              <w:right w:val="nil"/>
                            </w:tcBorders>
                            <w:hideMark/>
                          </w:tcPr>
                          <w:p w:rsidR="009F749F" w:rsidRDefault="009F749F">
                            <w:pPr>
                              <w:spacing w:before="15"/>
                              <w:jc w:val="center"/>
                              <w:textAlignment w:val="baseline"/>
                              <w:rPr>
                                <w:lang w:val="en-US" w:eastAsia="en-US"/>
                              </w:rPr>
                            </w:pPr>
                            <w:r>
                              <w:rPr>
                                <w:noProof/>
                                <w:sz w:val="20"/>
                                <w:szCs w:val="20"/>
                              </w:rPr>
                              <w:drawing>
                                <wp:inline distT="0" distB="0" distL="0" distR="0" wp14:anchorId="102E7B61" wp14:editId="623FDFA6">
                                  <wp:extent cx="951230" cy="642620"/>
                                  <wp:effectExtent l="0" t="0" r="1270" b="5080"/>
                                  <wp:docPr id="3"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42620"/>
                                          </a:xfrm>
                                          <a:prstGeom prst="rect">
                                            <a:avLst/>
                                          </a:prstGeom>
                                          <a:noFill/>
                                          <a:ln>
                                            <a:noFill/>
                                          </a:ln>
                                        </pic:spPr>
                                      </pic:pic>
                                    </a:graphicData>
                                  </a:graphic>
                                </wp:inline>
                              </w:drawing>
                            </w:r>
                          </w:p>
                        </w:tc>
                        <w:tc>
                          <w:tcPr>
                            <w:tcW w:w="3144" w:type="dxa"/>
                            <w:tcBorders>
                              <w:top w:val="nil"/>
                              <w:left w:val="nil"/>
                              <w:bottom w:val="nil"/>
                              <w:right w:val="nil"/>
                            </w:tcBorders>
                            <w:hideMark/>
                          </w:tcPr>
                          <w:p w:rsidR="009F749F" w:rsidRDefault="009F749F">
                            <w:pPr>
                              <w:spacing w:after="736"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9F749F" w:rsidRDefault="009F749F" w:rsidP="009F749F">
                      <w:pPr>
                        <w:rPr>
                          <w:lang w:val="en-US" w:eastAsia="en-US"/>
                        </w:rPr>
                      </w:pPr>
                    </w:p>
                  </w:txbxContent>
                </v:textbox>
              </v:shape>
            </w:pict>
          </mc:Fallback>
        </mc:AlternateContent>
      </w:r>
    </w:p>
    <w:p w:rsidR="009F749F" w:rsidRPr="009F749F" w:rsidRDefault="009F749F" w:rsidP="009F749F">
      <w:pPr>
        <w:jc w:val="left"/>
        <w:rPr>
          <w:rFonts w:ascii="Times New Roman" w:eastAsia="PMingLiU" w:hAnsi="Times New Roman"/>
          <w:lang w:val="en-US" w:eastAsia="en-US"/>
        </w:rPr>
        <w:sectPr w:rsidR="009F749F" w:rsidRPr="009F749F">
          <w:type w:val="continuous"/>
          <w:pgSz w:w="11909" w:h="16838"/>
          <w:pgMar w:top="580" w:right="1297" w:bottom="960" w:left="1163" w:header="720" w:footer="720" w:gutter="0"/>
          <w:cols w:space="720"/>
        </w:sectPr>
      </w:pPr>
    </w:p>
    <w:p w:rsidR="009F749F" w:rsidRPr="009F749F" w:rsidRDefault="009F749F" w:rsidP="009F749F">
      <w:pPr>
        <w:spacing w:before="3" w:line="269" w:lineRule="exact"/>
        <w:ind w:left="5328"/>
        <w:jc w:val="left"/>
        <w:textAlignment w:val="baseline"/>
        <w:rPr>
          <w:rFonts w:ascii="Times New Roman" w:eastAsia="Times New Roman" w:hAnsi="Times New Roman"/>
          <w:color w:val="000000"/>
          <w:sz w:val="24"/>
          <w:lang w:val="en-US" w:eastAsia="en-US"/>
        </w:rPr>
      </w:pPr>
      <w:r w:rsidRPr="009F749F">
        <w:rPr>
          <w:rFonts w:ascii="Times New Roman" w:eastAsia="PMingLiU" w:hAnsi="Times New Roman"/>
          <w:noProof/>
        </w:rPr>
        <w:lastRenderedPageBreak/>
        <mc:AlternateContent>
          <mc:Choice Requires="wps">
            <w:drawing>
              <wp:anchor distT="0" distB="0" distL="0" distR="0" simplePos="0" relativeHeight="251669504" behindDoc="1" locked="0" layoutInCell="1" allowOverlap="1" wp14:anchorId="32D2648A" wp14:editId="4C67E064">
                <wp:simplePos x="0" y="0"/>
                <wp:positionH relativeFrom="page">
                  <wp:posOffset>738505</wp:posOffset>
                </wp:positionH>
                <wp:positionV relativeFrom="page">
                  <wp:posOffset>9831070</wp:posOffset>
                </wp:positionV>
                <wp:extent cx="626110" cy="342900"/>
                <wp:effectExtent l="0" t="1270" r="0" b="0"/>
                <wp:wrapSquare wrapText="bothSides"/>
                <wp:docPr id="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left:0;text-align:left;margin-left:58.15pt;margin-top:774.1pt;width:49.3pt;height:2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2vsg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iBESct9OiBDhrdigGFM1OfvlMJuN134KgH2Ic+21xVdyeK7wpxsakJ39O1lKKvKSmBn29uus+u&#10;jjjKgOz6T6KEOOSghQUaKtma4kE5EKBDnx7PvTFcCtiMgsj34aSAo1kYxJ7tnUuS6XInlf5ARYuM&#10;kWIJrbfg5HintCFDksnFxOIiZ01j29/wFxvgOO5AaLhqzgwJ282n2Iu3y+0ydMIg2jqhl2XOOt+E&#10;TpT7i3k2yzabzP9l4vphUrOypNyEmZTlh3/WuZPGR02ctaVEw0oDZygpud9tGomOBJSd28+WHE4u&#10;bu5LGrYIkMurlPwg9G6D2Mmj5cIJ83DuxAtv6Xh+fBtHXhiHWf4ypTvG6b+nhPoUx/NgPmrpQvpV&#10;bp793uZGkpZpmB0Na1O8PDuRxChwy0vbWk1YM9rPSmHoX0oB7Z4abfVqJDqKVQ+7wT4NK2aj5Z0o&#10;H0HAUoDAQIsw98CohfyJUQ8zJMXqx4FIilHzkcMjMANnMuRk7CaD8AKuplhjNJobPQ6mQyfZvgbk&#10;8ZlxsYaHUjEr4guL0/OCuWBzOc0wM3ie/1uvy6Rd/QYAAP//AwBQSwMEFAAGAAgAAAAhAFEOPQri&#10;AAAADQEAAA8AAABkcnMvZG93bnJldi54bWxMj8FOwzAQRO9I/IO1SNyoHVOiNsSpKgQnpIo0HDg6&#10;iZtYjdchdtvw92xPcNvZHc2+yTezG9jZTMF6VJAsBDCDjW8tdgo+q7eHFbAQNbZ68GgU/JgAm+L2&#10;JtdZ6y9YmvM+doxCMGRaQR/jmHEemt44HRZ+NEi3g5+cjiSnjreTvlC4G7gUIuVOW6QPvR7NS2+a&#10;4/7kFGy/sHy137v6ozyUtqrWAt/To1L3d/P2GVg0c/wzwxWf0KEgptqfsA1sIJ2kj2Sl4Wm5ksDI&#10;IpPlGlhNq1RICbzI+f8WxS8AAAD//wMAUEsBAi0AFAAGAAgAAAAhALaDOJL+AAAA4QEAABMAAAAA&#10;AAAAAAAAAAAAAAAAAFtDb250ZW50X1R5cGVzXS54bWxQSwECLQAUAAYACAAAACEAOP0h/9YAAACU&#10;AQAACwAAAAAAAAAAAAAAAAAvAQAAX3JlbHMvLnJlbHNQSwECLQAUAAYACAAAACEA3Oodr7ICAACx&#10;BQAADgAAAAAAAAAAAAAAAAAuAgAAZHJzL2Uyb0RvYy54bWxQSwECLQAUAAYACAAAACEAUQ49CuIA&#10;AAANAQAADwAAAAAAAAAAAAAAAAAMBQAAZHJzL2Rvd25yZXYueG1sUEsFBgAAAAAEAAQA8wAAABsG&#10;AAAAAA==&#10;" filled="f" stroked="f">
                <v:textbox inset="0,0,0,0">
                  <w:txbxContent>
                    <w:p w:rsidR="009F749F" w:rsidRDefault="009F749F" w:rsidP="009F749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0" distR="0" simplePos="0" relativeHeight="251670528" behindDoc="1" locked="0" layoutInCell="1" allowOverlap="1" wp14:anchorId="48184980" wp14:editId="66C87FED">
                <wp:simplePos x="0" y="0"/>
                <wp:positionH relativeFrom="page">
                  <wp:posOffset>3618865</wp:posOffset>
                </wp:positionH>
                <wp:positionV relativeFrom="page">
                  <wp:posOffset>9968230</wp:posOffset>
                </wp:positionV>
                <wp:extent cx="327025" cy="172720"/>
                <wp:effectExtent l="0" t="0" r="0" b="3175"/>
                <wp:wrapSquare wrapText="bothSides"/>
                <wp:docPr id="6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before="3" w:line="268" w:lineRule="exact"/>
                              <w:textAlignment w:val="baseline"/>
                              <w:rPr>
                                <w:rFonts w:eastAsia="Times New Roman"/>
                                <w:color w:val="000000"/>
                                <w:spacing w:val="5"/>
                                <w:sz w:val="24"/>
                              </w:rPr>
                            </w:pPr>
                            <w:r>
                              <w:rPr>
                                <w:rFonts w:eastAsia="Times New Roman"/>
                                <w:color w:val="000000"/>
                                <w:spacing w:val="5"/>
                                <w:sz w:val="24"/>
                              </w:rPr>
                              <w:t>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left:0;text-align:left;margin-left:284.95pt;margin-top:784.9pt;width:25.75pt;height:13.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eMtA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4ijDhpgaMHOmi0FgMKQ1OfvlMJuN134KgH2Aeeba6quxPFd4W42NSE7+lKStHXlJQQn29uus+u&#10;jjjKgOz6T6KEd8hBCws0VLI1xYNyIEAHnh7P3JhYCti8DuZeMMOogCN/HswDy51LkulyJ5X+QEWL&#10;jJFiCdRbcHK8U9oEQ5LJxbzFRc6axtLf8Bcb4DjuwNNw1ZyZICybT7EXbxfbReiEQbR1Qi/LnFW+&#10;CZ0o9+ez7DrbbDL/l3nXD5OalSXl5plJWX74Z8ydND5q4qwtJRpWGjgTkpL73aaR6EhA2bn9bMnh&#10;5OLmvgzDFgFyeZWSH4TeOoidPFrMnTAPZ0489xaO58frOPLCOMzylyndMU7/PSXUpzieAac2nUvQ&#10;r3Lz7Pc2N5K0TMPsaFib4sXZiSRGgVteWmo1Yc1oPyuFCf9SCqB7Itrq1Uh0FKsedoNtjWBqg50o&#10;H0HAUoDAQKUw98CohfyJUQ8zJMXqx4FIilHzkUMTmIEzGXIydpNBeAFXU6wxGs2NHgfToZNsXwPy&#10;2GZcrKBRKmZFbDpqjOLUXjAXbC6nGWYGz/N/63WZtMvfAAAA//8DAFBLAwQUAAYACAAAACEAI3Wr&#10;HeAAAAANAQAADwAAAGRycy9kb3ducmV2LnhtbEyPQU/DMAyF70j8h8hI3Fi6CQotTacJwQkJ0ZUD&#10;x7Tx2miNU5psK/8e78Rutt/T8/eK9ewGccQpWE8KlosEBFLrjaVOwVf9dvcEIkRNRg+eUMEvBliX&#10;11eFzo0/UYXHbewEh1DItYI+xjGXMrQ9Oh0WfkRibecnpyOvUyfNpE8c7ga5SpJUOm2JP/R6xJce&#10;2/324BRsvql6tT8fzWe1q2xdZwm9p3ulbm/mzTOIiHP8N8MZn9GhZKbGH8gEMSh4SLOMrSzwxCXY&#10;kq6W9yCa8yl7TECWhbxsUf4BAAD//wMAUEsBAi0AFAAGAAgAAAAhALaDOJL+AAAA4QEAABMAAAAA&#10;AAAAAAAAAAAAAAAAAFtDb250ZW50X1R5cGVzXS54bWxQSwECLQAUAAYACAAAACEAOP0h/9YAAACU&#10;AQAACwAAAAAAAAAAAAAAAAAvAQAAX3JlbHMvLnJlbHNQSwECLQAUAAYACAAAACEAMcHnjLQCAACx&#10;BQAADgAAAAAAAAAAAAAAAAAuAgAAZHJzL2Uyb0RvYy54bWxQSwECLQAUAAYACAAAACEAI3WrHeAA&#10;AAANAQAADwAAAAAAAAAAAAAAAAAOBQAAZHJzL2Rvd25yZXYueG1sUEsFBgAAAAAEAAQA8wAAABsG&#10;AAAAAA==&#10;" filled="f" stroked="f">
                <v:textbox inset="0,0,0,0">
                  <w:txbxContent>
                    <w:p w:rsidR="009F749F" w:rsidRDefault="009F749F" w:rsidP="009F749F">
                      <w:pPr>
                        <w:spacing w:before="3" w:line="268" w:lineRule="exact"/>
                        <w:textAlignment w:val="baseline"/>
                        <w:rPr>
                          <w:rFonts w:eastAsia="Times New Roman"/>
                          <w:color w:val="000000"/>
                          <w:spacing w:val="5"/>
                          <w:sz w:val="24"/>
                        </w:rPr>
                      </w:pPr>
                      <w:r>
                        <w:rPr>
                          <w:rFonts w:eastAsia="Times New Roman"/>
                          <w:color w:val="000000"/>
                          <w:spacing w:val="5"/>
                          <w:sz w:val="24"/>
                        </w:rPr>
                        <w:t>193</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0" distR="0" simplePos="0" relativeHeight="251671552" behindDoc="1" locked="0" layoutInCell="1" allowOverlap="1" wp14:anchorId="34E08B6D" wp14:editId="2551B6C1">
                <wp:simplePos x="0" y="0"/>
                <wp:positionH relativeFrom="page">
                  <wp:posOffset>6194425</wp:posOffset>
                </wp:positionH>
                <wp:positionV relativeFrom="page">
                  <wp:posOffset>9831070</wp:posOffset>
                </wp:positionV>
                <wp:extent cx="506730" cy="342900"/>
                <wp:effectExtent l="3175" t="1270" r="4445" b="0"/>
                <wp:wrapSquare wrapText="bothSides"/>
                <wp:docPr id="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487.75pt;margin-top:774.1pt;width:39.9pt;height:2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6psgIAALE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cYQRJx306IGOGt2KEYWRqc/QqxTM7nsw1CPcQ59trqq/E+U3hbjYNITv6Y2UYmgoqSA+37x0nzyd&#10;cJQB2Q0fRQV+yEELCzTWsjPFg3IgQIc+PZ57Y2Ip4TLy4uUCNCWoFmGQeLZ3Lknnx71U+j0VHTJC&#10;hiW03oKT453SJhiSzibGFxcFa1vb/pY/uwDD6QZcw1OjM0HYbv5MvGS72q5CJwzirRN6ee7cFJvQ&#10;iQt/GeWLfLPJ/V/Grx+mDasqyo2bmVl++GedO3F84sSZW0q0rDJwJiQl97tNK9GRALML+9mSg+Zi&#10;5j4PwxYBcnmRkh+E3m2QOEW8WjphEUZOsvRWjucnt0nshUmYF89TumOc/ntKaMhwEgXRxKVL0C9y&#10;8+z3OjeSdkzD7mhZl+HV2YikhoFbXtnWasLaSX5SChP+pRTQ7rnRlq+GohNZ9bgb7Wgs5jHYieoR&#10;CCwFEAy4CHsPhEbIHxgNsEMyrL4fiKQYtR84DIFZOLMgZ2E3C4SX8DTDGqNJ3OhpMR16yfYNIE9j&#10;xsUNDErNLInNRE1RnMYL9oLN5bTDzOJ5+m+tLpt2/R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wMxOqbICAACx&#10;BQAADgAAAAAAAAAAAAAAAAAuAgAAZHJzL2Uyb0RvYy54bWxQSwECLQAUAAYACAAAACEA028a8eIA&#10;AAAOAQAADwAAAAAAAAAAAAAAAAAMBQAAZHJzL2Rvd25yZXYueG1sUEsFBgAAAAAEAAQA8wAAABsG&#10;AAAAAA==&#10;" filled="f" stroked="f">
                <v:textbox inset="0,0,0,0">
                  <w:txbxContent>
                    <w:p w:rsidR="009F749F" w:rsidRDefault="009F749F" w:rsidP="009F749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F749F">
        <w:rPr>
          <w:rFonts w:ascii="Times New Roman" w:eastAsia="Times New Roman" w:hAnsi="Times New Roman"/>
          <w:color w:val="000000"/>
          <w:sz w:val="24"/>
          <w:lang w:val="en-US" w:eastAsia="en-US"/>
        </w:rPr>
        <w:t>Brussels, XXX</w:t>
      </w:r>
    </w:p>
    <w:p w:rsidR="009F749F" w:rsidRPr="009F749F" w:rsidRDefault="009F749F" w:rsidP="009F749F">
      <w:pPr>
        <w:spacing w:before="11" w:line="269" w:lineRule="exact"/>
        <w:ind w:left="5328"/>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[...](2012) XXX draft</w:t>
      </w:r>
    </w:p>
    <w:p w:rsidR="009F749F" w:rsidRPr="009F749F" w:rsidRDefault="009F749F" w:rsidP="009F749F">
      <w:pPr>
        <w:spacing w:before="1458" w:line="269" w:lineRule="exact"/>
        <w:jc w:val="center"/>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COMMISSION DELEGATED REGULATION (EU) No .../..</w:t>
      </w:r>
    </w:p>
    <w:p w:rsidR="009F749F" w:rsidRPr="009F749F" w:rsidRDefault="009F749F" w:rsidP="009F749F">
      <w:pPr>
        <w:spacing w:before="364" w:line="269" w:lineRule="exact"/>
        <w:ind w:left="4392"/>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of XXX</w:t>
      </w:r>
    </w:p>
    <w:p w:rsidR="009F749F" w:rsidRPr="009F749F" w:rsidRDefault="009F749F" w:rsidP="009F749F">
      <w:pPr>
        <w:spacing w:before="417" w:line="270" w:lineRule="exact"/>
        <w:jc w:val="center"/>
        <w:textAlignment w:val="baseline"/>
        <w:rPr>
          <w:rFonts w:ascii="Times New Roman" w:eastAsia="Times New Roman" w:hAnsi="Times New Roman"/>
          <w:color w:val="000000"/>
          <w:spacing w:val="-8"/>
          <w:sz w:val="24"/>
          <w:lang w:val="en-US" w:eastAsia="en-US"/>
        </w:rPr>
      </w:pPr>
      <w:r w:rsidRPr="009F749F">
        <w:rPr>
          <w:rFonts w:ascii="Times New Roman" w:eastAsia="Times New Roman" w:hAnsi="Times New Roman"/>
          <w:color w:val="000000"/>
          <w:spacing w:val="-8"/>
          <w:sz w:val="24"/>
          <w:lang w:val="en-US" w:eastAsia="en-US"/>
        </w:rPr>
        <w:t>[—]</w:t>
      </w:r>
    </w:p>
    <w:p w:rsidR="009F749F" w:rsidRPr="009F749F" w:rsidRDefault="009F749F" w:rsidP="009F749F">
      <w:pPr>
        <w:jc w:val="left"/>
        <w:rPr>
          <w:rFonts w:ascii="Times New Roman" w:eastAsia="PMingLiU" w:hAnsi="Times New Roman"/>
          <w:lang w:val="en-US" w:eastAsia="en-US"/>
        </w:rPr>
        <w:sectPr w:rsidR="009F749F" w:rsidRPr="009F749F">
          <w:type w:val="continuous"/>
          <w:pgSz w:w="11909" w:h="16838"/>
          <w:pgMar w:top="580" w:right="1421" w:bottom="960" w:left="1163" w:header="720" w:footer="720" w:gutter="0"/>
          <w:cols w:space="720"/>
        </w:sectPr>
      </w:pPr>
    </w:p>
    <w:p w:rsidR="00852EFC" w:rsidRDefault="00852EFC" w:rsidP="009F749F">
      <w:pPr>
        <w:spacing w:before="258" w:line="271" w:lineRule="exact"/>
        <w:jc w:val="center"/>
        <w:textAlignment w:val="baseline"/>
        <w:rPr>
          <w:rFonts w:ascii="Times New Roman" w:eastAsia="Times New Roman" w:hAnsi="Times New Roman"/>
          <w:b/>
          <w:color w:val="000000"/>
          <w:sz w:val="24"/>
          <w:lang w:val="en-US" w:eastAsia="en-US"/>
        </w:rPr>
      </w:pPr>
    </w:p>
    <w:p w:rsidR="00852EFC" w:rsidRDefault="00852EFC" w:rsidP="009F749F">
      <w:pPr>
        <w:spacing w:before="258" w:line="271" w:lineRule="exact"/>
        <w:jc w:val="center"/>
        <w:textAlignment w:val="baseline"/>
        <w:rPr>
          <w:rFonts w:ascii="Times New Roman" w:eastAsia="Times New Roman" w:hAnsi="Times New Roman"/>
          <w:b/>
          <w:color w:val="000000"/>
          <w:sz w:val="24"/>
          <w:lang w:val="en-US" w:eastAsia="en-US"/>
        </w:rPr>
      </w:pPr>
    </w:p>
    <w:p w:rsidR="00852EFC" w:rsidRDefault="00852EFC" w:rsidP="009F749F">
      <w:pPr>
        <w:spacing w:before="258" w:line="271" w:lineRule="exact"/>
        <w:jc w:val="center"/>
        <w:textAlignment w:val="baseline"/>
        <w:rPr>
          <w:rFonts w:ascii="Times New Roman" w:eastAsia="Times New Roman" w:hAnsi="Times New Roman"/>
          <w:b/>
          <w:color w:val="000000"/>
          <w:sz w:val="24"/>
          <w:lang w:val="en-US" w:eastAsia="en-US"/>
        </w:rPr>
      </w:pPr>
    </w:p>
    <w:p w:rsidR="009F749F" w:rsidRPr="009F749F" w:rsidRDefault="009F749F" w:rsidP="009F749F">
      <w:pPr>
        <w:spacing w:before="258" w:line="271" w:lineRule="exact"/>
        <w:jc w:val="center"/>
        <w:textAlignment w:val="baseline"/>
        <w:rPr>
          <w:rFonts w:ascii="Times New Roman" w:eastAsia="Times New Roman" w:hAnsi="Times New Roman"/>
          <w:b/>
          <w:color w:val="000000"/>
          <w:sz w:val="24"/>
          <w:lang w:val="en-US" w:eastAsia="en-US"/>
        </w:rPr>
      </w:pPr>
      <w:r w:rsidRPr="009F749F">
        <w:rPr>
          <w:rFonts w:ascii="Times New Roman" w:eastAsia="Times New Roman" w:hAnsi="Times New Roman"/>
          <w:b/>
          <w:color w:val="000000"/>
          <w:sz w:val="24"/>
          <w:lang w:val="en-US" w:eastAsia="en-US"/>
        </w:rPr>
        <w:t>COMMISSION DELEGATED REGULATION (EU) No .../..</w:t>
      </w:r>
    </w:p>
    <w:p w:rsidR="009F749F" w:rsidRPr="009F749F" w:rsidRDefault="009F749F" w:rsidP="009F749F">
      <w:pPr>
        <w:spacing w:before="151" w:line="271" w:lineRule="exact"/>
        <w:jc w:val="center"/>
        <w:textAlignment w:val="baseline"/>
        <w:rPr>
          <w:rFonts w:ascii="Times New Roman" w:eastAsia="Times New Roman" w:hAnsi="Times New Roman"/>
          <w:b/>
          <w:color w:val="000000"/>
          <w:spacing w:val="-1"/>
          <w:sz w:val="24"/>
          <w:lang w:val="en-US" w:eastAsia="en-US"/>
        </w:rPr>
      </w:pPr>
      <w:r w:rsidRPr="009F749F">
        <w:rPr>
          <w:rFonts w:ascii="Times New Roman" w:eastAsia="Times New Roman" w:hAnsi="Times New Roman"/>
          <w:b/>
          <w:color w:val="000000"/>
          <w:spacing w:val="-1"/>
          <w:sz w:val="24"/>
          <w:lang w:val="en-US" w:eastAsia="en-US"/>
        </w:rPr>
        <w:t>of XXX</w:t>
      </w:r>
    </w:p>
    <w:p w:rsidR="009F749F" w:rsidRPr="009F749F" w:rsidRDefault="009F749F" w:rsidP="009F749F">
      <w:pPr>
        <w:spacing w:before="156" w:line="271" w:lineRule="exact"/>
        <w:jc w:val="center"/>
        <w:textAlignment w:val="baseline"/>
        <w:rPr>
          <w:rFonts w:ascii="Times New Roman" w:eastAsia="Times New Roman" w:hAnsi="Times New Roman"/>
          <w:b/>
          <w:color w:val="000000"/>
          <w:spacing w:val="-8"/>
          <w:sz w:val="24"/>
          <w:lang w:val="en-US" w:eastAsia="en-US"/>
        </w:rPr>
      </w:pPr>
      <w:r w:rsidRPr="009F749F">
        <w:rPr>
          <w:rFonts w:ascii="Times New Roman" w:eastAsia="Times New Roman" w:hAnsi="Times New Roman"/>
          <w:b/>
          <w:color w:val="000000"/>
          <w:spacing w:val="-8"/>
          <w:sz w:val="24"/>
          <w:lang w:val="en-US" w:eastAsia="en-US"/>
        </w:rPr>
        <w:t>F...]</w:t>
      </w:r>
    </w:p>
    <w:p w:rsidR="009F749F" w:rsidRPr="009F749F" w:rsidRDefault="009F749F" w:rsidP="009F749F">
      <w:pPr>
        <w:spacing w:before="115" w:line="356" w:lineRule="exact"/>
        <w:jc w:val="center"/>
        <w:textAlignment w:val="baseline"/>
        <w:rPr>
          <w:rFonts w:ascii="Times New Roman" w:eastAsia="Times New Roman" w:hAnsi="Times New Roman"/>
          <w:b/>
          <w:color w:val="000000"/>
          <w:sz w:val="28"/>
          <w:lang w:val="en-US" w:eastAsia="en-US"/>
        </w:rPr>
      </w:pPr>
      <w:r w:rsidRPr="009F749F">
        <w:rPr>
          <w:rFonts w:ascii="Times New Roman" w:eastAsia="Times New Roman" w:hAnsi="Times New Roman"/>
          <w:b/>
          <w:color w:val="000000"/>
          <w:sz w:val="28"/>
          <w:lang w:val="en-US" w:eastAsia="en-US"/>
        </w:rPr>
        <w:t xml:space="preserve">supplementing Regulation (EU) No 600/2014 of the European Parliament </w:t>
      </w:r>
      <w:r w:rsidRPr="009F749F">
        <w:rPr>
          <w:rFonts w:ascii="Times New Roman" w:eastAsia="Times New Roman" w:hAnsi="Times New Roman"/>
          <w:b/>
          <w:color w:val="000000"/>
          <w:sz w:val="28"/>
          <w:lang w:val="en-US" w:eastAsia="en-US"/>
        </w:rPr>
        <w:br/>
        <w:t xml:space="preserve">and of the Council with regard to regulatory technical standards on the </w:t>
      </w:r>
      <w:r w:rsidRPr="009F749F">
        <w:rPr>
          <w:rFonts w:ascii="Times New Roman" w:eastAsia="Times New Roman" w:hAnsi="Times New Roman"/>
          <w:b/>
          <w:color w:val="000000"/>
          <w:sz w:val="28"/>
          <w:lang w:val="en-US" w:eastAsia="en-US"/>
        </w:rPr>
        <w:br/>
        <w:t xml:space="preserve">direct, substantial and foreseeable effect of contracts within the Union and </w:t>
      </w:r>
      <w:r w:rsidRPr="009F749F">
        <w:rPr>
          <w:rFonts w:ascii="Times New Roman" w:eastAsia="Times New Roman" w:hAnsi="Times New Roman"/>
          <w:b/>
          <w:color w:val="000000"/>
          <w:sz w:val="28"/>
          <w:lang w:val="en-US" w:eastAsia="en-US"/>
        </w:rPr>
        <w:br/>
        <w:t>to prevent the evasion of rules and obligations</w:t>
      </w:r>
    </w:p>
    <w:p w:rsidR="009F749F" w:rsidRPr="009F749F" w:rsidRDefault="009F749F" w:rsidP="009F749F">
      <w:pPr>
        <w:spacing w:before="827" w:line="273" w:lineRule="exact"/>
        <w:ind w:left="144"/>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THE EUROPEAN COMMISSION,</w:t>
      </w:r>
    </w:p>
    <w:p w:rsidR="009F749F" w:rsidRPr="009F749F" w:rsidRDefault="009F749F" w:rsidP="009F749F">
      <w:pPr>
        <w:spacing w:before="281" w:line="273" w:lineRule="exact"/>
        <w:ind w:left="144"/>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Having regard to the Treaty on the Functioning of the European Union,</w:t>
      </w:r>
    </w:p>
    <w:p w:rsidR="009F749F" w:rsidRPr="009F749F" w:rsidRDefault="009F749F" w:rsidP="009F749F">
      <w:pPr>
        <w:spacing w:before="256" w:line="302"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Having regard to Regulation (EU) No 600/2014 of the European Parliament and of the Council of 15 May 2014 on markets in financial instruments, and in particular Article 28(5) thereof,</w:t>
      </w:r>
    </w:p>
    <w:p w:rsidR="009F749F" w:rsidRPr="009F749F" w:rsidRDefault="009F749F" w:rsidP="009F749F">
      <w:pPr>
        <w:spacing w:before="284" w:line="273" w:lineRule="exact"/>
        <w:ind w:left="144"/>
        <w:jc w:val="left"/>
        <w:textAlignment w:val="baseline"/>
        <w:rPr>
          <w:rFonts w:ascii="Times New Roman" w:eastAsia="Times New Roman" w:hAnsi="Times New Roman"/>
          <w:color w:val="000000"/>
          <w:spacing w:val="-4"/>
          <w:sz w:val="24"/>
          <w:lang w:val="en-US" w:eastAsia="en-US"/>
        </w:rPr>
      </w:pPr>
      <w:r w:rsidRPr="009F749F">
        <w:rPr>
          <w:rFonts w:ascii="Times New Roman" w:eastAsia="Times New Roman" w:hAnsi="Times New Roman"/>
          <w:color w:val="000000"/>
          <w:spacing w:val="-4"/>
          <w:sz w:val="24"/>
          <w:lang w:val="en-US" w:eastAsia="en-US"/>
        </w:rPr>
        <w:t>Whereas:</w:t>
      </w:r>
    </w:p>
    <w:p w:rsidR="009F749F" w:rsidRPr="009F749F" w:rsidRDefault="009F749F" w:rsidP="009F749F">
      <w:pPr>
        <w:numPr>
          <w:ilvl w:val="0"/>
          <w:numId w:val="27"/>
        </w:numPr>
        <w:tabs>
          <w:tab w:val="left" w:pos="864"/>
        </w:tabs>
        <w:spacing w:before="247" w:line="305"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Regulation (EU) No 600/2014 sets out a formal regulatory procedure for mandating trading in derivatives that have been considered to be clearing-eligible and which are sufficiently liquid to take place on a range of trading venues.</w:t>
      </w:r>
    </w:p>
    <w:p w:rsidR="009F749F" w:rsidRPr="009F749F" w:rsidRDefault="009F749F" w:rsidP="009F749F">
      <w:pPr>
        <w:numPr>
          <w:ilvl w:val="0"/>
          <w:numId w:val="27"/>
        </w:numPr>
        <w:tabs>
          <w:tab w:val="left" w:pos="864"/>
        </w:tabs>
        <w:spacing w:before="250" w:line="303"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To ensure that goal is effectively achieved, Article 28(2) of Regulation (EU) No 600/2014 prescribes that the trading obligation shall also apply to third-country entities that would be subject to the clearing obligation if they were established in the Union, which enter into derivatives transactions pertaining to a class of derivatives that has been declared subject to the trading obligation, provided that the contract has a direct, substantial and foreseeable effect within the Union or where such obligation is necessary or appropriate to prevent the evasion of such Regulation.</w:t>
      </w:r>
    </w:p>
    <w:p w:rsidR="009F749F" w:rsidRPr="009F749F" w:rsidRDefault="009F749F" w:rsidP="009F749F">
      <w:pPr>
        <w:numPr>
          <w:ilvl w:val="0"/>
          <w:numId w:val="27"/>
        </w:numPr>
        <w:tabs>
          <w:tab w:val="left" w:pos="864"/>
        </w:tabs>
        <w:spacing w:before="256" w:after="754" w:line="303"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 xml:space="preserve">Given the broad variety of over-the-counter (OTC) derivative contracts, in order to </w:t>
      </w:r>
      <w:r w:rsidRPr="009F749F">
        <w:rPr>
          <w:rFonts w:ascii="Times New Roman" w:eastAsia="Times New Roman" w:hAnsi="Times New Roman"/>
          <w:color w:val="000000"/>
          <w:sz w:val="24"/>
          <w:lang w:val="en-US" w:eastAsia="en-US"/>
        </w:rPr>
        <w:br/>
        <w:t>determine when an OTC derivative contract may be considered to have a direct, substantial and foreseeable effect within the Union and cases where it is necessary or appropriate to prevent the evasion of rules and obligations arising from any provision of Regulation (EU) No 648/2012 of the European Parliament and the Council</w:t>
      </w:r>
      <w:r w:rsidRPr="009F749F">
        <w:rPr>
          <w:rFonts w:ascii="Times New Roman" w:eastAsia="Times New Roman" w:hAnsi="Times New Roman"/>
          <w:color w:val="000000"/>
          <w:sz w:val="24"/>
          <w:vertAlign w:val="superscript"/>
          <w:lang w:val="en-US" w:eastAsia="en-US"/>
        </w:rPr>
        <w:t>s</w:t>
      </w:r>
      <w:r w:rsidRPr="009F749F">
        <w:rPr>
          <w:rFonts w:ascii="Times New Roman" w:eastAsia="Times New Roman" w:hAnsi="Times New Roman"/>
          <w:color w:val="000000"/>
          <w:sz w:val="24"/>
          <w:lang w:val="en-US" w:eastAsia="en-US"/>
        </w:rPr>
        <w:t xml:space="preserve"> a criteria-based approach should be adopted.</w:t>
      </w:r>
    </w:p>
    <w:p w:rsidR="009F749F" w:rsidRPr="009F749F" w:rsidRDefault="009F749F" w:rsidP="009F749F">
      <w:pPr>
        <w:spacing w:line="231" w:lineRule="exact"/>
        <w:ind w:left="144" w:right="144"/>
        <w:textAlignment w:val="baseline"/>
        <w:rPr>
          <w:rFonts w:ascii="Times New Roman" w:eastAsia="Times New Roman" w:hAnsi="Times New Roman"/>
          <w:color w:val="000000"/>
          <w:sz w:val="20"/>
          <w:lang w:val="en-US" w:eastAsia="en-US"/>
        </w:rPr>
      </w:pPr>
      <w:r w:rsidRPr="009F749F">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55140A4A" wp14:editId="7CDB9497">
                <wp:simplePos x="0" y="0"/>
                <wp:positionH relativeFrom="page">
                  <wp:posOffset>899160</wp:posOffset>
                </wp:positionH>
                <wp:positionV relativeFrom="page">
                  <wp:posOffset>9089390</wp:posOffset>
                </wp:positionV>
                <wp:extent cx="1832610" cy="0"/>
                <wp:effectExtent l="13335" t="12065" r="11430" b="6985"/>
                <wp:wrapNone/>
                <wp:docPr id="6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o2FAIAACs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tEeR&#10;HjR6FoqjeR56MxhXQkittjZUR0/qxTxr+t0hpeuOqD2PHF/PBvKykJG8SQkbZ+CG3fBZM4ghB69j&#10;o06t7QMktACdoh7nmx785BGFw2wxnxUZ8KKjLyHlmGis85+47lEwKiyBdAQmx2fnAxFSjiHhHqU3&#10;Qsoot1RoAPBZWjzEDKelYMEb4pzd72pp0ZGEiYlfLAs892FWHxSLaB0nbH21PRHyYsPtUgU8qAX4&#10;XK3LSPx4TB/Xi/Uin+SzYj3J06aZfNzU+aTYZB8emnlT1032M1DL8rITjHEV2I3jmeV/J//1oVwG&#10;6zagtz4kb9Fjw4Ds+I+ko5hBv8sk7DQ7b+0oMkxkDL6+njDy93uw79/46hcAAAD//wMAUEsDBBQA&#10;BgAIAAAAIQDJ+eay3wAAAA0BAAAPAAAAZHJzL2Rvd25yZXYueG1sTI9BS8NAEIXvgv9hGcGLtLtp&#10;QwkxmyIFvSlalfa4zY5JMDsbstsm/nunB6m3eTOPN98r1pPrxAmH0HrSkMwVCKTK25ZqDR/vj7MM&#10;RIiGrOk8oYYfDLAur68Kk1s/0huetrEWHEIhNxqaGPtcylA16EyY+x6Jb19+cCayHGppBzNyuOvk&#10;QqmVdKYl/tCYHjcNVt/bo9MgpcrS6XM3Pqd3IWv3m3r/9PKq9e3N9HAPIuIUL2Y44zM6lMx08Eey&#10;QXSs02TF1vOwTFIQbEmXagHi8LeSZSH/tyh/AQAA//8DAFBLAQItABQABgAIAAAAIQC2gziS/gAA&#10;AOEBAAATAAAAAAAAAAAAAAAAAAAAAABbQ29udGVudF9UeXBlc10ueG1sUEsBAi0AFAAGAAgAAAAh&#10;ADj9If/WAAAAlAEAAAsAAAAAAAAAAAAAAAAALwEAAF9yZWxzLy5yZWxzUEsBAi0AFAAGAAgAAAAh&#10;AF67yjYUAgAAKwQAAA4AAAAAAAAAAAAAAAAALgIAAGRycy9lMm9Eb2MueG1sUEsBAi0AFAAGAAgA&#10;AAAhAMn55rLfAAAADQEAAA8AAAAAAAAAAAAAAAAAbgQAAGRycy9kb3ducmV2LnhtbFBLBQYAAAAA&#10;BAAEAPMAAAB6BQAAAAA=&#10;" strokeweight=".95pt">
                <w10:wrap anchorx="page" anchory="page"/>
              </v:line>
            </w:pict>
          </mc:Fallback>
        </mc:AlternateContent>
      </w:r>
      <w:r w:rsidRPr="009F749F">
        <w:rPr>
          <w:rFonts w:ascii="Times New Roman" w:eastAsia="Times New Roman" w:hAnsi="Times New Roman"/>
          <w:color w:val="000000"/>
          <w:sz w:val="20"/>
          <w:lang w:val="en-US" w:eastAsia="en-US"/>
        </w:rPr>
        <w:t>1 Regulation (EU) No 648/2012 of the European Parliament and of the Council of 4 July 2012 on OTC derivatives, central counterparties and trade repositories (OJ L 201, 27.7.2012, p. 1)</w:t>
      </w:r>
    </w:p>
    <w:p w:rsidR="009F749F" w:rsidRPr="009F749F" w:rsidRDefault="009F749F" w:rsidP="009F749F">
      <w:pPr>
        <w:jc w:val="left"/>
        <w:rPr>
          <w:rFonts w:ascii="Times New Roman" w:eastAsia="PMingLiU" w:hAnsi="Times New Roman"/>
          <w:lang w:val="en-US" w:eastAsia="en-US"/>
        </w:rPr>
        <w:sectPr w:rsidR="009F749F" w:rsidRPr="009F749F">
          <w:pgSz w:w="11909" w:h="16838"/>
          <w:pgMar w:top="500" w:right="1289" w:bottom="960" w:left="1295" w:header="720" w:footer="720" w:gutter="0"/>
          <w:cols w:space="720"/>
        </w:sectPr>
      </w:pPr>
    </w:p>
    <w:p w:rsidR="009F749F" w:rsidRPr="009F749F" w:rsidRDefault="009F749F" w:rsidP="009F749F">
      <w:pPr>
        <w:numPr>
          <w:ilvl w:val="0"/>
          <w:numId w:val="28"/>
        </w:numPr>
        <w:tabs>
          <w:tab w:val="left" w:pos="792"/>
        </w:tabs>
        <w:spacing w:before="235" w:line="304" w:lineRule="exact"/>
        <w:ind w:left="792"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lastRenderedPageBreak/>
        <w:t>Given that pursuant to Article 33(3) of Regulation (EU) No 600/2014, the provisions of that Regulation would be deemed fulfilled when at least one of the counterparties is established in a country for which the Commission has adopted an implementing act declaring equivalence in accordance with Article 33(2) of Regulation (EU) No 600/2014, these regulatory technical standards should apply to contracts where both counterparties are established in a third country whose legal, supervisory and enforcement arrangements have not yet been declared equivalent to the requirements laid down in that Regulation.</w:t>
      </w:r>
    </w:p>
    <w:p w:rsidR="009F749F" w:rsidRPr="009F749F" w:rsidRDefault="009F749F" w:rsidP="009F749F">
      <w:pPr>
        <w:numPr>
          <w:ilvl w:val="0"/>
          <w:numId w:val="28"/>
        </w:numPr>
        <w:tabs>
          <w:tab w:val="left" w:pos="792"/>
          <w:tab w:val="left" w:pos="864"/>
        </w:tabs>
        <w:spacing w:before="248" w:line="304" w:lineRule="exact"/>
        <w:ind w:left="792"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 xml:space="preserve">Certain information on contracts concluded by third country entities would still only </w:t>
      </w:r>
      <w:r w:rsidRPr="009F749F">
        <w:rPr>
          <w:rFonts w:ascii="Times New Roman" w:eastAsia="Times New Roman" w:hAnsi="Times New Roman"/>
          <w:color w:val="000000"/>
          <w:sz w:val="24"/>
          <w:lang w:val="en-US" w:eastAsia="en-US"/>
        </w:rPr>
        <w:br/>
        <w:t>be available to third country competent authorities. Therefore Union competent authorities should closely cooperate with those authorities in order to ensure that the relevant provisions are applied and enforced.</w:t>
      </w:r>
    </w:p>
    <w:p w:rsidR="009F749F" w:rsidRPr="009F749F" w:rsidRDefault="009F749F" w:rsidP="009F749F">
      <w:pPr>
        <w:numPr>
          <w:ilvl w:val="0"/>
          <w:numId w:val="28"/>
        </w:numPr>
        <w:tabs>
          <w:tab w:val="left" w:pos="792"/>
        </w:tabs>
        <w:spacing w:before="245" w:line="304" w:lineRule="exact"/>
        <w:ind w:left="792"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Given the intrinsic relationship between these technical standards and Commission Delegated Regulation (EU) No 285/2014, of 13 February 2014, supplementing Regulation (EU) No 648/2012 with regard to regulatory technical standards on direct, substantial and foreseeable effect of contracts within the Union and to prevent the evasion of rules and obligations, the technical terms necessary for a comprehensive understanding of the technical standards should be defined in the same way.</w:t>
      </w:r>
    </w:p>
    <w:p w:rsidR="009F749F" w:rsidRPr="009F749F" w:rsidRDefault="009F749F" w:rsidP="009F749F">
      <w:pPr>
        <w:numPr>
          <w:ilvl w:val="0"/>
          <w:numId w:val="28"/>
        </w:numPr>
        <w:tabs>
          <w:tab w:val="left" w:pos="792"/>
          <w:tab w:val="left" w:pos="864"/>
        </w:tabs>
        <w:spacing w:before="243" w:line="304" w:lineRule="exact"/>
        <w:ind w:left="792"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 xml:space="preserve">OTC derivative contracts concluded by entities established in third countries covered </w:t>
      </w:r>
      <w:r w:rsidRPr="009F749F">
        <w:rPr>
          <w:rFonts w:ascii="Times New Roman" w:eastAsia="Times New Roman" w:hAnsi="Times New Roman"/>
          <w:color w:val="000000"/>
          <w:sz w:val="24"/>
          <w:lang w:val="en-US" w:eastAsia="en-US"/>
        </w:rPr>
        <w:br/>
        <w:t xml:space="preserve">by a guarantee provided by entities established in the Union create a financial risk for the guarantor established in the Union. Furthermore, given that the risk would depend on the size of the guarantee granted by </w:t>
      </w:r>
      <w:r w:rsidR="00852EFC">
        <w:rPr>
          <w:rFonts w:ascii="Times New Roman" w:eastAsia="Times New Roman" w:hAnsi="Times New Roman"/>
          <w:color w:val="000000"/>
          <w:sz w:val="24"/>
          <w:lang w:val="en-US" w:eastAsia="en-US"/>
        </w:rPr>
        <w:t>financial</w:t>
      </w:r>
      <w:r w:rsidRPr="009F749F">
        <w:rPr>
          <w:rFonts w:ascii="Times New Roman" w:eastAsia="Times New Roman" w:hAnsi="Times New Roman"/>
          <w:color w:val="000000"/>
          <w:sz w:val="24"/>
          <w:lang w:val="en-US" w:eastAsia="en-US"/>
        </w:rPr>
        <w:t xml:space="preserve"> counterparties in order to cover OTC derivative contracts and given the interconnections between </w:t>
      </w:r>
      <w:r w:rsidR="00852EFC">
        <w:rPr>
          <w:rFonts w:ascii="Times New Roman" w:eastAsia="Times New Roman" w:hAnsi="Times New Roman"/>
          <w:color w:val="000000"/>
          <w:sz w:val="24"/>
          <w:lang w:val="en-US" w:eastAsia="en-US"/>
        </w:rPr>
        <w:t>financial</w:t>
      </w:r>
      <w:r w:rsidRPr="009F749F">
        <w:rPr>
          <w:rFonts w:ascii="Times New Roman" w:eastAsia="Times New Roman" w:hAnsi="Times New Roman"/>
          <w:color w:val="000000"/>
          <w:sz w:val="24"/>
          <w:lang w:val="en-US" w:eastAsia="en-US"/>
        </w:rPr>
        <w:t xml:space="preserve"> counterparties compared to non-financial counterparties, only OTC derivative contracts concluded by entities established in third countries that are covered by a guarantee which exceeds certain quantitative thresholds and is provided by financial counterparties established in the Union should be considered as having a direct, substantial and foreseeable effect in the Union.</w:t>
      </w:r>
    </w:p>
    <w:p w:rsidR="009F749F" w:rsidRPr="009F749F" w:rsidRDefault="009F749F" w:rsidP="009F749F">
      <w:pPr>
        <w:numPr>
          <w:ilvl w:val="0"/>
          <w:numId w:val="28"/>
        </w:numPr>
        <w:tabs>
          <w:tab w:val="left" w:pos="792"/>
        </w:tabs>
        <w:spacing w:before="248" w:line="304" w:lineRule="exact"/>
        <w:ind w:left="792"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Financial counterparties established in third countries can enter into OTC derivative contracts through their Union branches. Given the impact of the activity of those branches on the Union market, OTC derivative contracts concluded between those Union branches should be considered to have a direct, substantial and foreseeable effect within the Union.</w:t>
      </w:r>
    </w:p>
    <w:p w:rsidR="009F749F" w:rsidRPr="009F749F" w:rsidRDefault="009F749F" w:rsidP="009F749F">
      <w:pPr>
        <w:numPr>
          <w:ilvl w:val="0"/>
          <w:numId w:val="28"/>
        </w:numPr>
        <w:tabs>
          <w:tab w:val="left" w:pos="792"/>
          <w:tab w:val="left" w:pos="864"/>
        </w:tabs>
        <w:spacing w:before="252" w:line="304" w:lineRule="exact"/>
        <w:ind w:left="792" w:right="144" w:hanging="720"/>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 xml:space="preserve">OTC derivative contracts that are entered into by specific counterparties with the </w:t>
      </w:r>
      <w:r w:rsidRPr="009F749F">
        <w:rPr>
          <w:rFonts w:ascii="Times New Roman" w:eastAsia="Times New Roman" w:hAnsi="Times New Roman"/>
          <w:color w:val="000000"/>
          <w:spacing w:val="-1"/>
          <w:sz w:val="24"/>
          <w:lang w:val="en-US" w:eastAsia="en-US"/>
        </w:rPr>
        <w:br/>
        <w:t>primary purpose of avoiding the application of the clearing obligation or of the risk mitigation techniques applicable to entities that would have been the natural counterparties to the contract, should be considered as evading the rules and obligations laid down in Regulation (EU) No 600/2014 as they hinder the achievement of a purpose of that Regulation, namely mitigating counterparty credit risk.</w:t>
      </w:r>
    </w:p>
    <w:p w:rsidR="009F749F" w:rsidRPr="009F749F" w:rsidRDefault="009F749F" w:rsidP="009F749F">
      <w:pPr>
        <w:jc w:val="left"/>
        <w:rPr>
          <w:rFonts w:ascii="Times New Roman" w:eastAsia="PMingLiU" w:hAnsi="Times New Roman"/>
          <w:lang w:val="en-US" w:eastAsia="en-US"/>
        </w:rPr>
        <w:sectPr w:rsidR="009F749F" w:rsidRPr="009F749F">
          <w:pgSz w:w="11909" w:h="16838"/>
          <w:pgMar w:top="540" w:right="1289" w:bottom="960" w:left="1295" w:header="720" w:footer="720" w:gutter="0"/>
          <w:cols w:space="720"/>
        </w:sectPr>
      </w:pPr>
    </w:p>
    <w:p w:rsidR="009F749F" w:rsidRPr="009F749F" w:rsidRDefault="009F749F" w:rsidP="009F749F">
      <w:pPr>
        <w:spacing w:before="1" w:after="287"/>
        <w:ind w:left="109" w:right="8328"/>
        <w:jc w:val="left"/>
        <w:textAlignment w:val="baseline"/>
        <w:rPr>
          <w:rFonts w:ascii="Times New Roman" w:eastAsia="PMingLiU" w:hAnsi="Times New Roman"/>
          <w:lang w:val="en-US" w:eastAsia="en-US"/>
        </w:rPr>
      </w:pPr>
      <w:r w:rsidRPr="009F749F">
        <w:rPr>
          <w:rFonts w:ascii="Times New Roman" w:eastAsia="PMingLiU" w:hAnsi="Times New Roman"/>
          <w:noProof/>
        </w:rPr>
        <w:lastRenderedPageBreak/>
        <w:drawing>
          <wp:inline distT="0" distB="0" distL="0" distR="0" wp14:anchorId="118FC0CA" wp14:editId="52E3C1B3">
            <wp:extent cx="556260" cy="5562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F749F" w:rsidRPr="009F749F" w:rsidRDefault="009F749F" w:rsidP="009F749F">
      <w:pPr>
        <w:numPr>
          <w:ilvl w:val="0"/>
          <w:numId w:val="29"/>
        </w:numPr>
        <w:tabs>
          <w:tab w:val="left" w:pos="864"/>
        </w:tabs>
        <w:spacing w:line="303"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PMingLiU" w:hAnsi="Times New Roman"/>
          <w:noProof/>
        </w:rPr>
        <mc:AlternateContent>
          <mc:Choice Requires="wps">
            <w:drawing>
              <wp:anchor distT="0" distB="0" distL="0" distR="0" simplePos="0" relativeHeight="251678720" behindDoc="1" locked="0" layoutInCell="1" allowOverlap="1" wp14:anchorId="068AD256" wp14:editId="16B3ECB6">
                <wp:simplePos x="0" y="0"/>
                <wp:positionH relativeFrom="page">
                  <wp:posOffset>826770</wp:posOffset>
                </wp:positionH>
                <wp:positionV relativeFrom="page">
                  <wp:posOffset>9831070</wp:posOffset>
                </wp:positionV>
                <wp:extent cx="537845" cy="342900"/>
                <wp:effectExtent l="0" t="1270" r="0" b="0"/>
                <wp:wrapSquare wrapText="bothSides"/>
                <wp:docPr id="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line="530" w:lineRule="exact"/>
                              <w:ind w:left="72"/>
                              <w:textAlignment w:val="baseline"/>
                              <w:rPr>
                                <w:rFonts w:ascii="Arial" w:eastAsia="Arial" w:hAnsi="Arial"/>
                                <w:b/>
                                <w:color w:val="000000"/>
                                <w:spacing w:val="-5"/>
                                <w:sz w:val="47"/>
                              </w:rPr>
                            </w:pPr>
                            <w:r>
                              <w:rPr>
                                <w:rFonts w:ascii="Arial" w:eastAsia="Arial" w:hAnsi="Arial"/>
                                <w:b/>
                                <w:color w:val="000000"/>
                                <w:spacing w:val="-5"/>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65.1pt;margin-top:774.1pt;width:42.35pt;height:2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c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EEScd9OiBjhrdihFFganP0KsU3O57cNQj7EOfba6qvxPld4W4WDeE7+iNlGJoKKmAn29uus+u&#10;TjjKgGyHT6KCOGSvhQUaa9mZ4kE5EKBDnx5PvTFcStiMLpdxCBRLOLoMg8SzvXNJOl/updIfqOiQ&#10;MTIsofUWnBzulDZkSDq7mFhcFKxtbftb/mIDHKcdCA1XzZkhYbv5lHjJJt7EoRMGi40Tennu3BTr&#10;0FkU/jLKL/P1Ovd/mbh+mDasqig3YWZl+eGfde6o8UkTJ20p0bLKwBlKSu6261aiAwFlF/azJYeT&#10;s5v7koYtAuTyKiU/CL3bIHGKRbx0wiKMnGTpxY7nJ7fJwguTMC9epnTHOP33lNCQ4SQKoklLZ9Kv&#10;cvPs9zY3knZMw+xoWZfh+OREUqPADa9sazVh7WQ/K4Whfy4FtHtutNWrkegkVj1uR/s0fKs1I+at&#10;qB5BwVKAwkCmMPjAaIT8idEAQyTD6seeSIpR+5HDKzATZzbkbGxng/ASrmZYYzSZaz1Npn0v2a4B&#10;5OmdcXEDL6VmVsVnFsf3BYPBJnMcYmbyPP+3XudRu/oNAAD//wMAUEsDBBQABgAIAAAAIQDGOa1x&#10;4AAAAA0BAAAPAAAAZHJzL2Rvd25yZXYueG1sTI/BTsMwEETvSPyDtUjcqF1TojbEqSoEJyREGg4c&#10;ndhNrMbrELtt+HuWE9xmdkezb4vt7Ad2tlN0ARUsFwKYxTYYh52Cj/rlbg0sJo1GDwGtgm8bYVte&#10;XxU6N+GClT3vU8eoBGOuFfQpjTnnse2t13ERRou0O4TJ60R26riZ9IXK/cClEBn32iFd6PVon3rb&#10;Hvcnr2D3idWz+3pr3qtD5ep6I/A1Oyp1ezPvHoElO6e/MPziEzqUxNSEE5rIBvL3QlKUxMNqTYoi&#10;crnaAGtolAkpgZcF//9F+QMAAP//AwBQSwECLQAUAAYACAAAACEAtoM4kv4AAADhAQAAEwAAAAAA&#10;AAAAAAAAAAAAAAAAW0NvbnRlbnRfVHlwZXNdLnhtbFBLAQItABQABgAIAAAAIQA4/SH/1gAAAJQB&#10;AAALAAAAAAAAAAAAAAAAAC8BAABfcmVscy8ucmVsc1BLAQItABQABgAIAAAAIQBsQ/dcswIAALIF&#10;AAAOAAAAAAAAAAAAAAAAAC4CAABkcnMvZTJvRG9jLnhtbFBLAQItABQABgAIAAAAIQDGOa1x4AAA&#10;AA0BAAAPAAAAAAAAAAAAAAAAAA0FAABkcnMvZG93bnJldi54bWxQSwUGAAAAAAQABADzAAAAGgYA&#10;AAAA&#10;" filled="f" stroked="f">
                <v:textbox inset="0,0,0,0">
                  <w:txbxContent>
                    <w:p w:rsidR="009F749F" w:rsidRDefault="009F749F" w:rsidP="009F749F">
                      <w:pPr>
                        <w:spacing w:line="530" w:lineRule="exact"/>
                        <w:ind w:left="72"/>
                        <w:textAlignment w:val="baseline"/>
                        <w:rPr>
                          <w:rFonts w:ascii="Arial" w:eastAsia="Arial" w:hAnsi="Arial"/>
                          <w:b/>
                          <w:color w:val="000000"/>
                          <w:spacing w:val="-5"/>
                          <w:sz w:val="47"/>
                        </w:rPr>
                      </w:pPr>
                      <w:r>
                        <w:rPr>
                          <w:rFonts w:ascii="Arial" w:eastAsia="Arial" w:hAnsi="Arial"/>
                          <w:b/>
                          <w:color w:val="000000"/>
                          <w:spacing w:val="-5"/>
                          <w:sz w:val="47"/>
                        </w:rPr>
                        <w:t>EN</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0" distR="0" simplePos="0" relativeHeight="251679744" behindDoc="1" locked="0" layoutInCell="1" allowOverlap="1" wp14:anchorId="0F8CAFD4" wp14:editId="234203DA">
                <wp:simplePos x="0" y="0"/>
                <wp:positionH relativeFrom="page">
                  <wp:posOffset>3618865</wp:posOffset>
                </wp:positionH>
                <wp:positionV relativeFrom="page">
                  <wp:posOffset>9947275</wp:posOffset>
                </wp:positionV>
                <wp:extent cx="336550" cy="193040"/>
                <wp:effectExtent l="0" t="3175" r="0" b="3810"/>
                <wp:wrapSquare wrapText="bothSides"/>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before="31" w:line="259" w:lineRule="exact"/>
                              <w:textAlignment w:val="baseline"/>
                              <w:rPr>
                                <w:rFonts w:eastAsia="Times New Roman"/>
                                <w:color w:val="000000"/>
                                <w:spacing w:val="9"/>
                                <w:sz w:val="24"/>
                              </w:rPr>
                            </w:pPr>
                            <w:r>
                              <w:rPr>
                                <w:rFonts w:eastAsia="Times New Roman"/>
                                <w:color w:val="000000"/>
                                <w:spacing w:val="9"/>
                                <w:sz w:val="24"/>
                              </w:rPr>
                              <w:t>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284.95pt;margin-top:783.25pt;width:26.5pt;height:15.2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ejtAIAALIFAAAOAAAAZHJzL2Uyb0RvYy54bWysVNuOmzAQfa/Uf7D8zgIJZANastoNoaq0&#10;vUi7/QAHTLAKtms7ge2q/96xCcleXqq2PFiDPT5zZuZ4rq6HrkUHqjQTPMPhRYAR5aWoGN9l+NtD&#10;4S0x0obwirSC0ww/Uo2vV+/fXfUypTPRiLaiCgEI12kvM9wYI1Pf12VDO6IvhKQcDmuhOmLgV+38&#10;SpEe0LvWnwXBwu+FqqQSJdUadvPxEK8cfl3T0nypa00NajMM3IxblVu3dvVXVyTdKSIbVh5pkL9g&#10;0RHGIegJKieGoL1ib6A6ViqhRW0uStH5oq5ZSV0OkE0YvMrmviGSulygOFqeyqT/H2z5+fBVIVZl&#10;OI4w4qSDHj3QwaBbMaB4buvTS52C270ERzPAPvTZ5arlnSi/a8TFuiF8R2+UEn1DSQX8QnvTf3Z1&#10;xNEWZNt/EhXEIXsjHNBQq84WD8qBAB369HjqjeVSwuZ8vohjOCnhKEzmQeR655N0uiyVNh+o6JA1&#10;Mqyg9Q6cHO60sWRIOrnYWFwUrG1d+1v+YgMcxx0IDVftmSXhuvmUBMlmuVlGXjRbbLwoyHPvplhH&#10;3qIIL+N8nq/XefjLxg2jtGFVRbkNMykrjP6sc0eNj5o4aUuLllUWzlLSarddtwodCCi7cJ8rOZyc&#10;3fyXNFwRIJdXKYWzKLidJV6xWF56URHFXnIZLL0gTG6TRRAlUV68TOmOcfrvKaE+w0k8i0ctnUm/&#10;yi1w39vcSNoxA7OjZV2GlycnkloFbnjlWmsIa0f7WSks/XMpoN1To51erURHsZphO7inETo1WzFv&#10;RfUIClYCFAZihMEHRiPUT4x6GCIZ1j/2RFGM2o8cXoGdOJOhJmM7GYSXcDXDBqPRXJtxMu2lYrsG&#10;kMd3xsUNvJSaORWfWRzfFwwGl8xxiNnJ8/zfeZ1H7eo3AAAA//8DAFBLAwQUAAYACAAAACEAXRHX&#10;MuAAAAANAQAADwAAAGRycy9kb3ducmV2LnhtbEyPwU7DMBBE70j8g7WVuFGnkWLhEKeqEJyQEGl6&#10;4OjEbhI1XofYbcPfsz3BcWeeZmeK7eJGdrFzGDwq2KwTYBZbbwbsFBzqt8cnYCFqNHr0aBX82ADb&#10;8v6u0LnxV6zsZR87RiEYcq2gj3HKOQ9tb50Oaz9ZJO/oZ6cjnXPHzayvFO5GniaJ4E4PSB96PdmX&#10;3ran/dkp2H1h9Tp8fzSf1bEa6lom+C5OSj2slt0zsGiX+AfDrT5Vh5I6Nf6MJrBRQSakJJSMTIgM&#10;GCEiTUlqbpIUEnhZ8P8ryl8AAAD//wMAUEsBAi0AFAAGAAgAAAAhALaDOJL+AAAA4QEAABMAAAAA&#10;AAAAAAAAAAAAAAAAAFtDb250ZW50X1R5cGVzXS54bWxQSwECLQAUAAYACAAAACEAOP0h/9YAAACU&#10;AQAACwAAAAAAAAAAAAAAAAAvAQAAX3JlbHMvLnJlbHNQSwECLQAUAAYACAAAACEA7CK3o7QCAACy&#10;BQAADgAAAAAAAAAAAAAAAAAuAgAAZHJzL2Uyb0RvYy54bWxQSwECLQAUAAYACAAAACEAXRHXMuAA&#10;AAANAQAADwAAAAAAAAAAAAAAAAAOBQAAZHJzL2Rvd25yZXYueG1sUEsFBgAAAAAEAAQA8wAAABsG&#10;AAAAAA==&#10;" filled="f" stroked="f">
                <v:textbox inset="0,0,0,0">
                  <w:txbxContent>
                    <w:p w:rsidR="009F749F" w:rsidRDefault="009F749F" w:rsidP="009F749F">
                      <w:pPr>
                        <w:spacing w:before="31" w:line="259" w:lineRule="exact"/>
                        <w:textAlignment w:val="baseline"/>
                        <w:rPr>
                          <w:rFonts w:eastAsia="Times New Roman"/>
                          <w:color w:val="000000"/>
                          <w:spacing w:val="9"/>
                          <w:sz w:val="24"/>
                        </w:rPr>
                      </w:pPr>
                      <w:r>
                        <w:rPr>
                          <w:rFonts w:eastAsia="Times New Roman"/>
                          <w:color w:val="000000"/>
                          <w:spacing w:val="9"/>
                          <w:sz w:val="24"/>
                        </w:rPr>
                        <w:t>196</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0" distR="0" simplePos="0" relativeHeight="251680768" behindDoc="1" locked="0" layoutInCell="1" allowOverlap="1" wp14:anchorId="369A7FA3" wp14:editId="601F67F4">
                <wp:simplePos x="0" y="0"/>
                <wp:positionH relativeFrom="page">
                  <wp:posOffset>6194425</wp:posOffset>
                </wp:positionH>
                <wp:positionV relativeFrom="page">
                  <wp:posOffset>9831070</wp:posOffset>
                </wp:positionV>
                <wp:extent cx="506730" cy="342900"/>
                <wp:effectExtent l="3175" t="1270" r="4445" b="0"/>
                <wp:wrapSquare wrapText="bothSides"/>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487.75pt;margin-top:774.1pt;width:39.9pt;height:2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FrtA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JphxEkLPXqkg0Z3YkBRaOrTdyoBs4cODPUA99Bnm6vq7kXxXSEu1jXhO3orpehrSkqIzzcv3RdP&#10;RxxlQLb9J1GCH7LXwgINlWxN8aAcCNChT0+n3phYCriMvPliBpoCVLMwiD3bO5ck0+NOKv2BihYZ&#10;IcUSWm/ByeFeaRMMSSYT44uLnDWNbX/DLy7AcLwB1/DU6EwQtpvPsRdvlptl6ITBfOOEXpY5t/k6&#10;dOa5v4iyWbZeZ/4v49cPk5qVJeXGzcQsP/yzzh05PnLixC0lGlYaOBOSkrvtupHoQIDZuf1syUFz&#10;NnMvw7BFgFxepeQHoXcXxE4+Xy6cMA8jJ154S8fz47t47oVxmOWXKd0zTv89JdSnOI6CaOTSOehX&#10;uXn2e5sbSVqmYXc0rE3x8mREEsPADS9tazVhzSi/KIUJ/1wKaPfUaMtXQ9GRrHrYDnY0/GCag60o&#10;n4DBUgDDgIyw+ECohfyJUQ9LJMXqx55IilHzkcMUmI0zCXIStpNAeAFPU6wxGsW1HjfTvpNsVwPy&#10;OGdc3MKkVMyy2IzUGMVxvmAx2GSOS8xsnpf/1uq8ale/A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c6DFrtAIA&#10;ALIFAAAOAAAAAAAAAAAAAAAAAC4CAABkcnMvZTJvRG9jLnhtbFBLAQItABQABgAIAAAAIQDTbxrx&#10;4gAAAA4BAAAPAAAAAAAAAAAAAAAAAA4FAABkcnMvZG93bnJldi54bWxQSwUGAAAAAAQABADzAAAA&#10;HQYAAAAA&#10;" filled="f" stroked="f">
                <v:textbox inset="0,0,0,0">
                  <w:txbxContent>
                    <w:p w:rsidR="009F749F" w:rsidRDefault="009F749F" w:rsidP="009F749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2FE3F061" wp14:editId="568992ED">
                <wp:simplePos x="0" y="0"/>
                <wp:positionH relativeFrom="page">
                  <wp:posOffset>1591310</wp:posOffset>
                </wp:positionH>
                <wp:positionV relativeFrom="page">
                  <wp:posOffset>460375</wp:posOffset>
                </wp:positionV>
                <wp:extent cx="0" cy="561340"/>
                <wp:effectExtent l="10160" t="12700" r="8890" b="6985"/>
                <wp:wrapNone/>
                <wp:docPr id="5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CVFwIAACoEAAAOAAAAZHJzL2Uyb0RvYy54bWysU02P2yAQvVfqf0C+J/6I42atOKvKTnpJ&#10;20i7/QEEcIyKAQGJE1X97x1wEmXbS1X1AgPMvHkzb1g+n3uBTsxYrmQVpdMkQkwSRbk8VNG3181k&#10;ESHrsKRYKMmq6MJs9Lx6/2456JJlqlOCMoMARNpy0FXUOafLOLakYz22U6WZhMdWmR47OJpDTA0e&#10;AL0XcZYkRTwoQ7VRhFkLt834GK0Cftsy4r62rWUOiSoCbi6sJqx7v8arJS4PBuuOkysN/A8seswl&#10;JL1DNdhhdDT8D6ieE6Osat2UqD5WbcsJCzVANWnyWzUvHdYs1ALNsfreJvv/YMmX084gTqtonkVI&#10;4h402nLJ0KzwvRm0LcGlljvjqyNn+aK3iny3SKq6w/LAAsfXi4a41EfEb0L8wWrIsB8+Kwo++OhU&#10;aNS5Nb2HhBagc9DjcteDnR0i4yWB23mRzvIgVYzLW5w21n1iqkfeqCIBnAMuPm2t8zxweXPxaaTa&#10;cCGC2kKiAchmSTEPEVYJTv2r97PmsK+FQScMA5MtZvPFLFQFL49uRh0lDWgdw3R9tR3mYrQhu5Ae&#10;D0oBPldrnIgfT8nTerFe5JM8K9aTPGmaycdNnU+KTfph3syaum7Sn55ampcdp5RJz+42nWn+d+pf&#10;/8k4V/f5vPchfoseGgZkb3sgHbT08o2DsFf0sjM3jWEgg/P18/iJfzyD/fjFV78A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Mx+gJU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9F749F">
        <w:rPr>
          <w:rFonts w:ascii="Times New Roman" w:eastAsia="Times New Roman" w:hAnsi="Times New Roman"/>
          <w:color w:val="000000"/>
          <w:sz w:val="24"/>
          <w:lang w:val="en-US" w:eastAsia="en-US"/>
        </w:rPr>
        <w:t>OTC derivative contracts that are part of an arrangement whose characteristics are not supported by a business rationale or commercial substance and have as their primary purpose the circumvention of the application of Regulation (EU) No 600/2014, including rules relating to the conditions of an exemption, should be considered as evading the rules and obligations laid down in that Regulation.</w:t>
      </w:r>
    </w:p>
    <w:p w:rsidR="009F749F" w:rsidRPr="009F749F" w:rsidRDefault="009F749F" w:rsidP="009F749F">
      <w:pPr>
        <w:numPr>
          <w:ilvl w:val="0"/>
          <w:numId w:val="29"/>
        </w:numPr>
        <w:tabs>
          <w:tab w:val="left" w:pos="864"/>
        </w:tabs>
        <w:spacing w:before="249" w:line="304"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Situations where the individual components of the arrangement are inconsistent with the legal substance of the arrangement as a whole, where the arrangement is carried out in a manner which would not ordinarily be used in what is expected to be reasonable business conduct, where the arrangement or series of arrangements includes elements that have the effect of offsetting or nullifying their reciprocal economic substance, where transactions are circular in nature, should be considered as indicators of an artificial arrangement or an artificial series of arrangements.</w:t>
      </w:r>
    </w:p>
    <w:p w:rsidR="009F749F" w:rsidRPr="009F749F" w:rsidRDefault="009F749F" w:rsidP="009F749F">
      <w:pPr>
        <w:numPr>
          <w:ilvl w:val="0"/>
          <w:numId w:val="29"/>
        </w:numPr>
        <w:tabs>
          <w:tab w:val="left" w:pos="864"/>
        </w:tabs>
        <w:spacing w:before="244" w:line="304" w:lineRule="exact"/>
        <w:ind w:left="864" w:right="144" w:hanging="720"/>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It is desirable to provide technical standards related to contracts that have a direct, substantial and foreseeable effect within the Union as well as technical standards related to the prevention of evasion of rules and obligations provided for in Regulation (EU) No 600/2014 in a single instrument since both relate to the trading obligation. Furthermore, they share common features such as their application to a contract whose counterparties would not be subject to the trading obligation if the conditions of Article 28 of Regulation (EU) No 600/2014 specified further by this Regulation were not met.</w:t>
      </w:r>
    </w:p>
    <w:p w:rsidR="009F749F" w:rsidRPr="009F749F" w:rsidRDefault="009F749F" w:rsidP="009F749F">
      <w:pPr>
        <w:numPr>
          <w:ilvl w:val="0"/>
          <w:numId w:val="29"/>
        </w:numPr>
        <w:tabs>
          <w:tab w:val="left" w:pos="864"/>
        </w:tabs>
        <w:spacing w:before="247" w:line="304"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Given that third country entities affected by these regulatory technical standards require time in order to arrange for compliance with the requirements of Regulation (EU) No 600/2014 when their OTC derivative contracts fulfil the conditions set out in these regulatory technical standards for being considered to have a direct, substantial and foreseeable effect within the Union, it is appropriate to delay the application of the provision containing those conditions by six months.</w:t>
      </w:r>
    </w:p>
    <w:p w:rsidR="009F749F" w:rsidRPr="009F749F" w:rsidRDefault="009F749F" w:rsidP="009F749F">
      <w:pPr>
        <w:numPr>
          <w:ilvl w:val="0"/>
          <w:numId w:val="29"/>
        </w:numPr>
        <w:tabs>
          <w:tab w:val="left" w:pos="864"/>
        </w:tabs>
        <w:spacing w:before="247" w:line="304"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w:t>
      </w:r>
    </w:p>
    <w:p w:rsidR="009F749F" w:rsidRPr="009F749F" w:rsidRDefault="009F749F" w:rsidP="009F749F">
      <w:pPr>
        <w:numPr>
          <w:ilvl w:val="0"/>
          <w:numId w:val="29"/>
        </w:numPr>
        <w:tabs>
          <w:tab w:val="left" w:pos="864"/>
        </w:tabs>
        <w:spacing w:before="250" w:line="304"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9F749F" w:rsidRPr="009F749F" w:rsidRDefault="009F749F" w:rsidP="009F749F">
      <w:pPr>
        <w:numPr>
          <w:ilvl w:val="0"/>
          <w:numId w:val="29"/>
        </w:numPr>
        <w:tabs>
          <w:tab w:val="left" w:pos="864"/>
        </w:tabs>
        <w:spacing w:before="252" w:line="304" w:lineRule="exact"/>
        <w:ind w:left="864" w:right="144" w:hanging="72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w:t>
      </w:r>
    </w:p>
    <w:p w:rsidR="009F749F" w:rsidRPr="009F749F" w:rsidRDefault="009F749F" w:rsidP="009F749F">
      <w:pPr>
        <w:jc w:val="left"/>
        <w:rPr>
          <w:rFonts w:ascii="Times New Roman" w:eastAsia="PMingLiU" w:hAnsi="Times New Roman"/>
          <w:lang w:val="en-US" w:eastAsia="en-US"/>
        </w:rPr>
        <w:sectPr w:rsidR="009F749F" w:rsidRPr="009F749F">
          <w:pgSz w:w="11909" w:h="16838"/>
          <w:pgMar w:top="700" w:right="1282" w:bottom="960" w:left="1302" w:header="720" w:footer="720" w:gutter="0"/>
          <w:cols w:space="720"/>
        </w:sectPr>
      </w:pPr>
    </w:p>
    <w:p w:rsidR="009F749F" w:rsidRPr="009F749F" w:rsidRDefault="009F749F" w:rsidP="009F749F">
      <w:pPr>
        <w:spacing w:before="1" w:after="287"/>
        <w:ind w:left="119" w:right="8318"/>
        <w:jc w:val="left"/>
        <w:textAlignment w:val="baseline"/>
        <w:rPr>
          <w:rFonts w:ascii="Times New Roman" w:eastAsia="PMingLiU" w:hAnsi="Times New Roman"/>
          <w:lang w:val="en-US" w:eastAsia="en-US"/>
        </w:rPr>
      </w:pPr>
      <w:r w:rsidRPr="009F749F">
        <w:rPr>
          <w:rFonts w:ascii="Times New Roman" w:eastAsia="PMingLiU" w:hAnsi="Times New Roman"/>
          <w:noProof/>
        </w:rPr>
        <w:lastRenderedPageBreak/>
        <w:drawing>
          <wp:inline distT="0" distB="0" distL="0" distR="0" wp14:anchorId="71F25B52" wp14:editId="79A63D57">
            <wp:extent cx="556260" cy="55626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F749F" w:rsidRPr="009F749F" w:rsidRDefault="009F749F" w:rsidP="009F749F">
      <w:pPr>
        <w:spacing w:line="301" w:lineRule="exact"/>
        <w:ind w:left="720" w:right="72"/>
        <w:textAlignment w:val="baseline"/>
        <w:rPr>
          <w:rFonts w:ascii="Times New Roman" w:eastAsia="Times New Roman" w:hAnsi="Times New Roman"/>
          <w:color w:val="000000"/>
          <w:sz w:val="24"/>
          <w:lang w:val="en-US" w:eastAsia="en-US"/>
        </w:rPr>
      </w:pPr>
      <w:r w:rsidRPr="009F749F">
        <w:rPr>
          <w:rFonts w:ascii="Times New Roman" w:eastAsia="PMingLiU" w:hAnsi="Times New Roman"/>
          <w:noProof/>
        </w:rPr>
        <mc:AlternateContent>
          <mc:Choice Requires="wps">
            <w:drawing>
              <wp:anchor distT="0" distB="0" distL="0" distR="0" simplePos="0" relativeHeight="251681792" behindDoc="1" locked="0" layoutInCell="1" allowOverlap="1" wp14:anchorId="798C29AA" wp14:editId="112750BA">
                <wp:simplePos x="0" y="0"/>
                <wp:positionH relativeFrom="page">
                  <wp:posOffset>820420</wp:posOffset>
                </wp:positionH>
                <wp:positionV relativeFrom="page">
                  <wp:posOffset>9831070</wp:posOffset>
                </wp:positionV>
                <wp:extent cx="544195" cy="342900"/>
                <wp:effectExtent l="1270" t="1270" r="0" b="0"/>
                <wp:wrapSquare wrapText="bothSides"/>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line="530" w:lineRule="exact"/>
                              <w:ind w:left="72"/>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left:0;text-align:left;margin-left:64.6pt;margin-top:774.1pt;width:42.85pt;height:2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FNtQIAALIFAAAOAAAAZHJzL2Uyb0RvYy54bWysVNuOmzAQfa/Uf7D8znJZkw1oSbUbQlVp&#10;e5F2+wEOmGAVbGo7gW3Vf+/YhGQvL1VbHqzBHh/PzDkz1+/GrkUHpjSXIsPhRYARE6WsuNhl+OtD&#10;4S0x0oaKirZSsAw/Mo3frd6+uR76lEWykW3FFAIQodOhz3BjTJ/6vi4b1lF9IXsm4LCWqqMGftXO&#10;rxQdAL1r/SgIFv4gVdUrWTKtYTefDvHK4dc1K83nutbMoDbDEJtxq3Lr1q7+6pqmO0X7hpfHMOhf&#10;RNFRLuDRE1RODUV7xV9BdbxUUsvaXJSy82Vd85K5HCCbMHiRzX1De+ZygeLo/lQm/f9gy0+HLwrx&#10;KsNxiJGgHXD0wEaDbuWI4tjWZ+h1Cm73PTiaEfaBZ5er7u9k+U0jIdcNFTt2o5QcGkYriC+0N/0n&#10;VyccbUG2w0dZwTt0b6QDGmvV2eJBORCgA0+PJ25sLCVsxoSESYxRCUeXJEoCx51P0/lyr7R5z2SH&#10;rJFhBdQ7cHq408YGQ9PZxb4lZMHb1tHfimcb4DjtwNNw1Z7ZIBybP5Mg2Sw3S+KRaLHxSJDn3k2x&#10;Jt6iCK/i/DJfr/Pwl303JGnDq4oJ+8ysrJD8GXNHjU+aOGlLy5ZXFs6GpNVuu24VOlBQduE+V3I4&#10;Obv5z8NwRYBcXqQURiS4jRKvWCyvPFKQ2EuugqUXhMltsghIQvLieUp3XLB/TwkNGU7iKJ60dA76&#10;RW6B+17nRtOOG5gdLe8yvDw50dQqcCMqR62hvJ3sJ6Ww4Z9LAXTPRDu9WolOYjXjdnStEV7OfbCV&#10;1SMoWElQGMgUBh8YjVQ/MBpgiGRYf99TxTBqPwjoAjtxZkPNxnY2qCjhaoYNRpO5NtNk2veK7xpA&#10;nvpMyBvolJo7FduWmqI49hcMBpfMcYjZyfP033mdR+3qNwAAAP//AwBQSwMEFAAGAAgAAAAhADpi&#10;I9vhAAAADQEAAA8AAABkcnMvZG93bnJldi54bWxMj8FOwzAQRO9I/QdrkbhRp1aJmhCnqhCckBBp&#10;OHB0YjexGq/T2G3D37Oc6G1mdzT7ttjObmAXMwXrUcJqmQAz2HptsZPwVb89boCFqFCrwaOR8GMC&#10;bMvFXaFy7a9Ymcs+doxKMORKQh/jmHMe2t44FZZ+NEi7g5+cimSnjutJXancDVwkScqdskgXejWa&#10;l960x/3ZSdh9Y/VqTx/NZ3WobF1nCb6nRykf7ufdM7Bo5vgfhj98QoeSmBp/Rh3YQF5kgqIkntYb&#10;UhQRq3UGrKFRmggBvCz47RflLwAAAP//AwBQSwECLQAUAAYACAAAACEAtoM4kv4AAADhAQAAEwAA&#10;AAAAAAAAAAAAAAAAAAAAW0NvbnRlbnRfVHlwZXNdLnhtbFBLAQItABQABgAIAAAAIQA4/SH/1gAA&#10;AJQBAAALAAAAAAAAAAAAAAAAAC8BAABfcmVscy8ucmVsc1BLAQItABQABgAIAAAAIQA5FlFNtQIA&#10;ALIFAAAOAAAAAAAAAAAAAAAAAC4CAABkcnMvZTJvRG9jLnhtbFBLAQItABQABgAIAAAAIQA6YiPb&#10;4QAAAA0BAAAPAAAAAAAAAAAAAAAAAA8FAABkcnMvZG93bnJldi54bWxQSwUGAAAAAAQABADzAAAA&#10;HQYAAAAA&#10;" filled="f" stroked="f">
                <v:textbox inset="0,0,0,0">
                  <w:txbxContent>
                    <w:p w:rsidR="009F749F" w:rsidRDefault="009F749F" w:rsidP="009F749F">
                      <w:pPr>
                        <w:spacing w:line="530" w:lineRule="exact"/>
                        <w:ind w:left="72"/>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0" distR="0" simplePos="0" relativeHeight="251682816" behindDoc="1" locked="0" layoutInCell="1" allowOverlap="1" wp14:anchorId="2C50ADB0" wp14:editId="2E2402AB">
                <wp:simplePos x="0" y="0"/>
                <wp:positionH relativeFrom="page">
                  <wp:posOffset>3618865</wp:posOffset>
                </wp:positionH>
                <wp:positionV relativeFrom="page">
                  <wp:posOffset>9947275</wp:posOffset>
                </wp:positionV>
                <wp:extent cx="333375" cy="193040"/>
                <wp:effectExtent l="0" t="3175" r="635" b="3810"/>
                <wp:wrapSquare wrapText="bothSides"/>
                <wp:docPr id="5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before="31" w:line="259" w:lineRule="exact"/>
                              <w:textAlignment w:val="baseline"/>
                              <w:rPr>
                                <w:rFonts w:eastAsia="Times New Roman"/>
                                <w:color w:val="000000"/>
                                <w:spacing w:val="7"/>
                                <w:sz w:val="24"/>
                              </w:rPr>
                            </w:pPr>
                            <w:r>
                              <w:rPr>
                                <w:rFonts w:eastAsia="Times New Roman"/>
                                <w:color w:val="000000"/>
                                <w:spacing w:val="7"/>
                                <w:sz w:val="24"/>
                              </w:rPr>
                              <w:t>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284.95pt;margin-top:783.25pt;width:26.25pt;height:15.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GTtAIAALIFAAAOAAAAZHJzL2Uyb0RvYy54bWysVNuOmzAQfa/Uf7D8zgJZSAJ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m&#10;OIb0CNJCjR7YYNCtHFA8t/npO52C230HjmaAfaizi1V3d5J+10jIdU3Ejt0oJfuakRL4hfam/+zq&#10;iKMtyLb/JEt4h+yNdEBDpVqbPEgHAnQg8niqjeVCYfMSvkWMEYWjMLkMIlc7n6TT5U5p84HJFlkj&#10;wwpK78DJ4U4bS4akk4t9S8iCN40rfyNebIDjuANPw1V7Zkm4aj4lQbJZbpaRF83mGy8K8ty7KdaR&#10;Ny/CRZxf5ut1Hv6y74ZRWvOyZMI+MykrjP6sckeNj5o4aUvLhpcWzlLSarddNwodCCi7cJ9LOZyc&#10;3fyXNFwSIJZXIYWzKLidJV4xXy68qIhiL1kESy8Ik9tkHkRJlBcvQ7rjgv17SKjPcBLP4lFLZ9Kv&#10;Ygvc9zY2krbcwOxoeJvh5cmJpFaBG1G60hrCm9F+lgpL/5wKKPdUaKdXK9FRrGbYDq41wmjqg60s&#10;H0HBSoLCQKYw+MCopfqJUQ9DJMP6x54ohlHzUUAX2IkzGWoytpNBBIWrGTYYjebajJNp3ym+qwF5&#10;7DMhb6BTKu5UbFtqZHHsLxgMLpjjELOT5/m/8zqP2tVvAAAA//8DAFBLAwQUAAYACAAAACEACm9i&#10;qOAAAAANAQAADwAAAGRycy9kb3ducmV2LnhtbEyPwU7DMAyG70i8Q2QkbixdRSPSNZ0mBCckRFcO&#10;HNPWa6M1Tmmyrbw92QmO9v/p9+diu9iRnXH2xpGC9SoBhtS6zlCv4LN+fXgC5oOmTo+OUMEPetiW&#10;tzeFzjt3oQrP+9CzWEI+1wqGEKacc98OaLVfuQkpZgc3Wx3iOPe8m/UlltuRp0kiuNWG4oVBT/g8&#10;YHvcn6yC3RdVL+b7vfmoDpWpa5nQmzgqdX+37DbAAi7hD4arflSHMjo17kSdZ6OCTEgZ0RhkQmTA&#10;IiLS9BFYc11JIYGXBf//RfkLAAD//wMAUEsBAi0AFAAGAAgAAAAhALaDOJL+AAAA4QEAABMAAAAA&#10;AAAAAAAAAAAAAAAAAFtDb250ZW50X1R5cGVzXS54bWxQSwECLQAUAAYACAAAACEAOP0h/9YAAACU&#10;AQAACwAAAAAAAAAAAAAAAAAvAQAAX3JlbHMvLnJlbHNQSwECLQAUAAYACAAAACEAd1IBk7QCAACy&#10;BQAADgAAAAAAAAAAAAAAAAAuAgAAZHJzL2Uyb0RvYy54bWxQSwECLQAUAAYACAAAACEACm9iqOAA&#10;AAANAQAADwAAAAAAAAAAAAAAAAAOBQAAZHJzL2Rvd25yZXYueG1sUEsFBgAAAAAEAAQA8wAAABsG&#10;AAAAAA==&#10;" filled="f" stroked="f">
                <v:textbox inset="0,0,0,0">
                  <w:txbxContent>
                    <w:p w:rsidR="009F749F" w:rsidRDefault="009F749F" w:rsidP="009F749F">
                      <w:pPr>
                        <w:spacing w:before="31" w:line="259" w:lineRule="exact"/>
                        <w:textAlignment w:val="baseline"/>
                        <w:rPr>
                          <w:rFonts w:eastAsia="Times New Roman"/>
                          <w:color w:val="000000"/>
                          <w:spacing w:val="7"/>
                          <w:sz w:val="24"/>
                        </w:rPr>
                      </w:pPr>
                      <w:r>
                        <w:rPr>
                          <w:rFonts w:eastAsia="Times New Roman"/>
                          <w:color w:val="000000"/>
                          <w:spacing w:val="7"/>
                          <w:sz w:val="24"/>
                        </w:rPr>
                        <w:t>197</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0" distR="0" simplePos="0" relativeHeight="251683840" behindDoc="1" locked="0" layoutInCell="1" allowOverlap="1" wp14:anchorId="368729C5" wp14:editId="7A5A47A0">
                <wp:simplePos x="0" y="0"/>
                <wp:positionH relativeFrom="page">
                  <wp:posOffset>6194425</wp:posOffset>
                </wp:positionH>
                <wp:positionV relativeFrom="page">
                  <wp:posOffset>9831070</wp:posOffset>
                </wp:positionV>
                <wp:extent cx="506730" cy="342900"/>
                <wp:effectExtent l="3175" t="1270" r="4445" b="0"/>
                <wp:wrapSquare wrapText="bothSides"/>
                <wp:docPr id="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9F" w:rsidRDefault="009F749F" w:rsidP="009F749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left:0;text-align:left;margin-left:487.75pt;margin-top:774.1pt;width:39.9pt;height:27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katA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wxgjTlro0SMdNLoTA4rmpj59pxIwe+jAUA9wD322uaruXhTfFeJiXRO+o7dSir6mpIT4fPPSffF0&#10;xFEGZNt/EiX4IXstLNBQydYUD8qBAB369HTqjYmlgMvIm82vQVOA6joMYs/2ziXJ9LiTSn+gokVG&#10;SLGE1ltwcrhX2gRDksnE+OIiZ01j29/wVxdgON6Aa3hqdCYI283n2Is3i80idMJgtnFCL8uc23wd&#10;OrPcn0fZdbZeZ/4v49cPk5qVJeXGzcQsP/yzzh05PnLixC0lGlYaOBOSkrvtupHoQIDZuf1syUFz&#10;NnNfh2GLALlcpOQHoXcXxE4+W8ydMA8jJ557C8fz47t45oVxmOWvU7pnnP57SqhPcRwF0cilc9AX&#10;uXn2e5sbSVqmYXc0rE3x4mREEsPADS9tazVhzSi/KIUJ/1wKaPfUaMtXQ9GRrHrYDnY0/Giag60o&#10;n4DBUgDDgIyw+ECohfyJUQ9LJMXqx55IilHzkcMUmI0zCXIStpNAeAFPU6wxGsW1HjfTvpNsVwPy&#10;OGdc3MKkVMyy2IzUGMVxvmAx2GSOS8xsnpf/1uq8ale/A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ICakatAIA&#10;ALIFAAAOAAAAAAAAAAAAAAAAAC4CAABkcnMvZTJvRG9jLnhtbFBLAQItABQABgAIAAAAIQDTbxrx&#10;4gAAAA4BAAAPAAAAAAAAAAAAAAAAAA4FAABkcnMvZG93bnJldi54bWxQSwUGAAAAAAQABADzAAAA&#10;HQYAAAAA&#10;" filled="f" stroked="f">
                <v:textbox inset="0,0,0,0">
                  <w:txbxContent>
                    <w:p w:rsidR="009F749F" w:rsidRDefault="009F749F" w:rsidP="009F749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F749F">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747AB5E4" wp14:editId="22A0D3E8">
                <wp:simplePos x="0" y="0"/>
                <wp:positionH relativeFrom="page">
                  <wp:posOffset>1591310</wp:posOffset>
                </wp:positionH>
                <wp:positionV relativeFrom="page">
                  <wp:posOffset>460375</wp:posOffset>
                </wp:positionV>
                <wp:extent cx="0" cy="561340"/>
                <wp:effectExtent l="10160" t="12700" r="8890" b="6985"/>
                <wp:wrapNone/>
                <wp:docPr id="4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UAFwIAACoEAAAOAAAAZHJzL2Uyb0RvYy54bWysU8GO2yAQvVfqPyDuie3EyWatOKvKTnrZ&#10;diPt9gMI4BgVAwISJ6r67x1wEmXbS1X1AgPMvHkzb1g+nTqJjtw6oVWJs3GKEVdUM6H2Jf72thkt&#10;MHKeKEakVrzEZ+7w0+rjh2VvCj7RrZaMWwQgyhW9KXHrvSmSxNGWd8SNteEKHhttO+LhaPcJs6QH&#10;9E4mkzSdJ722zFhNuXNwWw+PeBXxm4ZT/9I0jnskSwzcfFxtXHdhTVZLUuwtMa2gFxrkH1h0RChI&#10;eoOqiSfoYMUfUJ2gVjvd+DHVXaKbRlAea4BqsvS3al5bYnisBZrjzK1N7v/B0q/HrUWClTgHpRTp&#10;QKNnoTiaPoTe9MYV4FKprQ3V0ZN6Nc+afndI6aolas8jx7ezgbgsRCTvQsLBGciw679oBj7k4HVs&#10;1KmxXYCEFqBT1ON804OfPKLDJYXb2Tyb5lGqhBTXOGOd/8x1h4JRYgmcIy45PjsfeJDi6hLSKL0R&#10;Uka1pUI9kJ2k81mMcFoKFl6Dn7P7XSUtOhIYmMliOltMY1Xwcu9m9UGxiNZywtYX2xMhBxuySxXw&#10;oBTgc7GGifjxmD6uF+tFPson8/UoT+t69GlT5aP5JnuY1dO6qursZ6CW5UUrGOMqsLtOZ5b/nfqX&#10;fzLM1W0+b31I3qPHhgHZ6x5JRy2DfMMg7DQ7b+1VYxjI6Hz5PGHi789g33/x1S8A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M58tQA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9F749F">
        <w:rPr>
          <w:rFonts w:ascii="Times New Roman" w:eastAsia="Times New Roman" w:hAnsi="Times New Roman"/>
          <w:color w:val="000000"/>
          <w:sz w:val="24"/>
          <w:lang w:val="en-US" w:eastAsia="en-US"/>
        </w:rPr>
        <w:t>established by Article 37 of Regulation (EU) No 1095/2010 of the European Parliament and of the Council</w:t>
      </w:r>
      <w:r w:rsidRPr="009F749F">
        <w:rPr>
          <w:rFonts w:ascii="Times New Roman" w:eastAsia="Times New Roman" w:hAnsi="Times New Roman"/>
          <w:color w:val="000000"/>
          <w:sz w:val="24"/>
          <w:vertAlign w:val="superscript"/>
          <w:lang w:val="en-US" w:eastAsia="en-US"/>
        </w:rPr>
        <w:t>2</w:t>
      </w:r>
      <w:r w:rsidRPr="009F749F">
        <w:rPr>
          <w:rFonts w:ascii="Times New Roman" w:eastAsia="Times New Roman" w:hAnsi="Times New Roman"/>
          <w:color w:val="000000"/>
          <w:sz w:val="24"/>
          <w:lang w:val="en-US" w:eastAsia="en-US"/>
        </w:rPr>
        <w:t>.</w:t>
      </w:r>
    </w:p>
    <w:p w:rsidR="009F749F" w:rsidRPr="009F749F" w:rsidRDefault="009F749F" w:rsidP="009F749F">
      <w:pPr>
        <w:spacing w:before="834" w:line="273" w:lineRule="exact"/>
        <w:ind w:left="144" w:right="72"/>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HAS ADOPTED THIS REGULATION:</w:t>
      </w:r>
    </w:p>
    <w:p w:rsidR="009F749F" w:rsidRPr="009F749F" w:rsidRDefault="009F749F" w:rsidP="009F749F">
      <w:pPr>
        <w:spacing w:before="544" w:line="427" w:lineRule="exact"/>
        <w:ind w:right="72"/>
        <w:jc w:val="center"/>
        <w:textAlignment w:val="baseline"/>
        <w:rPr>
          <w:rFonts w:ascii="Times New Roman" w:eastAsia="Times New Roman" w:hAnsi="Times New Roman"/>
          <w:i/>
          <w:color w:val="000000"/>
          <w:sz w:val="24"/>
          <w:lang w:val="en-US" w:eastAsia="en-US"/>
        </w:rPr>
      </w:pPr>
      <w:r w:rsidRPr="009F749F">
        <w:rPr>
          <w:rFonts w:ascii="Times New Roman" w:eastAsia="Times New Roman" w:hAnsi="Times New Roman"/>
          <w:i/>
          <w:color w:val="000000"/>
          <w:sz w:val="24"/>
          <w:lang w:val="en-US" w:eastAsia="en-US"/>
        </w:rPr>
        <w:t xml:space="preserve">Article 1 </w:t>
      </w:r>
      <w:r w:rsidRPr="009F749F">
        <w:rPr>
          <w:rFonts w:ascii="Times New Roman" w:eastAsia="Times New Roman" w:hAnsi="Times New Roman"/>
          <w:i/>
          <w:color w:val="000000"/>
          <w:sz w:val="24"/>
          <w:lang w:val="en-US" w:eastAsia="en-US"/>
        </w:rPr>
        <w:br/>
      </w:r>
      <w:r w:rsidRPr="009F749F">
        <w:rPr>
          <w:rFonts w:ascii="Times New Roman" w:eastAsia="Times New Roman" w:hAnsi="Times New Roman"/>
          <w:b/>
          <w:color w:val="000000"/>
          <w:sz w:val="24"/>
          <w:lang w:val="en-US" w:eastAsia="en-US"/>
        </w:rPr>
        <w:t>Definitions</w:t>
      </w:r>
    </w:p>
    <w:p w:rsidR="009F749F" w:rsidRPr="009F749F" w:rsidRDefault="009F749F" w:rsidP="009F749F">
      <w:pPr>
        <w:spacing w:before="285" w:line="273" w:lineRule="exact"/>
        <w:ind w:left="144" w:right="72"/>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For the purposes of this Regulation the following definition shall apply:</w:t>
      </w:r>
    </w:p>
    <w:p w:rsidR="009F749F" w:rsidRPr="009F749F" w:rsidRDefault="009F749F" w:rsidP="009F749F">
      <w:pPr>
        <w:spacing w:before="249" w:line="304" w:lineRule="exact"/>
        <w:ind w:left="720" w:right="72"/>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`guarantee' means an explicitly documented legal obligation by a guarantor to cover payments of the amounts due or that may become due pursuant to the OTC derivative contracts covered by that guarantee and entered into by the guaranteed entity in favour of the beneficiary where there is a default as defined in the guarantee or where no payment has been effected by the guaranteed entity.</w:t>
      </w:r>
    </w:p>
    <w:p w:rsidR="009F749F" w:rsidRPr="009F749F" w:rsidRDefault="009F749F" w:rsidP="009F749F">
      <w:pPr>
        <w:spacing w:before="706" w:line="278" w:lineRule="exact"/>
        <w:ind w:right="72"/>
        <w:jc w:val="center"/>
        <w:textAlignment w:val="baseline"/>
        <w:rPr>
          <w:rFonts w:ascii="Times New Roman" w:eastAsia="Times New Roman" w:hAnsi="Times New Roman"/>
          <w:i/>
          <w:color w:val="000000"/>
          <w:spacing w:val="1"/>
          <w:sz w:val="24"/>
          <w:lang w:val="en-US" w:eastAsia="en-US"/>
        </w:rPr>
      </w:pPr>
      <w:r w:rsidRPr="009F749F">
        <w:rPr>
          <w:rFonts w:ascii="Times New Roman" w:eastAsia="Times New Roman" w:hAnsi="Times New Roman"/>
          <w:i/>
          <w:color w:val="000000"/>
          <w:spacing w:val="1"/>
          <w:sz w:val="24"/>
          <w:lang w:val="en-US" w:eastAsia="en-US"/>
        </w:rPr>
        <w:t>Article 2</w:t>
      </w:r>
    </w:p>
    <w:p w:rsidR="009F749F" w:rsidRPr="009F749F" w:rsidRDefault="009F749F" w:rsidP="009F749F">
      <w:pPr>
        <w:spacing w:before="149" w:line="265" w:lineRule="exact"/>
        <w:ind w:right="72"/>
        <w:jc w:val="center"/>
        <w:textAlignment w:val="baseline"/>
        <w:rPr>
          <w:rFonts w:ascii="Times New Roman" w:eastAsia="Times New Roman" w:hAnsi="Times New Roman"/>
          <w:b/>
          <w:color w:val="000000"/>
          <w:sz w:val="24"/>
          <w:lang w:val="en-US" w:eastAsia="en-US"/>
        </w:rPr>
      </w:pPr>
      <w:r w:rsidRPr="009F749F">
        <w:rPr>
          <w:rFonts w:ascii="Times New Roman" w:eastAsia="Times New Roman" w:hAnsi="Times New Roman"/>
          <w:b/>
          <w:color w:val="000000"/>
          <w:sz w:val="24"/>
          <w:lang w:val="en-US" w:eastAsia="en-US"/>
        </w:rPr>
        <w:t>Contracts with a direct, substantial and foreseeable effect within the Union</w:t>
      </w:r>
    </w:p>
    <w:p w:rsidR="009F749F" w:rsidRPr="009F749F" w:rsidRDefault="009F749F" w:rsidP="009F749F">
      <w:pPr>
        <w:spacing w:before="250" w:line="304" w:lineRule="exact"/>
        <w:ind w:left="144" w:right="72"/>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1. An OTC derivative contract shall be considered as having a direct, substantial and foreseeable effect within the Union when at least one third country entity benefits from a guarantee provided by a financial counterparty established in the Union which covers all or part of its liability resulting from that OTC derivative contract, to the extent that the guarantee meets both following conditions:</w:t>
      </w:r>
    </w:p>
    <w:p w:rsidR="009F749F" w:rsidRPr="009F749F" w:rsidRDefault="009F749F" w:rsidP="009F749F">
      <w:pPr>
        <w:numPr>
          <w:ilvl w:val="0"/>
          <w:numId w:val="30"/>
        </w:numPr>
        <w:tabs>
          <w:tab w:val="left" w:pos="720"/>
        </w:tabs>
        <w:spacing w:before="249" w:line="304" w:lineRule="exact"/>
        <w:ind w:right="72" w:hanging="432"/>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it covers the entire liability of a third country entity resulting from one or more OTC derivative contracts for an aggregated notional amount of at least EUR 8 billion or the equivalent amount in the relevant foreign currency, or it covers only a part of the liability of a third country entity resulting from one or more OTC derivative contracts for an aggregated notional amount of at least EUR 8 billion or the equivalent amount in the relevant foreign currency divided by the percentage of the liability covered;</w:t>
      </w:r>
    </w:p>
    <w:p w:rsidR="009F749F" w:rsidRPr="009F749F" w:rsidRDefault="009F749F" w:rsidP="009F749F">
      <w:pPr>
        <w:numPr>
          <w:ilvl w:val="0"/>
          <w:numId w:val="30"/>
        </w:numPr>
        <w:tabs>
          <w:tab w:val="left" w:pos="720"/>
        </w:tabs>
        <w:spacing w:before="249" w:after="356" w:line="304" w:lineRule="exact"/>
        <w:ind w:right="72" w:hanging="432"/>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it is at least equal to 5 per cent of the sum of current exposures, as defined in Article 272 (17) of Regulation (EU) No 575/2013</w:t>
      </w:r>
      <w:r w:rsidRPr="009F749F">
        <w:rPr>
          <w:rFonts w:ascii="Times New Roman" w:eastAsia="Times New Roman" w:hAnsi="Times New Roman"/>
          <w:color w:val="000000"/>
          <w:sz w:val="24"/>
          <w:vertAlign w:val="superscript"/>
          <w:lang w:val="en-US" w:eastAsia="en-US"/>
        </w:rPr>
        <w:t>3</w:t>
      </w:r>
      <w:r w:rsidRPr="009F749F">
        <w:rPr>
          <w:rFonts w:ascii="Times New Roman" w:eastAsia="Times New Roman" w:hAnsi="Times New Roman"/>
          <w:color w:val="000000"/>
          <w:sz w:val="24"/>
          <w:lang w:val="en-US" w:eastAsia="en-US"/>
        </w:rPr>
        <w:t>, in OTC derivative contracts of the financial counterparty established in the Union issuing the guarantee.</w:t>
      </w:r>
    </w:p>
    <w:p w:rsidR="009F749F" w:rsidRPr="009F749F" w:rsidRDefault="009F749F" w:rsidP="009F749F">
      <w:pPr>
        <w:spacing w:line="230" w:lineRule="exact"/>
        <w:ind w:right="72"/>
        <w:textAlignment w:val="baseline"/>
        <w:rPr>
          <w:rFonts w:ascii="Times New Roman" w:eastAsia="Times New Roman" w:hAnsi="Times New Roman"/>
          <w:color w:val="000000"/>
          <w:sz w:val="13"/>
          <w:vertAlign w:val="superscript"/>
          <w:lang w:val="en-US" w:eastAsia="en-US"/>
        </w:rPr>
      </w:pPr>
      <w:r w:rsidRPr="009F749F">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5CFCEEC8" wp14:editId="6E6159E0">
                <wp:simplePos x="0" y="0"/>
                <wp:positionH relativeFrom="page">
                  <wp:posOffset>899160</wp:posOffset>
                </wp:positionH>
                <wp:positionV relativeFrom="page">
                  <wp:posOffset>8942705</wp:posOffset>
                </wp:positionV>
                <wp:extent cx="1832610" cy="0"/>
                <wp:effectExtent l="13335" t="8255" r="11430" b="10795"/>
                <wp:wrapNone/>
                <wp:docPr id="4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P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5I0aK&#10;dKDRRiiOpvPQm964AkIqtbWhOnpSr2aj6XeHlK5aovY8cnw7G8jLQkbyLiVsnIEbdv0XzSCGHLyO&#10;jTo1tguQ0AJ0inqcb3rwk0cUDrP5dDLLQDY6+BJSDInGOv+Z6w4Fo8QSSEdgctw4H4iQYggJ9yi9&#10;FlJGuaVCPYBP0tlDzHBaCha8Ic7Z/a6SFh1JmJj4xbLAcx9m9UGxiNZywlZX2xMhLzbcLlXAg1qA&#10;z9W6jMSPp/RpNV/N81E+ma1GeVrXo0/rKh/N1tnjQz2tq6rOfgZqWV60gjGuArthPLP87+S/PpTL&#10;YN0G9NaH5D16bBiQHf6RdBQz6HeZhJ1m560dRIaJjMHX1xNG/n4P9v0bX/4CAAD//wMAUEsDBBQA&#10;BgAIAAAAIQATDMwQ3wAAAA0BAAAPAAAAZHJzL2Rvd25yZXYueG1sTI9BS8NAEIXvQv/DMgUvYnfb&#10;hhJiNqUU9KZoVexxmx2T0OxsyG6b+O+dHqTe5s083nwvX4+uFWfsQ+NJw3ymQCCV3jZUafh4f7xP&#10;QYRoyJrWE2r4wQDrYnKTm8z6gd7wvIuV4BAKmdFQx9hlUoayRmfCzHdIfPv2vTORZV9J25uBw10r&#10;F0qtpDMN8YfadLitsTzuTk6DlCpNxs+v4Tm5C2mz31b7p5dXrW+n4+YBRMQxXs1wwWd0KJjp4E9k&#10;g2hZJ/MVWy+DSpcg2JIs1QLE4W8li1z+b1H8AgAA//8DAFBLAQItABQABgAIAAAAIQC2gziS/gAA&#10;AOEBAAATAAAAAAAAAAAAAAAAAAAAAABbQ29udGVudF9UeXBlc10ueG1sUEsBAi0AFAAGAAgAAAAh&#10;ADj9If/WAAAAlAEAAAsAAAAAAAAAAAAAAAAALwEAAF9yZWxzLy5yZWxzUEsBAi0AFAAGAAgAAAAh&#10;AAj7Sk8UAgAAKwQAAA4AAAAAAAAAAAAAAAAALgIAAGRycy9lMm9Eb2MueG1sUEsBAi0AFAAGAAgA&#10;AAAhABMMzBDfAAAADQEAAA8AAAAAAAAAAAAAAAAAbgQAAGRycy9kb3ducmV2LnhtbFBLBQYAAAAA&#10;BAAEAPMAAAB6BQAAAAA=&#10;" strokeweight=".95pt">
                <w10:wrap anchorx="page" anchory="page"/>
              </v:line>
            </w:pict>
          </mc:Fallback>
        </mc:AlternateContent>
      </w:r>
      <w:r w:rsidRPr="009F749F">
        <w:rPr>
          <w:rFonts w:ascii="Times New Roman" w:eastAsia="Times New Roman" w:hAnsi="Times New Roman"/>
          <w:color w:val="000000"/>
          <w:sz w:val="13"/>
          <w:vertAlign w:val="superscript"/>
          <w:lang w:val="en-US" w:eastAsia="en-US"/>
        </w:rPr>
        <w:t>2</w:t>
      </w:r>
      <w:r w:rsidRPr="009F749F">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9F749F" w:rsidRPr="009F749F" w:rsidRDefault="009F749F" w:rsidP="009F749F">
      <w:pPr>
        <w:jc w:val="left"/>
        <w:rPr>
          <w:rFonts w:ascii="Times New Roman" w:eastAsia="PMingLiU" w:hAnsi="Times New Roman"/>
          <w:lang w:val="en-US" w:eastAsia="en-US"/>
        </w:rPr>
        <w:sectPr w:rsidR="009F749F" w:rsidRPr="009F749F">
          <w:pgSz w:w="11909" w:h="16838"/>
          <w:pgMar w:top="700" w:right="1292" w:bottom="960" w:left="1292" w:header="720" w:footer="720" w:gutter="0"/>
          <w:cols w:space="720"/>
        </w:sectPr>
      </w:pPr>
    </w:p>
    <w:p w:rsidR="009F749F" w:rsidRDefault="009F749F" w:rsidP="009F749F">
      <w:pPr>
        <w:tabs>
          <w:tab w:val="left" w:pos="720"/>
        </w:tabs>
        <w:spacing w:line="249" w:lineRule="exact"/>
        <w:ind w:left="288"/>
        <w:jc w:val="left"/>
        <w:textAlignment w:val="baseline"/>
        <w:rPr>
          <w:rFonts w:ascii="Times New Roman" w:eastAsia="Times New Roman" w:hAnsi="Times New Roman"/>
          <w:b/>
          <w:color w:val="6177A8"/>
          <w:spacing w:val="-9"/>
          <w:sz w:val="30"/>
          <w:lang w:val="en-US" w:eastAsia="en-US"/>
        </w:rPr>
      </w:pPr>
    </w:p>
    <w:p w:rsidR="00852EFC" w:rsidRDefault="00852EFC" w:rsidP="009F749F">
      <w:pPr>
        <w:tabs>
          <w:tab w:val="left" w:pos="720"/>
        </w:tabs>
        <w:spacing w:line="249" w:lineRule="exact"/>
        <w:ind w:left="288"/>
        <w:jc w:val="left"/>
        <w:textAlignment w:val="baseline"/>
        <w:rPr>
          <w:rFonts w:ascii="Times New Roman" w:eastAsia="Times New Roman" w:hAnsi="Times New Roman"/>
          <w:b/>
          <w:color w:val="6177A8"/>
          <w:spacing w:val="-9"/>
          <w:sz w:val="30"/>
          <w:lang w:val="en-US" w:eastAsia="en-US"/>
        </w:rPr>
      </w:pPr>
    </w:p>
    <w:p w:rsidR="00852EFC" w:rsidRDefault="00852EFC" w:rsidP="009F749F">
      <w:pPr>
        <w:tabs>
          <w:tab w:val="left" w:pos="720"/>
        </w:tabs>
        <w:spacing w:line="249" w:lineRule="exact"/>
        <w:ind w:left="288"/>
        <w:jc w:val="left"/>
        <w:textAlignment w:val="baseline"/>
        <w:rPr>
          <w:rFonts w:ascii="Times New Roman" w:eastAsia="Times New Roman" w:hAnsi="Times New Roman"/>
          <w:b/>
          <w:color w:val="6177A8"/>
          <w:spacing w:val="-9"/>
          <w:sz w:val="30"/>
          <w:lang w:val="en-US" w:eastAsia="en-US"/>
        </w:rPr>
      </w:pPr>
    </w:p>
    <w:p w:rsidR="00852EFC" w:rsidRDefault="00852EFC" w:rsidP="009F749F">
      <w:pPr>
        <w:tabs>
          <w:tab w:val="left" w:pos="720"/>
        </w:tabs>
        <w:spacing w:line="249" w:lineRule="exact"/>
        <w:ind w:left="288"/>
        <w:jc w:val="left"/>
        <w:textAlignment w:val="baseline"/>
        <w:rPr>
          <w:rFonts w:ascii="Times New Roman" w:eastAsia="Times New Roman" w:hAnsi="Times New Roman"/>
          <w:b/>
          <w:color w:val="6177A8"/>
          <w:spacing w:val="-9"/>
          <w:sz w:val="30"/>
          <w:lang w:val="en-US" w:eastAsia="en-US"/>
        </w:rPr>
      </w:pPr>
    </w:p>
    <w:p w:rsidR="00852EFC" w:rsidRPr="009F749F" w:rsidRDefault="00852EFC" w:rsidP="009F749F">
      <w:pPr>
        <w:tabs>
          <w:tab w:val="left" w:pos="720"/>
        </w:tabs>
        <w:spacing w:line="249" w:lineRule="exact"/>
        <w:ind w:left="288"/>
        <w:jc w:val="left"/>
        <w:textAlignment w:val="baseline"/>
        <w:rPr>
          <w:rFonts w:ascii="Times New Roman" w:eastAsia="Times New Roman" w:hAnsi="Times New Roman"/>
          <w:b/>
          <w:color w:val="6177A8"/>
          <w:spacing w:val="-9"/>
          <w:sz w:val="30"/>
          <w:lang w:val="en-US" w:eastAsia="en-US"/>
        </w:rPr>
      </w:pPr>
    </w:p>
    <w:p w:rsidR="009F749F" w:rsidRPr="009F749F" w:rsidRDefault="009F749F" w:rsidP="009F749F">
      <w:pPr>
        <w:spacing w:before="277" w:line="303"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When the guarantee is issued for a maximum amount which is below the threshold set out in point (a) of the first sub-paragraph, the contracts covered by that guarantee shall not be considered to have a direct, substantial and foreseeable effect within the Union unless the amount of the guarantee is increased, in which case the direct, substantial and foreseeable effect of the contracts within the Union shall be re-assessed by the guarantor against the conditions set out in points (a) and (b) of the first sub-paragraph on the day of the increase.</w:t>
      </w:r>
    </w:p>
    <w:p w:rsidR="009F749F" w:rsidRPr="009F749F" w:rsidRDefault="009F749F" w:rsidP="009F749F">
      <w:pPr>
        <w:spacing w:before="256" w:line="303"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Where the liability resulting from one or more OTC derivative contracts is below the threshold set out in point (a) of the first sub-paragraph, such contracts shall not be considered to have a direct, substantial and foreseeable effect within the Union even where the maximum amount of the guarantee covering such liability is equal to or above the threshold set out in point (a) of the first sub-paragraph and even where the condition set out in point (b) of the first sub-paragraph has been met.</w:t>
      </w:r>
    </w:p>
    <w:p w:rsidR="009F749F" w:rsidRPr="009F749F" w:rsidRDefault="009F749F" w:rsidP="009F749F">
      <w:pPr>
        <w:spacing w:before="249" w:line="303"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In the event of an increase in the liability resulting from the OTC derivative contracts or of a decrease of the current exposure, the guarantor shall re-assess whether the conditions set out in points (a) and (b) of the first sub-paragraph are met. Such assessment shall be done respectively on the day of the increase of liability for the condition set out in point (a) of the first sub-paragraph, and on a monthly basis for the condition set out in point (b) of the first sub-paragraph.</w:t>
      </w:r>
    </w:p>
    <w:p w:rsidR="009F749F" w:rsidRPr="009F749F" w:rsidRDefault="009F749F" w:rsidP="009F749F">
      <w:pPr>
        <w:spacing w:before="256" w:line="303"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OTC derivative contracts for an aggregate notional amount of at least EUR 8 billion or the equivalent amount in the relevant foreign currency concluded before a guarantee is issued or increased, and subsequently covered by a guarantee that meets the conditions set out in points (a) and (b) of the first sub-paragraph, shall be considered as having a direct, substantial and foreseeable effect within the Union.</w:t>
      </w:r>
    </w:p>
    <w:p w:rsidR="009F749F" w:rsidRPr="009F749F" w:rsidRDefault="009F749F" w:rsidP="009F749F">
      <w:pPr>
        <w:spacing w:before="253" w:line="303"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2. An OTC derivative contract shall be considered as having a direct, substantial and foreseeable effect within the Union where the two entities established in a third country enter into the OTC derivative contract through their branches in the Union and would qualify as financial counterparties if they were established in the Union.</w:t>
      </w:r>
    </w:p>
    <w:p w:rsidR="009F749F" w:rsidRPr="009F749F" w:rsidRDefault="009F749F" w:rsidP="009F749F">
      <w:pPr>
        <w:spacing w:before="701" w:line="278" w:lineRule="exact"/>
        <w:jc w:val="center"/>
        <w:textAlignment w:val="baseline"/>
        <w:rPr>
          <w:rFonts w:ascii="Times New Roman" w:eastAsia="Times New Roman" w:hAnsi="Times New Roman"/>
          <w:i/>
          <w:color w:val="000000"/>
          <w:sz w:val="24"/>
          <w:lang w:val="en-US" w:eastAsia="en-US"/>
        </w:rPr>
      </w:pPr>
      <w:r w:rsidRPr="009F749F">
        <w:rPr>
          <w:rFonts w:ascii="Times New Roman" w:eastAsia="Times New Roman" w:hAnsi="Times New Roman"/>
          <w:i/>
          <w:color w:val="000000"/>
          <w:sz w:val="24"/>
          <w:lang w:val="en-US" w:eastAsia="en-US"/>
        </w:rPr>
        <w:t>Article 3</w:t>
      </w:r>
    </w:p>
    <w:p w:rsidR="009F749F" w:rsidRPr="009F749F" w:rsidRDefault="009F749F" w:rsidP="009F749F">
      <w:pPr>
        <w:spacing w:before="122" w:line="303" w:lineRule="exact"/>
        <w:jc w:val="center"/>
        <w:textAlignment w:val="baseline"/>
        <w:rPr>
          <w:rFonts w:ascii="Times New Roman" w:eastAsia="Times New Roman" w:hAnsi="Times New Roman"/>
          <w:b/>
          <w:color w:val="000000"/>
          <w:sz w:val="24"/>
          <w:lang w:val="en-US" w:eastAsia="en-US"/>
        </w:rPr>
      </w:pPr>
      <w:r w:rsidRPr="009F749F">
        <w:rPr>
          <w:rFonts w:ascii="Times New Roman" w:eastAsia="Times New Roman" w:hAnsi="Times New Roman"/>
          <w:b/>
          <w:color w:val="000000"/>
          <w:sz w:val="24"/>
          <w:lang w:val="en-US" w:eastAsia="en-US"/>
        </w:rPr>
        <w:t xml:space="preserve">Cases where it is necessary or appropriate to prevent the evasion of rules or obligations </w:t>
      </w:r>
      <w:r w:rsidRPr="009F749F">
        <w:rPr>
          <w:rFonts w:ascii="Times New Roman" w:eastAsia="Times New Roman" w:hAnsi="Times New Roman"/>
          <w:b/>
          <w:color w:val="000000"/>
          <w:sz w:val="24"/>
          <w:lang w:val="en-US" w:eastAsia="en-US"/>
        </w:rPr>
        <w:br/>
        <w:t>provided for in Regulation (EU) No 600/2014</w:t>
      </w:r>
    </w:p>
    <w:p w:rsidR="009F749F" w:rsidRPr="009F749F" w:rsidRDefault="009F749F" w:rsidP="009F749F">
      <w:pPr>
        <w:spacing w:before="246" w:after="207" w:line="303" w:lineRule="exact"/>
        <w:jc w:val="center"/>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 xml:space="preserve">1. An OTC derivative contract shall be deemed to have been designed to circumvent the </w:t>
      </w:r>
      <w:r w:rsidRPr="009F749F">
        <w:rPr>
          <w:rFonts w:ascii="Times New Roman" w:eastAsia="Times New Roman" w:hAnsi="Times New Roman"/>
          <w:color w:val="000000"/>
          <w:sz w:val="24"/>
          <w:lang w:val="en-US" w:eastAsia="en-US"/>
        </w:rPr>
        <w:br/>
        <w:t>application of any provision of Regulation (EU) No 600/2014 if the way in which that</w:t>
      </w:r>
    </w:p>
    <w:p w:rsidR="009F749F" w:rsidRPr="009F749F" w:rsidRDefault="009F749F" w:rsidP="009F749F">
      <w:pPr>
        <w:spacing w:line="229" w:lineRule="exact"/>
        <w:ind w:left="144" w:right="144"/>
        <w:textAlignment w:val="baseline"/>
        <w:rPr>
          <w:rFonts w:ascii="Times New Roman" w:eastAsia="Times New Roman" w:hAnsi="Times New Roman"/>
          <w:color w:val="000000"/>
          <w:sz w:val="13"/>
          <w:lang w:val="en-US" w:eastAsia="en-US"/>
        </w:rPr>
      </w:pPr>
      <w:r w:rsidRPr="009F749F">
        <w:rPr>
          <w:rFonts w:ascii="Times New Roman" w:eastAsia="PMingLiU" w:hAnsi="Times New Roman"/>
          <w:noProof/>
        </w:rPr>
        <mc:AlternateContent>
          <mc:Choice Requires="wps">
            <w:drawing>
              <wp:anchor distT="0" distB="0" distL="114300" distR="114300" simplePos="0" relativeHeight="251666432" behindDoc="0" locked="0" layoutInCell="1" allowOverlap="1" wp14:anchorId="199070FC" wp14:editId="554B3D5A">
                <wp:simplePos x="0" y="0"/>
                <wp:positionH relativeFrom="page">
                  <wp:posOffset>899160</wp:posOffset>
                </wp:positionH>
                <wp:positionV relativeFrom="page">
                  <wp:posOffset>8796655</wp:posOffset>
                </wp:positionV>
                <wp:extent cx="5764530" cy="0"/>
                <wp:effectExtent l="13335" t="5080" r="13335" b="13970"/>
                <wp:wrapNone/>
                <wp:docPr id="4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92.65pt" to="524.7pt,6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zL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5BCNF&#10;OtDoWSiO8lib3rgCQiq1tSE7elKv5lnT7w4pXbVE7Xnk+HY2cC8L1UzeXQkbZ+CFXf9FM4ghB69j&#10;oU6N7QIklACdoh7nmx785BGFw+njLJ8+gGx08CWkGC4a6/xnrjsUjBJLIB2ByfHZ+UCEFENIeEfp&#10;jZAyyi0V6ks8ny/SeMFpKVhwhjBn97tKWnQkoWHiF7MCz32Y1QfFIljLCVtfbU+EvNjwuFQBD1IB&#10;Olfr0hE/FuliPV/P81E+ma1HeVrXo0+bKh/NNtnjtH6oq6rOfgZqWV60gjGuAruhO7P879S/zsml&#10;r279eStD8h491gvIDv9IOmoZ5Avj5IqdZuetHTSGhozB1+EJHX+/B/t+xFe/AAAA//8DAFBLAwQU&#10;AAYACAAAACEAbL6BE+EAAAAOAQAADwAAAGRycy9kb3ducmV2LnhtbEyPwU7DMBBE70j8g7VIXBB1&#10;SkNUQpwqFLjkUImk4uzESxKI15HttuHvcQ8Ibju7o9k32WbWIzuidYMhActFBAypNWqgTsC+fr1d&#10;A3NekpKjIRTwjQ42+eVFJlNlTvSGx8p3LISQS6WA3vsp5dy1PWrpFmZCCrcPY7X0QdqOKytPIVyP&#10;/C6KEq7lQOFDLyfc9th+VQctoHkpkm1dmv2ufm9Ke1N+FtXTsxDXV3PxCMzj7P/McMYP6JAHpsYc&#10;SDk2Bh0vk2ANw2p9vwJ2tkTxQwys+d3xPOP/a+Q/AAAA//8DAFBLAQItABQABgAIAAAAIQC2gziS&#10;/gAAAOEBAAATAAAAAAAAAAAAAAAAAAAAAABbQ29udGVudF9UeXBlc10ueG1sUEsBAi0AFAAGAAgA&#10;AAAhADj9If/WAAAAlAEAAAsAAAAAAAAAAAAAAAAALwEAAF9yZWxzLy5yZWxzUEsBAi0AFAAGAAgA&#10;AAAhAAIEPMsVAgAAKgQAAA4AAAAAAAAAAAAAAAAALgIAAGRycy9lMm9Eb2MueG1sUEsBAi0AFAAG&#10;AAgAAAAhAGy+gRPhAAAADgEAAA8AAAAAAAAAAAAAAAAAbwQAAGRycy9kb3ducmV2LnhtbFBLBQYA&#10;AAAABAAEAPMAAAB9BQAAAAA=&#10;" strokeweight=".7pt">
                <w10:wrap anchorx="page" anchory="page"/>
              </v:line>
            </w:pict>
          </mc:Fallback>
        </mc:AlternateContent>
      </w:r>
      <w:r w:rsidRPr="009F749F">
        <w:rPr>
          <w:rFonts w:ascii="Times New Roman" w:eastAsia="Times New Roman" w:hAnsi="Times New Roman"/>
          <w:color w:val="000000"/>
          <w:sz w:val="13"/>
          <w:lang w:val="en-US" w:eastAsia="en-US"/>
        </w:rPr>
        <w:t xml:space="preserve">3 </w:t>
      </w:r>
      <w:r w:rsidRPr="009F749F">
        <w:rPr>
          <w:rFonts w:ascii="Times New Roman" w:eastAsia="Times New Roman" w:hAnsi="Times New Roman"/>
          <w:color w:val="000000"/>
          <w:sz w:val="20"/>
          <w:lang w:val="en-US" w:eastAsia="en-US"/>
        </w:rPr>
        <w:t>Regulation (EU) No 575/2013 of the European Parliament and of the Council of 26 June 2013 on prudential requirements for credit institutions and investment firms and amending Regulation (EU) No</w:t>
      </w:r>
    </w:p>
    <w:p w:rsidR="009F749F" w:rsidRPr="009F749F" w:rsidRDefault="009F749F" w:rsidP="009F749F">
      <w:pPr>
        <w:spacing w:line="228" w:lineRule="exact"/>
        <w:ind w:left="144"/>
        <w:jc w:val="left"/>
        <w:textAlignment w:val="baseline"/>
        <w:rPr>
          <w:rFonts w:ascii="Times New Roman" w:eastAsia="Times New Roman" w:hAnsi="Times New Roman"/>
          <w:color w:val="000000"/>
          <w:spacing w:val="-1"/>
          <w:sz w:val="20"/>
          <w:lang w:val="en-US" w:eastAsia="en-US"/>
        </w:rPr>
      </w:pPr>
      <w:r w:rsidRPr="009F749F">
        <w:rPr>
          <w:rFonts w:ascii="Times New Roman" w:eastAsia="Times New Roman" w:hAnsi="Times New Roman"/>
          <w:color w:val="000000"/>
          <w:spacing w:val="-1"/>
          <w:sz w:val="20"/>
          <w:lang w:val="en-US" w:eastAsia="en-US"/>
        </w:rPr>
        <w:t>648/2012 (OJ L 176, 27.6.2013, p. 1).</w:t>
      </w:r>
    </w:p>
    <w:p w:rsidR="009F749F" w:rsidRPr="009F749F" w:rsidRDefault="009F749F" w:rsidP="009F749F">
      <w:pPr>
        <w:jc w:val="left"/>
        <w:rPr>
          <w:rFonts w:ascii="Times New Roman" w:eastAsia="PMingLiU" w:hAnsi="Times New Roman"/>
          <w:lang w:val="en-US" w:eastAsia="en-US"/>
        </w:rPr>
        <w:sectPr w:rsidR="009F749F" w:rsidRPr="009F749F">
          <w:pgSz w:w="11909" w:h="16838"/>
          <w:pgMar w:top="520" w:right="1290" w:bottom="960" w:left="1294" w:header="720" w:footer="720" w:gutter="0"/>
          <w:cols w:space="720"/>
        </w:sectPr>
      </w:pPr>
    </w:p>
    <w:p w:rsidR="00852EFC" w:rsidRDefault="00852EFC" w:rsidP="009F749F">
      <w:pPr>
        <w:spacing w:before="293" w:line="302" w:lineRule="exact"/>
        <w:ind w:left="144" w:right="144"/>
        <w:textAlignment w:val="baseline"/>
        <w:rPr>
          <w:rFonts w:ascii="Times New Roman" w:eastAsia="Times New Roman" w:hAnsi="Times New Roman"/>
          <w:color w:val="000000"/>
          <w:sz w:val="24"/>
          <w:lang w:val="en-US" w:eastAsia="en-US"/>
        </w:rPr>
      </w:pPr>
    </w:p>
    <w:p w:rsidR="00852EFC" w:rsidRDefault="00852EFC" w:rsidP="009F749F">
      <w:pPr>
        <w:spacing w:before="293" w:line="302" w:lineRule="exact"/>
        <w:ind w:left="144" w:right="144"/>
        <w:textAlignment w:val="baseline"/>
        <w:rPr>
          <w:rFonts w:ascii="Times New Roman" w:eastAsia="Times New Roman" w:hAnsi="Times New Roman"/>
          <w:color w:val="000000"/>
          <w:sz w:val="24"/>
          <w:lang w:val="en-US" w:eastAsia="en-US"/>
        </w:rPr>
      </w:pPr>
    </w:p>
    <w:p w:rsidR="009F749F" w:rsidRPr="009F749F" w:rsidRDefault="009F749F" w:rsidP="009F749F">
      <w:pPr>
        <w:spacing w:before="293" w:line="302"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contract has been concluded is considered, when viewed as a whole and having regard to all the circumstances, to have as its primary purpose the avoidance of the application of any provision of that Regulation.</w:t>
      </w:r>
    </w:p>
    <w:p w:rsidR="009F749F" w:rsidRPr="009F749F" w:rsidRDefault="009F749F" w:rsidP="009F749F">
      <w:pPr>
        <w:numPr>
          <w:ilvl w:val="0"/>
          <w:numId w:val="31"/>
        </w:numPr>
        <w:tabs>
          <w:tab w:val="left" w:pos="576"/>
        </w:tabs>
        <w:spacing w:before="256" w:line="303" w:lineRule="exact"/>
        <w:ind w:left="144" w:right="144"/>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For the purposes of paragraph 1, a contract shall be considered as having for primary purpose the avoidance of the application of any provision of Regulation (EU) No 600/2014 if the primary purpose of an arrangement or series of arrangements related to the OTC derivative contract is to defeat the object, spirit and purpose of any provision of Regulation (EU) No 600/2014 that would otherwise apply including when it is part of an artificial arrangement or artificial series of arrangements.</w:t>
      </w:r>
    </w:p>
    <w:p w:rsidR="009F749F" w:rsidRPr="009F749F" w:rsidRDefault="009F749F" w:rsidP="009F749F">
      <w:pPr>
        <w:numPr>
          <w:ilvl w:val="0"/>
          <w:numId w:val="31"/>
        </w:numPr>
        <w:tabs>
          <w:tab w:val="left" w:pos="576"/>
        </w:tabs>
        <w:spacing w:before="250" w:line="303" w:lineRule="exact"/>
        <w:ind w:left="144" w:right="144"/>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An arrangement that intrinsically lacks business rationale, commercial substance or relevant economic justification and consists of any contract, transaction, scheme, action, operation, agreement, grant, understanding, promise, undertaking or event shall be considered an artificial arrangement. The arrangement may comprise more than one step or part.</w:t>
      </w:r>
    </w:p>
    <w:p w:rsidR="009F749F" w:rsidRPr="009F749F" w:rsidRDefault="009F749F" w:rsidP="009F749F">
      <w:pPr>
        <w:spacing w:before="707" w:line="271" w:lineRule="exact"/>
        <w:jc w:val="center"/>
        <w:textAlignment w:val="baseline"/>
        <w:rPr>
          <w:rFonts w:ascii="Times New Roman" w:eastAsia="Times New Roman" w:hAnsi="Times New Roman"/>
          <w:i/>
          <w:color w:val="000000"/>
          <w:spacing w:val="1"/>
          <w:sz w:val="24"/>
          <w:lang w:val="en-US" w:eastAsia="en-US"/>
        </w:rPr>
      </w:pPr>
      <w:r w:rsidRPr="009F749F">
        <w:rPr>
          <w:rFonts w:ascii="Times New Roman" w:eastAsia="Times New Roman" w:hAnsi="Times New Roman"/>
          <w:i/>
          <w:color w:val="000000"/>
          <w:spacing w:val="1"/>
          <w:sz w:val="24"/>
          <w:lang w:val="en-US" w:eastAsia="en-US"/>
        </w:rPr>
        <w:t>Article 4</w:t>
      </w:r>
    </w:p>
    <w:p w:rsidR="009F749F" w:rsidRPr="009F749F" w:rsidRDefault="009F749F" w:rsidP="009F749F">
      <w:pPr>
        <w:spacing w:before="155" w:line="275" w:lineRule="exact"/>
        <w:jc w:val="center"/>
        <w:textAlignment w:val="baseline"/>
        <w:rPr>
          <w:rFonts w:ascii="Times New Roman" w:eastAsia="Times New Roman" w:hAnsi="Times New Roman"/>
          <w:b/>
          <w:color w:val="000000"/>
          <w:sz w:val="24"/>
          <w:lang w:val="en-US" w:eastAsia="en-US"/>
        </w:rPr>
      </w:pPr>
      <w:r w:rsidRPr="009F749F">
        <w:rPr>
          <w:rFonts w:ascii="Times New Roman" w:eastAsia="Times New Roman" w:hAnsi="Times New Roman"/>
          <w:b/>
          <w:color w:val="000000"/>
          <w:sz w:val="24"/>
          <w:lang w:val="en-US" w:eastAsia="en-US"/>
        </w:rPr>
        <w:t>Entry into force and application</w:t>
      </w:r>
    </w:p>
    <w:p w:rsidR="009F749F" w:rsidRPr="009F749F" w:rsidRDefault="009F749F" w:rsidP="009F749F">
      <w:pPr>
        <w:spacing w:before="244" w:line="302" w:lineRule="exact"/>
        <w:ind w:left="144" w:right="144"/>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9F749F" w:rsidRPr="009F749F" w:rsidRDefault="009F749F" w:rsidP="009F749F">
      <w:pPr>
        <w:spacing w:before="282" w:line="273" w:lineRule="exact"/>
        <w:ind w:left="144"/>
        <w:jc w:val="left"/>
        <w:textAlignment w:val="baseline"/>
        <w:rPr>
          <w:rFonts w:ascii="Times New Roman" w:eastAsia="Times New Roman" w:hAnsi="Times New Roman"/>
          <w:color w:val="000000"/>
          <w:spacing w:val="-1"/>
          <w:sz w:val="24"/>
          <w:lang w:val="en-US" w:eastAsia="en-US"/>
        </w:rPr>
      </w:pPr>
      <w:r w:rsidRPr="009F749F">
        <w:rPr>
          <w:rFonts w:ascii="Times New Roman" w:eastAsia="Times New Roman" w:hAnsi="Times New Roman"/>
          <w:color w:val="000000"/>
          <w:spacing w:val="-1"/>
          <w:sz w:val="24"/>
          <w:lang w:val="en-US" w:eastAsia="en-US"/>
        </w:rPr>
        <w:t>It shall apply from 3 January 2017.</w:t>
      </w:r>
    </w:p>
    <w:p w:rsidR="009F749F" w:rsidRPr="009F749F" w:rsidRDefault="009F749F" w:rsidP="009F749F">
      <w:pPr>
        <w:spacing w:before="681" w:line="424" w:lineRule="exact"/>
        <w:ind w:left="144" w:right="360"/>
        <w:jc w:val="left"/>
        <w:textAlignment w:val="baseline"/>
        <w:rPr>
          <w:rFonts w:ascii="Times New Roman" w:eastAsia="Times New Roman" w:hAnsi="Times New Roman"/>
          <w:color w:val="000000"/>
          <w:sz w:val="24"/>
          <w:lang w:val="en-US" w:eastAsia="en-US"/>
        </w:rPr>
      </w:pPr>
      <w:r w:rsidRPr="009F749F">
        <w:rPr>
          <w:rFonts w:ascii="Times New Roman" w:eastAsia="Times New Roman" w:hAnsi="Times New Roman"/>
          <w:color w:val="000000"/>
          <w:sz w:val="24"/>
          <w:lang w:val="en-US" w:eastAsia="en-US"/>
        </w:rPr>
        <w:t>This Regulation shall be binding in its entirety and directly applicable in all Member States. Done at Brussels,</w:t>
      </w:r>
    </w:p>
    <w:p w:rsidR="009F749F" w:rsidRPr="009F749F" w:rsidRDefault="009F749F" w:rsidP="009F749F">
      <w:pPr>
        <w:spacing w:before="727" w:line="271" w:lineRule="exact"/>
        <w:ind w:left="4320" w:right="3024"/>
        <w:jc w:val="left"/>
        <w:textAlignment w:val="baseline"/>
        <w:rPr>
          <w:rFonts w:ascii="Times New Roman" w:eastAsia="Times New Roman" w:hAnsi="Times New Roman"/>
          <w:i/>
          <w:color w:val="000000"/>
          <w:sz w:val="24"/>
          <w:lang w:val="en-US" w:eastAsia="en-US"/>
        </w:rPr>
      </w:pPr>
      <w:r w:rsidRPr="009F749F">
        <w:rPr>
          <w:rFonts w:ascii="Times New Roman" w:eastAsia="Times New Roman" w:hAnsi="Times New Roman"/>
          <w:i/>
          <w:color w:val="000000"/>
          <w:sz w:val="24"/>
          <w:lang w:val="en-US" w:eastAsia="en-US"/>
        </w:rPr>
        <w:t>For the Commission The President</w:t>
      </w:r>
    </w:p>
    <w:p w:rsidR="009F749F" w:rsidRPr="009F749F" w:rsidRDefault="009F749F" w:rsidP="009F749F">
      <w:pPr>
        <w:spacing w:before="1003" w:line="271" w:lineRule="exact"/>
        <w:ind w:left="4320"/>
        <w:jc w:val="left"/>
        <w:textAlignment w:val="baseline"/>
        <w:rPr>
          <w:rFonts w:ascii="Times New Roman" w:eastAsia="Times New Roman" w:hAnsi="Times New Roman"/>
          <w:i/>
          <w:color w:val="000000"/>
          <w:sz w:val="24"/>
          <w:lang w:val="en-US" w:eastAsia="en-US"/>
        </w:rPr>
      </w:pPr>
      <w:r w:rsidRPr="009F749F">
        <w:rPr>
          <w:rFonts w:ascii="Times New Roman" w:eastAsia="Times New Roman" w:hAnsi="Times New Roman"/>
          <w:i/>
          <w:color w:val="000000"/>
          <w:sz w:val="24"/>
          <w:lang w:val="en-US" w:eastAsia="en-US"/>
        </w:rPr>
        <w:t>[For the Commission</w:t>
      </w:r>
    </w:p>
    <w:p w:rsidR="009F749F" w:rsidRPr="009F749F" w:rsidRDefault="009F749F" w:rsidP="009F749F">
      <w:pPr>
        <w:spacing w:before="8" w:line="271" w:lineRule="exact"/>
        <w:ind w:left="4320"/>
        <w:jc w:val="left"/>
        <w:textAlignment w:val="baseline"/>
        <w:rPr>
          <w:rFonts w:ascii="Times New Roman" w:eastAsia="Times New Roman" w:hAnsi="Times New Roman"/>
          <w:i/>
          <w:color w:val="000000"/>
          <w:sz w:val="24"/>
          <w:lang w:val="en-US" w:eastAsia="en-US"/>
        </w:rPr>
      </w:pPr>
      <w:r w:rsidRPr="009F749F">
        <w:rPr>
          <w:rFonts w:ascii="Times New Roman" w:eastAsia="Times New Roman" w:hAnsi="Times New Roman"/>
          <w:i/>
          <w:color w:val="000000"/>
          <w:sz w:val="24"/>
          <w:lang w:val="en-US" w:eastAsia="en-US"/>
        </w:rPr>
        <w:t>On behalf of the President</w:t>
      </w:r>
    </w:p>
    <w:p w:rsidR="009F749F" w:rsidRPr="009F749F" w:rsidRDefault="009F749F" w:rsidP="009F749F">
      <w:pPr>
        <w:spacing w:before="280" w:line="271" w:lineRule="exact"/>
        <w:ind w:left="4320"/>
        <w:jc w:val="left"/>
        <w:textAlignment w:val="baseline"/>
        <w:rPr>
          <w:rFonts w:ascii="Times New Roman" w:eastAsia="Times New Roman" w:hAnsi="Times New Roman"/>
          <w:i/>
          <w:color w:val="000000"/>
          <w:sz w:val="24"/>
          <w:lang w:val="en-US" w:eastAsia="en-US"/>
        </w:rPr>
      </w:pPr>
      <w:r w:rsidRPr="009F749F">
        <w:rPr>
          <w:rFonts w:ascii="Times New Roman" w:eastAsia="Times New Roman" w:hAnsi="Times New Roman"/>
          <w:i/>
          <w:color w:val="000000"/>
          <w:sz w:val="24"/>
          <w:lang w:val="en-US" w:eastAsia="en-US"/>
        </w:rPr>
        <w:t>[Position]</w:t>
      </w:r>
    </w:p>
    <w:p w:rsidR="00903624" w:rsidRPr="00732881" w:rsidRDefault="00903624" w:rsidP="00614675">
      <w:pPr>
        <w:pStyle w:val="ssPara1"/>
      </w:pPr>
      <w:bookmarkStart w:id="0" w:name="_GoBack"/>
      <w:bookmarkEnd w:id="0"/>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B5" w:rsidRDefault="004169B5" w:rsidP="002145F3">
      <w:r>
        <w:separator/>
      </w:r>
    </w:p>
  </w:endnote>
  <w:endnote w:type="continuationSeparator" w:id="0">
    <w:p w:rsidR="004169B5" w:rsidRDefault="004169B5"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EC" w:rsidRDefault="008E3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52EFC"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L_LIVE_EMEA1:29431257v2</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52EFC">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L_LIVE_EMEA1:29431257v2</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B5" w:rsidRDefault="004169B5" w:rsidP="002145F3">
      <w:r>
        <w:separator/>
      </w:r>
    </w:p>
  </w:footnote>
  <w:footnote w:type="continuationSeparator" w:id="0">
    <w:p w:rsidR="004169B5" w:rsidRDefault="004169B5"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EC" w:rsidRDefault="008E3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EC" w:rsidRDefault="008E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EC" w:rsidRDefault="008E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6E705B8"/>
    <w:multiLevelType w:val="multilevel"/>
    <w:tmpl w:val="16E832E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7270173"/>
    <w:multiLevelType w:val="multilevel"/>
    <w:tmpl w:val="71CADD9C"/>
    <w:numStyleLink w:val="AppendixNumbering"/>
  </w:abstractNum>
  <w:abstractNum w:abstractNumId="12">
    <w:nsid w:val="156E42D2"/>
    <w:multiLevelType w:val="multilevel"/>
    <w:tmpl w:val="87B0FD98"/>
    <w:lvl w:ilvl="0">
      <w:start w:val="4"/>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2D5649B"/>
    <w:multiLevelType w:val="multilevel"/>
    <w:tmpl w:val="E7229E7C"/>
    <w:numStyleLink w:val="ExhibitNumbering"/>
  </w:abstractNum>
  <w:abstractNum w:abstractNumId="17">
    <w:nsid w:val="34281940"/>
    <w:multiLevelType w:val="multilevel"/>
    <w:tmpl w:val="71CADD9C"/>
    <w:numStyleLink w:val="AppendixNumbering"/>
  </w:abstractNum>
  <w:abstractNum w:abstractNumId="18">
    <w:nsid w:val="350F5172"/>
    <w:multiLevelType w:val="multilevel"/>
    <w:tmpl w:val="A5F2DB06"/>
    <w:lvl w:ilvl="0">
      <w:start w:val="10"/>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55E0BB2"/>
    <w:multiLevelType w:val="multilevel"/>
    <w:tmpl w:val="54D02D98"/>
    <w:numStyleLink w:val="PartNumbering"/>
  </w:abstractNum>
  <w:abstractNum w:abstractNumId="2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185586C"/>
    <w:multiLevelType w:val="multilevel"/>
    <w:tmpl w:val="E7229E7C"/>
    <w:numStyleLink w:val="ExhibitNumbering"/>
  </w:abstractNum>
  <w:abstractNum w:abstractNumId="23">
    <w:nsid w:val="4400737D"/>
    <w:multiLevelType w:val="multilevel"/>
    <w:tmpl w:val="C8D6362C"/>
    <w:numStyleLink w:val="ListHeadings"/>
  </w:abstractNum>
  <w:abstractNum w:abstractNumId="24">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8A7933"/>
    <w:multiLevelType w:val="multilevel"/>
    <w:tmpl w:val="D7FC8498"/>
    <w:lvl w:ilvl="0">
      <w:start w:val="1"/>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C5A2E19"/>
    <w:multiLevelType w:val="multilevel"/>
    <w:tmpl w:val="7E4ED342"/>
    <w:lvl w:ilvl="0">
      <w:start w:val="2"/>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D8E29CB"/>
    <w:multiLevelType w:val="multilevel"/>
    <w:tmpl w:val="06E2487A"/>
    <w:numStyleLink w:val="ScheduleNumbering"/>
  </w:abstractNum>
  <w:abstractNum w:abstractNumId="28">
    <w:nsid w:val="6DC023DB"/>
    <w:multiLevelType w:val="multilevel"/>
    <w:tmpl w:val="54D02D98"/>
    <w:numStyleLink w:val="PartNumbering"/>
  </w:abstractNum>
  <w:abstractNum w:abstractNumId="29">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0">
    <w:nsid w:val="7F7618A8"/>
    <w:multiLevelType w:val="multilevel"/>
    <w:tmpl w:val="1130A0CA"/>
    <w:numStyleLink w:val="SectionNumbering"/>
  </w:abstractNum>
  <w:num w:numId="1">
    <w:abstractNumId w:val="24"/>
  </w:num>
  <w:num w:numId="2">
    <w:abstractNumId w:val="13"/>
  </w:num>
  <w:num w:numId="3">
    <w:abstractNumId w:val="15"/>
  </w:num>
  <w:num w:numId="4">
    <w:abstractNumId w:val="14"/>
  </w:num>
  <w:num w:numId="5">
    <w:abstractNumId w:val="20"/>
  </w:num>
  <w:num w:numId="6">
    <w:abstractNumId w:val="11"/>
  </w:num>
  <w:num w:numId="7">
    <w:abstractNumId w:val="22"/>
  </w:num>
  <w:num w:numId="8">
    <w:abstractNumId w:val="23"/>
  </w:num>
  <w:num w:numId="9">
    <w:abstractNumId w:val="28"/>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6"/>
  </w:num>
  <w:num w:numId="23">
    <w:abstractNumId w:val="19"/>
  </w:num>
  <w:num w:numId="24">
    <w:abstractNumId w:val="21"/>
  </w:num>
  <w:num w:numId="25">
    <w:abstractNumId w:val="30"/>
  </w:num>
  <w:num w:numId="26">
    <w:abstractNumId w:val="30"/>
  </w:num>
  <w:num w:numId="27">
    <w:abstractNumId w:val="25"/>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4"/>
    </w:lvlOverride>
    <w:lvlOverride w:ilvl="1"/>
    <w:lvlOverride w:ilvl="2"/>
    <w:lvlOverride w:ilvl="3"/>
    <w:lvlOverride w:ilvl="4"/>
    <w:lvlOverride w:ilvl="5"/>
    <w:lvlOverride w:ilvl="6"/>
    <w:lvlOverride w:ilvl="7"/>
    <w:lvlOverride w:ilvl="8"/>
  </w:num>
  <w:num w:numId="29">
    <w:abstractNumId w:val="18"/>
    <w:lvlOverride w:ilvl="0">
      <w:startOverride w:val="10"/>
    </w:lvlOverride>
    <w:lvlOverride w:ilvl="1"/>
    <w:lvlOverride w:ilvl="2"/>
    <w:lvlOverride w:ilvl="3"/>
    <w:lvlOverride w:ilvl="4"/>
    <w:lvlOverride w:ilvl="5"/>
    <w:lvlOverride w:ilvl="6"/>
    <w:lvlOverride w:ilvl="7"/>
    <w:lvlOverride w:ilvl="8"/>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26"/>
    <w:lvlOverride w:ilvl="0">
      <w:startOverride w:val="2"/>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169B5"/>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169B5"/>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52EFC"/>
    <w:rsid w:val="008C0FC8"/>
    <w:rsid w:val="008E2CB9"/>
    <w:rsid w:val="008E31EC"/>
    <w:rsid w:val="008F46B3"/>
    <w:rsid w:val="00903624"/>
    <w:rsid w:val="00923465"/>
    <w:rsid w:val="009D4EB0"/>
    <w:rsid w:val="009F102B"/>
    <w:rsid w:val="009F749F"/>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C5E7-52A6-4A96-A21F-C56F391F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7</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2</cp:revision>
  <dcterms:created xsi:type="dcterms:W3CDTF">2015-11-19T13:01:00Z</dcterms:created>
  <dcterms:modified xsi:type="dcterms:W3CDTF">2015-11-19T13:01:00Z</dcterms:modified>
</cp:coreProperties>
</file>