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283" w:rsidRDefault="00995283" w:rsidP="00995283">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00224" behindDoc="1" locked="0" layoutInCell="1" allowOverlap="1" wp14:anchorId="009B08D5" wp14:editId="56AE8ECC">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283" w:rsidRDefault="00995283" w:rsidP="00995283">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oOtA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rDDEUTTHOxE&#10;+QQMlgIYBjSF1QdCLeQPjHpYIylW3w9EUoyaDxymwOycSZCTsJsEwgt4mmKN0Shu9LibDp1k+xo8&#10;j3PGxRompWKWxWakRhSn+YLVYJM5rTGze57/W6vLsl39Bg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CtkCg60AgAAtAUA&#10;AA4AAAAAAAAAAAAAAAAALgIAAGRycy9lMm9Eb2MueG1sUEsBAi0AFAAGAAgAAAAhAIlqjMzeAAAA&#10;DQEAAA8AAAAAAAAAAAAAAAAADgUAAGRycy9kb3ducmV2LnhtbFBLBQYAAAAABAAEAPMAAAAZBgAA&#10;AAA=&#10;" filled="f" stroked="f">
                <v:textbox inset="0,0,0,0">
                  <w:txbxContent>
                    <w:p w:rsidR="00995283" w:rsidRDefault="00995283" w:rsidP="00995283">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D83470" w:rsidRPr="00D83470" w:rsidRDefault="00D83470" w:rsidP="00D83470">
      <w:pPr>
        <w:spacing w:before="422" w:after="2050" w:line="410" w:lineRule="exact"/>
        <w:ind w:left="144" w:right="144"/>
        <w:jc w:val="left"/>
        <w:textAlignment w:val="baseline"/>
        <w:rPr>
          <w:rFonts w:ascii="Times New Roman" w:eastAsia="Times New Roman" w:hAnsi="Times New Roman"/>
          <w:b/>
          <w:color w:val="000000"/>
          <w:sz w:val="32"/>
          <w:lang w:val="en-US" w:eastAsia="en-US"/>
        </w:rPr>
      </w:pPr>
      <w:r w:rsidRPr="00D83470">
        <w:rPr>
          <w:rFonts w:ascii="Times New Roman" w:eastAsia="Times New Roman" w:hAnsi="Times New Roman"/>
          <w:b/>
          <w:color w:val="000000"/>
          <w:sz w:val="32"/>
          <w:lang w:val="en-US" w:eastAsia="en-US"/>
        </w:rPr>
        <w:t>RTS 11: Draft regulatory technical standards on the tick size regime for shares, depositary receipts and exchange traded funds</w:t>
      </w:r>
    </w:p>
    <w:p w:rsidR="00D83470" w:rsidRPr="00D83470" w:rsidRDefault="00D83470" w:rsidP="00D83470">
      <w:pPr>
        <w:spacing w:before="422" w:after="2050" w:line="410" w:lineRule="exact"/>
        <w:jc w:val="left"/>
        <w:rPr>
          <w:rFonts w:ascii="Times New Roman" w:eastAsia="PMingLiU" w:hAnsi="Times New Roman"/>
          <w:lang w:val="en-US" w:eastAsia="en-US"/>
        </w:rPr>
        <w:sectPr w:rsidR="00D83470" w:rsidRPr="00D83470">
          <w:pgSz w:w="11909" w:h="16838"/>
          <w:pgMar w:top="580" w:right="1291" w:bottom="960" w:left="1277" w:header="720" w:footer="720" w:gutter="0"/>
          <w:cols w:space="720"/>
        </w:sectPr>
      </w:pPr>
    </w:p>
    <w:p w:rsidR="00D83470" w:rsidRPr="00D83470" w:rsidRDefault="00D83470" w:rsidP="00D83470">
      <w:pPr>
        <w:spacing w:before="1163" w:line="288"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0528" behindDoc="1" locked="0" layoutInCell="1" allowOverlap="1">
                <wp:simplePos x="0" y="0"/>
                <wp:positionH relativeFrom="column">
                  <wp:posOffset>202565</wp:posOffset>
                </wp:positionH>
                <wp:positionV relativeFrom="paragraph">
                  <wp:posOffset>0</wp:posOffset>
                </wp:positionV>
                <wp:extent cx="2953385" cy="646430"/>
                <wp:effectExtent l="2540" t="444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D83470">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D83470" w:rsidRDefault="00D83470">
                                  <w:pPr>
                                    <w:spacing w:before="10"/>
                                    <w:jc w:val="center"/>
                                    <w:textAlignment w:val="baseline"/>
                                  </w:pPr>
                                  <w:r>
                                    <w:rPr>
                                      <w:noProof/>
                                    </w:rPr>
                                    <w:drawing>
                                      <wp:inline distT="0" distB="0" distL="0" distR="0" wp14:anchorId="298A0A85" wp14:editId="2FC25ADF">
                                        <wp:extent cx="956945" cy="6400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158" name="test1"/>
                                                <pic:cNvPicPr preferRelativeResize="0"/>
                                              </pic:nvPicPr>
                                              <pic:blipFill>
                                                <a:blip r:embed="rId9"/>
                                                <a:stretch>
                                                  <a:fillRect/>
                                                </a:stretch>
                                              </pic:blipFill>
                                              <pic:spPr>
                                                <a:xfrm>
                                                  <a:off x="0" y="0"/>
                                                  <a:ext cx="956945" cy="640080"/>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D83470" w:rsidRDefault="00D83470">
                                  <w:pPr>
                                    <w:spacing w:after="73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D83470" w:rsidRDefault="00D83470" w:rsidP="00D834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7" type="#_x0000_t202" style="position:absolute;margin-left:15.95pt;margin-top:0;width:232.55pt;height:50.9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htAIAALI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D83470">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D83470" w:rsidRDefault="00D83470">
                            <w:pPr>
                              <w:spacing w:before="10"/>
                              <w:jc w:val="center"/>
                              <w:textAlignment w:val="baseline"/>
                            </w:pPr>
                            <w:r>
                              <w:rPr>
                                <w:noProof/>
                              </w:rPr>
                              <w:drawing>
                                <wp:inline distT="0" distB="0" distL="0" distR="0" wp14:anchorId="298A0A85" wp14:editId="2FC25ADF">
                                  <wp:extent cx="956945" cy="6400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158" name="test1"/>
                                          <pic:cNvPicPr preferRelativeResize="0"/>
                                        </pic:nvPicPr>
                                        <pic:blipFill>
                                          <a:blip r:embed="rId9"/>
                                          <a:stretch>
                                            <a:fillRect/>
                                          </a:stretch>
                                        </pic:blipFill>
                                        <pic:spPr>
                                          <a:xfrm>
                                            <a:off x="0" y="0"/>
                                            <a:ext cx="956945" cy="640080"/>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D83470" w:rsidRDefault="00D83470">
                            <w:pPr>
                              <w:spacing w:after="73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D83470" w:rsidRDefault="00D83470" w:rsidP="00D83470"/>
                  </w:txbxContent>
                </v:textbox>
              </v:shape>
            </w:pict>
          </mc:Fallback>
        </mc:AlternateContent>
      </w:r>
    </w:p>
    <w:p w:rsidR="00D83470" w:rsidRPr="00D83470" w:rsidRDefault="00D83470" w:rsidP="00D83470">
      <w:pPr>
        <w:jc w:val="left"/>
        <w:rPr>
          <w:rFonts w:ascii="Times New Roman" w:eastAsia="PMingLiU" w:hAnsi="Times New Roman"/>
          <w:lang w:val="en-US" w:eastAsia="en-US"/>
        </w:rPr>
        <w:sectPr w:rsidR="00D83470" w:rsidRPr="00D83470">
          <w:type w:val="continuous"/>
          <w:pgSz w:w="11909" w:h="16838"/>
          <w:pgMar w:top="580" w:right="1291" w:bottom="960" w:left="1155" w:header="720" w:footer="720" w:gutter="0"/>
          <w:cols w:space="720"/>
        </w:sectPr>
      </w:pPr>
    </w:p>
    <w:p w:rsidR="00D83470" w:rsidRPr="00D83470" w:rsidRDefault="00D83470" w:rsidP="00D83470">
      <w:pPr>
        <w:spacing w:before="3" w:line="269" w:lineRule="exact"/>
        <w:ind w:left="5400"/>
        <w:jc w:val="left"/>
        <w:textAlignment w:val="baseline"/>
        <w:rPr>
          <w:rFonts w:ascii="Times New Roman" w:eastAsia="Times New Roman" w:hAnsi="Times New Roman"/>
          <w:color w:val="000000"/>
          <w:spacing w:val="-1"/>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2576" behindDoc="1" locked="0" layoutInCell="1" allowOverlap="1" wp14:anchorId="69976FEC" wp14:editId="71AD9789">
                <wp:simplePos x="0" y="0"/>
                <wp:positionH relativeFrom="page">
                  <wp:posOffset>3609975</wp:posOffset>
                </wp:positionH>
                <wp:positionV relativeFrom="page">
                  <wp:posOffset>9968230</wp:posOffset>
                </wp:positionV>
                <wp:extent cx="345440" cy="172720"/>
                <wp:effectExtent l="0" t="0" r="0" b="3175"/>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before="3" w:line="268" w:lineRule="exact"/>
                              <w:textAlignment w:val="baseline"/>
                              <w:rPr>
                                <w:rFonts w:eastAsia="Times New Roman"/>
                                <w:color w:val="000000"/>
                                <w:spacing w:val="17"/>
                                <w:sz w:val="24"/>
                              </w:rPr>
                            </w:pPr>
                            <w:r>
                              <w:rPr>
                                <w:rFonts w:eastAsia="Times New Roman"/>
                                <w:color w:val="000000"/>
                                <w:spacing w:val="17"/>
                                <w:sz w:val="24"/>
                              </w:rPr>
                              <w:t>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left:0;text-align:left;margin-left:284.25pt;margin-top:784.9pt;width:27.2pt;height:13.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jsgIAALE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" filled="f" stroked="f">
                <v:textbox inset="0,0,0,0">
                  <w:txbxContent>
                    <w:p w:rsidR="00D83470" w:rsidRDefault="00D83470" w:rsidP="00D83470">
                      <w:pPr>
                        <w:spacing w:before="3" w:line="268" w:lineRule="exact"/>
                        <w:textAlignment w:val="baseline"/>
                        <w:rPr>
                          <w:rFonts w:eastAsia="Times New Roman"/>
                          <w:color w:val="000000"/>
                          <w:spacing w:val="17"/>
                          <w:sz w:val="24"/>
                        </w:rPr>
                      </w:pPr>
                      <w:r>
                        <w:rPr>
                          <w:rFonts w:eastAsia="Times New Roman"/>
                          <w:color w:val="000000"/>
                          <w:spacing w:val="17"/>
                          <w:sz w:val="24"/>
                        </w:rPr>
                        <w:t>300</w:t>
                      </w:r>
                    </w:p>
                  </w:txbxContent>
                </v:textbox>
                <w10:wrap type="square" anchorx="page" anchory="page"/>
              </v:shape>
            </w:pict>
          </mc:Fallback>
        </mc:AlternateContent>
      </w:r>
      <w:r w:rsidRPr="00D83470">
        <w:rPr>
          <w:rFonts w:ascii="Times New Roman" w:eastAsia="Times New Roman" w:hAnsi="Times New Roman"/>
          <w:color w:val="000000"/>
          <w:spacing w:val="-1"/>
          <w:sz w:val="24"/>
          <w:lang w:val="en-US" w:eastAsia="en-US"/>
        </w:rPr>
        <w:t>Brussels, XXX</w:t>
      </w:r>
    </w:p>
    <w:p w:rsidR="00D83470" w:rsidRPr="00D83470" w:rsidRDefault="00D83470" w:rsidP="00D83470">
      <w:pPr>
        <w:spacing w:before="6" w:line="269" w:lineRule="exact"/>
        <w:ind w:left="5400"/>
        <w:jc w:val="left"/>
        <w:textAlignment w:val="baseline"/>
        <w:rPr>
          <w:rFonts w:ascii="Times New Roman" w:eastAsia="Times New Roman" w:hAnsi="Times New Roman"/>
          <w:color w:val="000000"/>
          <w:spacing w:val="1"/>
          <w:sz w:val="24"/>
          <w:lang w:val="en-US" w:eastAsia="en-US"/>
        </w:rPr>
      </w:pPr>
      <w:r w:rsidRPr="00D83470">
        <w:rPr>
          <w:rFonts w:ascii="Times New Roman" w:eastAsia="Times New Roman" w:hAnsi="Times New Roman"/>
          <w:color w:val="000000"/>
          <w:spacing w:val="1"/>
          <w:sz w:val="24"/>
          <w:lang w:val="en-US" w:eastAsia="en-US"/>
        </w:rPr>
        <w:t>[...](2012) XXX draft</w:t>
      </w:r>
    </w:p>
    <w:p w:rsidR="00D83470" w:rsidRPr="00D83470" w:rsidRDefault="00D83470" w:rsidP="00D83470">
      <w:pPr>
        <w:spacing w:before="1462" w:line="269" w:lineRule="exact"/>
        <w:jc w:val="center"/>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COMMISSION DELEGATED REGULATION (EU) No .../..</w:t>
      </w:r>
    </w:p>
    <w:p w:rsidR="00D83470" w:rsidRPr="00D83470" w:rsidRDefault="00D83470" w:rsidP="00D83470">
      <w:pPr>
        <w:spacing w:before="365" w:line="269" w:lineRule="exact"/>
        <w:ind w:left="4392"/>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of XXX</w:t>
      </w:r>
    </w:p>
    <w:p w:rsidR="00D83470" w:rsidRPr="00D83470" w:rsidRDefault="00E5750A" w:rsidP="00D83470">
      <w:pPr>
        <w:spacing w:before="417" w:line="269" w:lineRule="exact"/>
        <w:jc w:val="center"/>
        <w:textAlignment w:val="baseline"/>
        <w:rPr>
          <w:rFonts w:ascii="Times New Roman" w:eastAsia="Times New Roman" w:hAnsi="Times New Roman"/>
          <w:color w:val="000000"/>
          <w:spacing w:val="-8"/>
          <w:sz w:val="24"/>
          <w:lang w:val="en-US" w:eastAsia="en-US"/>
        </w:rPr>
      </w:pPr>
      <w:r>
        <w:rPr>
          <w:rFonts w:ascii="Times New Roman" w:eastAsia="PMingLiU" w:hAnsi="Times New Roman"/>
          <w:noProof/>
        </w:rPr>
        <mc:AlternateContent>
          <mc:Choice Requires="wps">
            <w:drawing>
              <wp:anchor distT="0" distB="0" distL="0" distR="0" simplePos="0" relativeHeight="251671552" behindDoc="1" locked="0" layoutInCell="1" allowOverlap="1" wp14:anchorId="5E4F8D75" wp14:editId="2CF2ADED">
                <wp:simplePos x="0" y="0"/>
                <wp:positionH relativeFrom="page">
                  <wp:posOffset>728980</wp:posOffset>
                </wp:positionH>
                <wp:positionV relativeFrom="page">
                  <wp:posOffset>9835515</wp:posOffset>
                </wp:positionV>
                <wp:extent cx="209550" cy="34290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left:0;text-align:left;margin-left:57.4pt;margin-top:774.45pt;width:16.5pt;height:2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" filled="f" stroked="f">
                <v:textbox inset="0,0,0,0">
                  <w:txbxContent>
                    <w:p w:rsidR="00D83470" w:rsidRDefault="00D83470" w:rsidP="00D83470">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3600" behindDoc="1" locked="0" layoutInCell="1" allowOverlap="1" wp14:anchorId="264FA1C5" wp14:editId="57FDCB19">
                <wp:simplePos x="0" y="0"/>
                <wp:positionH relativeFrom="page">
                  <wp:posOffset>6400165</wp:posOffset>
                </wp:positionH>
                <wp:positionV relativeFrom="page">
                  <wp:posOffset>9835515</wp:posOffset>
                </wp:positionV>
                <wp:extent cx="296545" cy="342900"/>
                <wp:effectExtent l="0" t="0" r="8255" b="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left:0;text-align:left;margin-left:503.95pt;margin-top:774.45pt;width:23.35pt;height:27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" filled="f" stroked="f">
                <v:textbox inset="0,0,0,0">
                  <w:txbxContent>
                    <w:p w:rsidR="00D83470" w:rsidRDefault="00D83470" w:rsidP="00D83470">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00D83470" w:rsidRPr="00D83470">
        <w:rPr>
          <w:rFonts w:ascii="Times New Roman" w:eastAsia="Times New Roman" w:hAnsi="Times New Roman"/>
          <w:color w:val="000000"/>
          <w:spacing w:val="-8"/>
          <w:sz w:val="24"/>
          <w:lang w:val="en-US" w:eastAsia="en-US"/>
        </w:rPr>
        <w:t>[—]</w:t>
      </w:r>
    </w:p>
    <w:p w:rsidR="00D83470" w:rsidRPr="00D83470" w:rsidRDefault="00D83470" w:rsidP="00D83470">
      <w:pPr>
        <w:jc w:val="left"/>
        <w:rPr>
          <w:rFonts w:ascii="Times New Roman" w:eastAsia="PMingLiU" w:hAnsi="Times New Roman"/>
          <w:lang w:val="en-US" w:eastAsia="en-US"/>
        </w:rPr>
        <w:sectPr w:rsidR="00D83470" w:rsidRPr="00D83470">
          <w:type w:val="continuous"/>
          <w:pgSz w:w="11909" w:h="16838"/>
          <w:pgMar w:top="580" w:right="1413" w:bottom="960" w:left="1155" w:header="720" w:footer="720" w:gutter="0"/>
          <w:cols w:space="720"/>
        </w:sectPr>
      </w:pPr>
    </w:p>
    <w:p w:rsidR="00995283" w:rsidRDefault="00995283" w:rsidP="00D83470">
      <w:pPr>
        <w:spacing w:before="286" w:line="271" w:lineRule="exact"/>
        <w:jc w:val="center"/>
        <w:textAlignment w:val="baseline"/>
        <w:rPr>
          <w:rFonts w:ascii="Times New Roman" w:eastAsia="Times New Roman" w:hAnsi="Times New Roman"/>
          <w:b/>
          <w:color w:val="000000"/>
          <w:sz w:val="24"/>
          <w:lang w:val="en-US" w:eastAsia="en-US"/>
        </w:rPr>
      </w:pPr>
    </w:p>
    <w:p w:rsidR="00D83470" w:rsidRPr="00D83470" w:rsidRDefault="00D83470" w:rsidP="00D83470">
      <w:pPr>
        <w:spacing w:before="286" w:line="271" w:lineRule="exact"/>
        <w:jc w:val="center"/>
        <w:textAlignment w:val="baseline"/>
        <w:rPr>
          <w:rFonts w:ascii="Times New Roman" w:eastAsia="Times New Roman" w:hAnsi="Times New Roman"/>
          <w:b/>
          <w:color w:val="000000"/>
          <w:sz w:val="24"/>
          <w:lang w:val="en-US" w:eastAsia="en-US"/>
        </w:rPr>
      </w:pPr>
      <w:r w:rsidRPr="00D83470">
        <w:rPr>
          <w:rFonts w:ascii="Times New Roman" w:eastAsia="Times New Roman" w:hAnsi="Times New Roman"/>
          <w:b/>
          <w:color w:val="000000"/>
          <w:sz w:val="24"/>
          <w:lang w:val="en-US" w:eastAsia="en-US"/>
        </w:rPr>
        <w:t>COMMISSION DELEGATED REGULATION (EU) .../..</w:t>
      </w:r>
    </w:p>
    <w:p w:rsidR="00D83470" w:rsidRPr="00D83470" w:rsidRDefault="00D83470" w:rsidP="00D83470">
      <w:pPr>
        <w:spacing w:before="156" w:line="271" w:lineRule="exact"/>
        <w:jc w:val="center"/>
        <w:textAlignment w:val="baseline"/>
        <w:rPr>
          <w:rFonts w:ascii="Times New Roman" w:eastAsia="Times New Roman" w:hAnsi="Times New Roman"/>
          <w:b/>
          <w:color w:val="000000"/>
          <w:spacing w:val="-2"/>
          <w:sz w:val="24"/>
          <w:lang w:val="en-US" w:eastAsia="en-US"/>
        </w:rPr>
      </w:pPr>
      <w:r w:rsidRPr="00D83470">
        <w:rPr>
          <w:rFonts w:ascii="Times New Roman" w:eastAsia="Times New Roman" w:hAnsi="Times New Roman"/>
          <w:b/>
          <w:color w:val="000000"/>
          <w:spacing w:val="-2"/>
          <w:sz w:val="24"/>
          <w:lang w:val="en-US" w:eastAsia="en-US"/>
        </w:rPr>
        <w:t>of [date]</w:t>
      </w:r>
    </w:p>
    <w:p w:rsidR="00D83470" w:rsidRPr="00D83470" w:rsidRDefault="00D83470" w:rsidP="00D83470">
      <w:pPr>
        <w:spacing w:before="122" w:line="353" w:lineRule="exact"/>
        <w:jc w:val="center"/>
        <w:textAlignment w:val="baseline"/>
        <w:rPr>
          <w:rFonts w:ascii="Times New Roman" w:eastAsia="Times New Roman" w:hAnsi="Times New Roman"/>
          <w:b/>
          <w:color w:val="000000"/>
          <w:sz w:val="28"/>
          <w:lang w:val="en-US" w:eastAsia="en-US"/>
        </w:rPr>
      </w:pPr>
      <w:r w:rsidRPr="00D83470">
        <w:rPr>
          <w:rFonts w:ascii="Times New Roman" w:eastAsia="Times New Roman" w:hAnsi="Times New Roman"/>
          <w:b/>
          <w:color w:val="000000"/>
          <w:sz w:val="28"/>
          <w:lang w:val="en-US" w:eastAsia="en-US"/>
        </w:rPr>
        <w:t xml:space="preserve">supplementing Directive 2014/65/EU of the European Parliament and of the </w:t>
      </w:r>
      <w:r w:rsidRPr="00D83470">
        <w:rPr>
          <w:rFonts w:ascii="Times New Roman" w:eastAsia="Times New Roman" w:hAnsi="Times New Roman"/>
          <w:b/>
          <w:color w:val="000000"/>
          <w:sz w:val="28"/>
          <w:lang w:val="en-US" w:eastAsia="en-US"/>
        </w:rPr>
        <w:br/>
        <w:t xml:space="preserve">Council on markets in financial instruments with regard to regulatory </w:t>
      </w:r>
      <w:r w:rsidRPr="00D83470">
        <w:rPr>
          <w:rFonts w:ascii="Times New Roman" w:eastAsia="Times New Roman" w:hAnsi="Times New Roman"/>
          <w:b/>
          <w:color w:val="000000"/>
          <w:sz w:val="28"/>
          <w:lang w:val="en-US" w:eastAsia="en-US"/>
        </w:rPr>
        <w:br/>
        <w:t xml:space="preserve">technical standards on the tick size regime for shares, depositary receipts </w:t>
      </w:r>
      <w:r w:rsidRPr="00D83470">
        <w:rPr>
          <w:rFonts w:ascii="Times New Roman" w:eastAsia="Times New Roman" w:hAnsi="Times New Roman"/>
          <w:b/>
          <w:color w:val="000000"/>
          <w:sz w:val="28"/>
          <w:lang w:val="en-US" w:eastAsia="en-US"/>
        </w:rPr>
        <w:br/>
        <w:t>and, exchange traded funds</w:t>
      </w:r>
    </w:p>
    <w:p w:rsidR="00D83470" w:rsidRPr="00D83470" w:rsidRDefault="00D83470" w:rsidP="00D83470">
      <w:pPr>
        <w:spacing w:before="632" w:line="316" w:lineRule="exact"/>
        <w:jc w:val="center"/>
        <w:textAlignment w:val="baseline"/>
        <w:rPr>
          <w:rFonts w:ascii="Times New Roman" w:eastAsia="Times New Roman" w:hAnsi="Times New Roman"/>
          <w:b/>
          <w:color w:val="000000"/>
          <w:sz w:val="28"/>
          <w:lang w:val="en-US" w:eastAsia="en-US"/>
        </w:rPr>
      </w:pPr>
      <w:r w:rsidRPr="00D83470">
        <w:rPr>
          <w:rFonts w:ascii="Times New Roman" w:eastAsia="Times New Roman" w:hAnsi="Times New Roman"/>
          <w:b/>
          <w:color w:val="000000"/>
          <w:sz w:val="28"/>
          <w:lang w:val="en-US" w:eastAsia="en-US"/>
        </w:rPr>
        <w:t>(Text with EEA relevance)</w:t>
      </w:r>
    </w:p>
    <w:p w:rsidR="00D83470" w:rsidRPr="00D83470" w:rsidRDefault="00D83470" w:rsidP="00D83470">
      <w:pPr>
        <w:spacing w:before="829" w:line="273" w:lineRule="exact"/>
        <w:ind w:left="144"/>
        <w:jc w:val="left"/>
        <w:textAlignment w:val="baseline"/>
        <w:rPr>
          <w:rFonts w:ascii="Times New Roman" w:eastAsia="Times New Roman" w:hAnsi="Times New Roman"/>
          <w:color w:val="000000"/>
          <w:spacing w:val="-1"/>
          <w:sz w:val="24"/>
          <w:lang w:val="en-US" w:eastAsia="en-US"/>
        </w:rPr>
      </w:pPr>
      <w:r w:rsidRPr="00D83470">
        <w:rPr>
          <w:rFonts w:ascii="Times New Roman" w:eastAsia="Times New Roman" w:hAnsi="Times New Roman"/>
          <w:color w:val="000000"/>
          <w:spacing w:val="-1"/>
          <w:sz w:val="24"/>
          <w:lang w:val="en-US" w:eastAsia="en-US"/>
        </w:rPr>
        <w:t>THE EUROPEAN COMMISSION,</w:t>
      </w:r>
    </w:p>
    <w:p w:rsidR="00D83470" w:rsidRPr="00D83470" w:rsidRDefault="00D83470" w:rsidP="00D83470">
      <w:pPr>
        <w:spacing w:before="286" w:line="273" w:lineRule="exact"/>
        <w:ind w:lef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Having regard to the Treaty on the Functioning of the European Union,</w:t>
      </w:r>
    </w:p>
    <w:p w:rsidR="00D83470" w:rsidRPr="00D83470" w:rsidRDefault="00D83470" w:rsidP="00D83470">
      <w:pPr>
        <w:spacing w:before="252" w:line="302"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amending Directive 2002/92/EC and Directive 2011/61/EU</w:t>
      </w:r>
      <w:r w:rsidRPr="00D83470">
        <w:rPr>
          <w:rFonts w:ascii="Times New Roman" w:eastAsia="Times New Roman" w:hAnsi="Times New Roman"/>
          <w:color w:val="000000"/>
          <w:sz w:val="24"/>
          <w:vertAlign w:val="superscript"/>
          <w:lang w:val="en-US" w:eastAsia="en-US"/>
        </w:rPr>
        <w:t>1</w:t>
      </w:r>
      <w:r w:rsidRPr="00D83470">
        <w:rPr>
          <w:rFonts w:ascii="Times New Roman" w:eastAsia="Times New Roman" w:hAnsi="Times New Roman"/>
          <w:color w:val="000000"/>
          <w:sz w:val="24"/>
          <w:lang w:val="en-US" w:eastAsia="en-US"/>
        </w:rPr>
        <w:t>, and in particular Article 49(3) and (4) thereof,</w:t>
      </w:r>
    </w:p>
    <w:p w:rsidR="00D83470" w:rsidRPr="00D83470" w:rsidRDefault="00D83470" w:rsidP="00D83470">
      <w:pPr>
        <w:spacing w:before="283" w:line="273" w:lineRule="exact"/>
        <w:ind w:left="144"/>
        <w:jc w:val="left"/>
        <w:textAlignment w:val="baseline"/>
        <w:rPr>
          <w:rFonts w:ascii="Times New Roman" w:eastAsia="Times New Roman" w:hAnsi="Times New Roman"/>
          <w:color w:val="000000"/>
          <w:spacing w:val="-4"/>
          <w:sz w:val="24"/>
          <w:lang w:val="en-US" w:eastAsia="en-US"/>
        </w:rPr>
      </w:pPr>
      <w:r w:rsidRPr="00D83470">
        <w:rPr>
          <w:rFonts w:ascii="Times New Roman" w:eastAsia="Times New Roman" w:hAnsi="Times New Roman"/>
          <w:color w:val="000000"/>
          <w:spacing w:val="-4"/>
          <w:sz w:val="24"/>
          <w:lang w:val="en-US" w:eastAsia="en-US"/>
        </w:rPr>
        <w:t>Whereas:</w:t>
      </w:r>
    </w:p>
    <w:p w:rsidR="00D83470" w:rsidRPr="00D83470" w:rsidRDefault="00D83470" w:rsidP="00D83470">
      <w:pPr>
        <w:numPr>
          <w:ilvl w:val="0"/>
          <w:numId w:val="27"/>
        </w:numPr>
        <w:tabs>
          <w:tab w:val="left" w:pos="864"/>
          <w:tab w:val="left" w:pos="864"/>
        </w:tabs>
        <w:spacing w:before="250" w:line="303" w:lineRule="exact"/>
        <w:ind w:left="864"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A tick size regime or minimum tick sizes should be set out in respect of certain </w:t>
      </w:r>
      <w:r w:rsidRPr="00D83470">
        <w:rPr>
          <w:rFonts w:ascii="Times New Roman" w:eastAsia="Times New Roman" w:hAnsi="Times New Roman"/>
          <w:color w:val="000000"/>
          <w:sz w:val="24"/>
          <w:lang w:val="en-US" w:eastAsia="en-US"/>
        </w:rPr>
        <w:br/>
        <w:t>financial instruments to ensure the orderly functioning of the markets. In particular, the risk of an ever-decreasing tick size for shares, depositary receipts and certain types of exchange-traded funds and its impact on the orderliness of the market should be controlled by means of a compulsory tick size regime.</w:t>
      </w:r>
    </w:p>
    <w:p w:rsidR="00D83470" w:rsidRPr="00D83470" w:rsidRDefault="00D83470" w:rsidP="00D83470">
      <w:pPr>
        <w:numPr>
          <w:ilvl w:val="0"/>
          <w:numId w:val="27"/>
        </w:numPr>
        <w:tabs>
          <w:tab w:val="left" w:pos="864"/>
          <w:tab w:val="left" w:pos="864"/>
        </w:tabs>
        <w:spacing w:before="255" w:line="303" w:lineRule="exact"/>
        <w:ind w:left="864"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For other financial instruments, given the nature of these instruments and the </w:t>
      </w:r>
      <w:r w:rsidRPr="00D83470">
        <w:rPr>
          <w:rFonts w:ascii="Times New Roman" w:eastAsia="Times New Roman" w:hAnsi="Times New Roman"/>
          <w:color w:val="000000"/>
          <w:sz w:val="24"/>
          <w:lang w:val="en-US" w:eastAsia="en-US"/>
        </w:rPr>
        <w:br/>
        <w:t>microstructures of the markets on which they are traded, the enactment of a tick size regime for those instruments cannot be presumed to effectively contribute to the orderliness of the markets and, hence, these instruments should not be subject to a mandatory tick size regime.</w:t>
      </w:r>
    </w:p>
    <w:p w:rsidR="00D83470" w:rsidRPr="00D83470" w:rsidRDefault="00D83470" w:rsidP="00D83470">
      <w:pPr>
        <w:numPr>
          <w:ilvl w:val="0"/>
          <w:numId w:val="27"/>
        </w:numPr>
        <w:tabs>
          <w:tab w:val="left" w:pos="864"/>
          <w:tab w:val="left" w:pos="864"/>
        </w:tabs>
        <w:spacing w:before="250" w:line="304" w:lineRule="exact"/>
        <w:ind w:left="864"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In particular, certificates are only traded in certain Member States. Having taken into </w:t>
      </w:r>
      <w:r w:rsidRPr="00D83470">
        <w:rPr>
          <w:rFonts w:ascii="Times New Roman" w:eastAsia="Times New Roman" w:hAnsi="Times New Roman"/>
          <w:color w:val="000000"/>
          <w:sz w:val="24"/>
          <w:lang w:val="en-US" w:eastAsia="en-US"/>
        </w:rPr>
        <w:br/>
        <w:t>consideration the liquidity, scale and nature of these specific markets and the characteristics of those financial instruments, no mandatory tick size regime is deemed necessary to prevent the occurrence of disorderly trading conditions.</w:t>
      </w:r>
    </w:p>
    <w:p w:rsidR="00D83470" w:rsidRPr="00D83470" w:rsidRDefault="00D83470" w:rsidP="00D83470">
      <w:pPr>
        <w:numPr>
          <w:ilvl w:val="0"/>
          <w:numId w:val="27"/>
        </w:numPr>
        <w:tabs>
          <w:tab w:val="left" w:pos="864"/>
          <w:tab w:val="left" w:pos="864"/>
        </w:tabs>
        <w:spacing w:before="251" w:after="212" w:line="302" w:lineRule="exact"/>
        <w:ind w:left="864"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With respect to non-equity financial instruments and fixed income products, a large </w:t>
      </w:r>
      <w:r w:rsidRPr="00D83470">
        <w:rPr>
          <w:rFonts w:ascii="Times New Roman" w:eastAsia="Times New Roman" w:hAnsi="Times New Roman"/>
          <w:color w:val="000000"/>
          <w:sz w:val="24"/>
          <w:lang w:val="en-US" w:eastAsia="en-US"/>
        </w:rPr>
        <w:br/>
        <w:t>proportion of trading remains executed OTC with only a limited number of</w:t>
      </w:r>
    </w:p>
    <w:p w:rsidR="00D83470" w:rsidRPr="00D83470" w:rsidRDefault="00D83470" w:rsidP="00D83470">
      <w:pPr>
        <w:spacing w:before="277" w:line="221" w:lineRule="exact"/>
        <w:ind w:left="144"/>
        <w:jc w:val="left"/>
        <w:textAlignment w:val="baseline"/>
        <w:rPr>
          <w:rFonts w:ascii="Times New Roman" w:eastAsia="Times New Roman" w:hAnsi="Times New Roman"/>
          <w:color w:val="000000"/>
          <w:spacing w:val="-5"/>
          <w:sz w:val="21"/>
          <w:lang w:val="en-US" w:eastAsia="en-US"/>
        </w:rPr>
      </w:pPr>
      <w:r>
        <w:rPr>
          <w:rFonts w:ascii="Times New Roman" w:eastAsia="PMingLiU" w:hAnsi="Times New Roman"/>
          <w:noProof/>
        </w:rPr>
        <mc:AlternateContent>
          <mc:Choice Requires="wps">
            <w:drawing>
              <wp:anchor distT="0" distB="0" distL="114300" distR="114300" simplePos="0" relativeHeight="251660288"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RDHgIAADk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AE1uRDHgIAADkEAAAOAAAAAAAAAAAAAAAAAC4CAABkcnMvZTJvRG9jLnhtbFBL&#10;AQItABQABgAIAAAAIQBMbvSV3wAAAA0BAAAPAAAAAAAAAAAAAAAAAHgEAABkcnMvZG93bnJldi54&#10;bWxQSwUGAAAAAAQABADzAAAAhAUAAAAA&#10;" strokeweight=".95pt">
                <w10:wrap anchorx="page" anchory="page"/>
              </v:line>
            </w:pict>
          </mc:Fallback>
        </mc:AlternateContent>
      </w:r>
      <w:r w:rsidRPr="00D83470">
        <w:rPr>
          <w:rFonts w:ascii="Times New Roman" w:eastAsia="Times New Roman" w:hAnsi="Times New Roman"/>
          <w:color w:val="000000"/>
          <w:spacing w:val="-5"/>
          <w:sz w:val="21"/>
          <w:lang w:val="en-US" w:eastAsia="en-US"/>
        </w:rPr>
        <w:t>1 OJ L 173, 12.6.2014, p.349</w:t>
      </w:r>
    </w:p>
    <w:p w:rsidR="00D83470" w:rsidRPr="00D83470" w:rsidRDefault="00D83470" w:rsidP="00D83470">
      <w:pPr>
        <w:jc w:val="left"/>
        <w:rPr>
          <w:rFonts w:ascii="Times New Roman" w:eastAsia="PMingLiU" w:hAnsi="Times New Roman"/>
          <w:lang w:val="en-US" w:eastAsia="en-US"/>
        </w:rPr>
        <w:sectPr w:rsidR="00D83470" w:rsidRPr="00D83470">
          <w:pgSz w:w="11909" w:h="16838"/>
          <w:pgMar w:top="500" w:right="1272" w:bottom="960" w:left="1296" w:header="720" w:footer="720" w:gutter="0"/>
          <w:cols w:space="720"/>
        </w:sectPr>
      </w:pPr>
    </w:p>
    <w:p w:rsidR="00D83470" w:rsidRPr="00D83470" w:rsidRDefault="00D83470" w:rsidP="00D83470">
      <w:pPr>
        <w:spacing w:before="1" w:after="287"/>
        <w:ind w:left="120" w:right="8333"/>
        <w:jc w:val="left"/>
        <w:textAlignment w:val="baseline"/>
        <w:rPr>
          <w:rFonts w:ascii="Times New Roman" w:eastAsia="PMingLiU" w:hAnsi="Times New Roman"/>
          <w:lang w:val="en-US" w:eastAsia="en-US"/>
        </w:rPr>
      </w:pPr>
      <w:r w:rsidRPr="00D83470">
        <w:rPr>
          <w:rFonts w:ascii="Times New Roman" w:eastAsia="PMingLiU" w:hAnsi="Times New Roman"/>
          <w:noProof/>
        </w:rPr>
        <w:lastRenderedPageBreak/>
        <w:drawing>
          <wp:inline distT="0" distB="0" distL="0" distR="0" wp14:anchorId="79292EE5" wp14:editId="3BF90140">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16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D83470" w:rsidRPr="00D83470" w:rsidRDefault="00D83470" w:rsidP="00995283">
      <w:pPr>
        <w:spacing w:line="301" w:lineRule="exact"/>
        <w:ind w:left="794" w:right="142"/>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77696" behindDoc="1" locked="0" layoutInCell="1" allowOverlap="1" wp14:anchorId="52FDD0E2" wp14:editId="6E43441E">
                <wp:simplePos x="0" y="0"/>
                <wp:positionH relativeFrom="page">
                  <wp:posOffset>857885</wp:posOffset>
                </wp:positionH>
                <wp:positionV relativeFrom="page">
                  <wp:posOffset>9831070</wp:posOffset>
                </wp:positionV>
                <wp:extent cx="506730" cy="342900"/>
                <wp:effectExtent l="635" t="127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3" type="#_x0000_t202" style="position:absolute;left:0;text-align:left;margin-left:67.55pt;margin-top:774.1pt;width:39.9pt;height:2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p/sgIAALE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R9Xaf7ICAACx&#10;BQAADgAAAAAAAAAAAAAAAAAuAgAAZHJzL2Uyb0RvYy54bWxQSwECLQAUAAYACAAAACEAPpXU6OIA&#10;AAANAQAADwAAAAAAAAAAAAAAAAAMBQAAZHJzL2Rvd25yZXYueG1sUEsFBgAAAAAEAAQA8wAAABsG&#10;AAAAAA==&#10;" filled="f" stroked="f">
                <v:textbox inset="0,0,0,0">
                  <w:txbxContent>
                    <w:p w:rsidR="00D83470" w:rsidRDefault="00D83470" w:rsidP="00D8347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8720" behindDoc="1" locked="0" layoutInCell="1" allowOverlap="1" wp14:anchorId="259920D2" wp14:editId="7E8CDDBE">
                <wp:simplePos x="0" y="0"/>
                <wp:positionH relativeFrom="page">
                  <wp:posOffset>3609975</wp:posOffset>
                </wp:positionH>
                <wp:positionV relativeFrom="page">
                  <wp:posOffset>9947275</wp:posOffset>
                </wp:positionV>
                <wp:extent cx="342265" cy="193040"/>
                <wp:effectExtent l="0" t="3175" r="635" b="381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before="31" w:line="259" w:lineRule="exact"/>
                              <w:textAlignment w:val="baseline"/>
                              <w:rPr>
                                <w:rFonts w:eastAsia="Times New Roman"/>
                                <w:color w:val="000000"/>
                                <w:spacing w:val="16"/>
                                <w:sz w:val="24"/>
                              </w:rPr>
                            </w:pPr>
                            <w:r>
                              <w:rPr>
                                <w:rFonts w:eastAsia="Times New Roman"/>
                                <w:color w:val="000000"/>
                                <w:spacing w:val="16"/>
                                <w:sz w:val="24"/>
                              </w:rPr>
                              <w:t>302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4" type="#_x0000_t202" style="position:absolute;left:0;text-align:left;margin-left:284.25pt;margin-top:783.25pt;width:26.95pt;height:15.2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L6swIAALE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" filled="f" stroked="f">
                <v:textbox inset="0,0,0,0">
                  <w:txbxContent>
                    <w:p w:rsidR="00D83470" w:rsidRDefault="00D83470" w:rsidP="00D83470">
                      <w:pPr>
                        <w:spacing w:before="31" w:line="259" w:lineRule="exact"/>
                        <w:textAlignment w:val="baseline"/>
                        <w:rPr>
                          <w:rFonts w:eastAsia="Times New Roman"/>
                          <w:color w:val="000000"/>
                          <w:spacing w:val="16"/>
                          <w:sz w:val="24"/>
                        </w:rPr>
                      </w:pPr>
                      <w:r>
                        <w:rPr>
                          <w:rFonts w:eastAsia="Times New Roman"/>
                          <w:color w:val="000000"/>
                          <w:spacing w:val="16"/>
                          <w:sz w:val="24"/>
                        </w:rPr>
                        <w:t>302</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9744" behindDoc="1" locked="0" layoutInCell="1" allowOverlap="1" wp14:anchorId="7D23D0D5" wp14:editId="620F8386">
                <wp:simplePos x="0" y="0"/>
                <wp:positionH relativeFrom="page">
                  <wp:posOffset>6194425</wp:posOffset>
                </wp:positionH>
                <wp:positionV relativeFrom="page">
                  <wp:posOffset>9831070</wp:posOffset>
                </wp:positionV>
                <wp:extent cx="506730" cy="342900"/>
                <wp:effectExtent l="3175" t="1270" r="4445"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left:0;text-align:left;margin-left:487.75pt;margin-top:774.1pt;width:39.9pt;height:2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FR8l07ICAACx&#10;BQAADgAAAAAAAAAAAAAAAAAuAgAAZHJzL2Uyb0RvYy54bWxQSwECLQAUAAYACAAAACEA028a8eIA&#10;AAAOAQAADwAAAAAAAAAAAAAAAAAMBQAAZHJzL2Rvd25yZXYueG1sUEsFBgAAAAAEAAQA8wAAABsG&#10;AAAAAA==&#10;" filled="f" stroked="f">
                <v:textbox inset="0,0,0,0">
                  <w:txbxContent>
                    <w:p w:rsidR="00D83470" w:rsidRDefault="00D83470" w:rsidP="00D8347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bookmarkStart w:id="0" w:name="_GoBack"/>
      <w:bookmarkEnd w:id="0"/>
      <w:r>
        <w:rPr>
          <w:rFonts w:ascii="Times New Roman" w:eastAsia="PMingLiU" w:hAnsi="Times New Roman"/>
          <w:noProof/>
        </w:rPr>
        <mc:AlternateContent>
          <mc:Choice Requires="wps">
            <w:drawing>
              <wp:anchor distT="0" distB="0" distL="0" distR="0" simplePos="0" relativeHeight="251681792" behindDoc="1" locked="0" layoutInCell="1" allowOverlap="1" wp14:anchorId="7CB5ACE4" wp14:editId="60B6A3A8">
                <wp:simplePos x="0" y="0"/>
                <wp:positionH relativeFrom="page">
                  <wp:posOffset>3609975</wp:posOffset>
                </wp:positionH>
                <wp:positionV relativeFrom="page">
                  <wp:posOffset>9947275</wp:posOffset>
                </wp:positionV>
                <wp:extent cx="335915" cy="193040"/>
                <wp:effectExtent l="0" t="3175" r="0" b="381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before="31" w:line="259" w:lineRule="exact"/>
                              <w:textAlignment w:val="baseline"/>
                              <w:rPr>
                                <w:rFonts w:eastAsia="Times New Roman"/>
                                <w:color w:val="000000"/>
                                <w:spacing w:val="13"/>
                                <w:sz w:val="24"/>
                              </w:rPr>
                            </w:pPr>
                            <w:r>
                              <w:rPr>
                                <w:rFonts w:eastAsia="Times New Roman"/>
                                <w:color w:val="000000"/>
                                <w:spacing w:val="13"/>
                                <w:sz w:val="24"/>
                              </w:rPr>
                              <w:t>303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284.25pt;margin-top:783.25pt;width:26.45pt;height:15.2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" filled="f" stroked="f">
                <v:textbox inset="0,0,0,0">
                  <w:txbxContent>
                    <w:p w:rsidR="00D83470" w:rsidRDefault="00D83470" w:rsidP="00D83470">
                      <w:pPr>
                        <w:spacing w:before="31" w:line="259" w:lineRule="exact"/>
                        <w:textAlignment w:val="baseline"/>
                        <w:rPr>
                          <w:rFonts w:eastAsia="Times New Roman"/>
                          <w:color w:val="000000"/>
                          <w:spacing w:val="13"/>
                          <w:sz w:val="24"/>
                        </w:rPr>
                      </w:pPr>
                      <w:r>
                        <w:rPr>
                          <w:rFonts w:eastAsia="Times New Roman"/>
                          <w:color w:val="000000"/>
                          <w:spacing w:val="13"/>
                          <w:sz w:val="24"/>
                        </w:rPr>
                        <w:t>303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2816" behindDoc="1" locked="0" layoutInCell="1" allowOverlap="1" wp14:anchorId="59B15566" wp14:editId="0325FD14">
                <wp:simplePos x="0" y="0"/>
                <wp:positionH relativeFrom="page">
                  <wp:posOffset>6194425</wp:posOffset>
                </wp:positionH>
                <wp:positionV relativeFrom="page">
                  <wp:posOffset>9831070</wp:posOffset>
                </wp:positionV>
                <wp:extent cx="506730" cy="342900"/>
                <wp:effectExtent l="3175" t="1270" r="4445"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left:0;text-align:left;margin-left:487.75pt;margin-top:774.1pt;width:39.9pt;height:27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cXtAIAALI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CcubcXtAIA&#10;ALIFAAAOAAAAAAAAAAAAAAAAAC4CAABkcnMvZTJvRG9jLnhtbFBLAQItABQABgAIAAAAIQDTbxrx&#10;4gAAAA4BAAAPAAAAAAAAAAAAAAAAAA4FAABkcnMvZG93bnJldi54bWxQSwUGAAAAAAQABADzAAAA&#10;HQYAAAAA&#10;" filled="f" stroked="f">
                <v:textbox inset="0,0,0,0">
                  <w:txbxContent>
                    <w:p w:rsidR="00D83470" w:rsidRDefault="00D83470" w:rsidP="00D8347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636AA5A1" wp14:editId="0D6108A1">
                <wp:simplePos x="0" y="0"/>
                <wp:positionH relativeFrom="page">
                  <wp:posOffset>1591310</wp:posOffset>
                </wp:positionH>
                <wp:positionV relativeFrom="page">
                  <wp:posOffset>460375</wp:posOffset>
                </wp:positionV>
                <wp:extent cx="0" cy="561340"/>
                <wp:effectExtent l="10160" t="12700" r="8890" b="69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aKy9yICAAA4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5E94CB9F" wp14:editId="0D548960">
                <wp:simplePos x="0" y="0"/>
                <wp:positionH relativeFrom="page">
                  <wp:posOffset>1591310</wp:posOffset>
                </wp:positionH>
                <wp:positionV relativeFrom="page">
                  <wp:posOffset>460375</wp:posOffset>
                </wp:positionV>
                <wp:extent cx="0" cy="561340"/>
                <wp:effectExtent l="10160" t="12700" r="8890" b="698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&#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ps/8D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D83470">
        <w:rPr>
          <w:rFonts w:ascii="Times New Roman" w:eastAsia="Times New Roman" w:hAnsi="Times New Roman"/>
          <w:color w:val="000000"/>
          <w:sz w:val="24"/>
          <w:lang w:val="en-US" w:eastAsia="en-US"/>
        </w:rPr>
        <w:t>transactions being executed on-venue. Due to the specific characteristics of the liquidity of these instruments on electronic platforms and their fragmentation it is not deemed necessary to regulate a mandatory tick size regime for them.</w:t>
      </w:r>
    </w:p>
    <w:p w:rsidR="00D83470" w:rsidRPr="00D83470" w:rsidRDefault="00D83470" w:rsidP="0051548D">
      <w:pPr>
        <w:numPr>
          <w:ilvl w:val="0"/>
          <w:numId w:val="28"/>
        </w:numPr>
        <w:tabs>
          <w:tab w:val="clear" w:pos="720"/>
        </w:tabs>
        <w:spacing w:before="254" w:line="304" w:lineRule="exact"/>
        <w:ind w:right="142" w:hanging="720"/>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The correlation between exchange-traded funds (ETFs) and the underlying equity </w:t>
      </w:r>
      <w:r w:rsidRPr="00D83470">
        <w:rPr>
          <w:rFonts w:ascii="Times New Roman" w:eastAsia="Times New Roman" w:hAnsi="Times New Roman"/>
          <w:color w:val="000000"/>
          <w:sz w:val="24"/>
          <w:lang w:val="en-US" w:eastAsia="en-US"/>
        </w:rPr>
        <w:br/>
        <w:t xml:space="preserve">instruments makes necessary the determination of a minimum tick size for ETFs having as underlying shares and depositary receipts. However, ETFs having as underlying </w:t>
      </w:r>
      <w:r w:rsidR="0051548D">
        <w:rPr>
          <w:rFonts w:ascii="Times New Roman" w:eastAsia="Times New Roman" w:hAnsi="Times New Roman"/>
          <w:color w:val="000000"/>
          <w:sz w:val="24"/>
          <w:lang w:val="en-US" w:eastAsia="en-US"/>
        </w:rPr>
        <w:t>financial</w:t>
      </w:r>
      <w:r w:rsidRPr="00D83470">
        <w:rPr>
          <w:rFonts w:ascii="Times New Roman" w:eastAsia="Times New Roman" w:hAnsi="Times New Roman"/>
          <w:color w:val="000000"/>
          <w:sz w:val="24"/>
          <w:lang w:val="en-US" w:eastAsia="en-US"/>
        </w:rPr>
        <w:t xml:space="preserve"> instruments which are not shares or depositary receipts should not be subject to these regulatory technical standards.</w:t>
      </w:r>
    </w:p>
    <w:p w:rsidR="00D83470" w:rsidRPr="00D83470" w:rsidRDefault="00D83470" w:rsidP="0051548D">
      <w:pPr>
        <w:numPr>
          <w:ilvl w:val="0"/>
          <w:numId w:val="28"/>
        </w:numPr>
        <w:tabs>
          <w:tab w:val="clear" w:pos="720"/>
        </w:tabs>
        <w:spacing w:before="249" w:line="304" w:lineRule="exact"/>
        <w:ind w:right="142" w:hanging="720"/>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For ETFs, in order to reduce the risk of circumvention, it is important that all ETFs </w:t>
      </w:r>
      <w:r w:rsidRPr="00D83470">
        <w:rPr>
          <w:rFonts w:ascii="Times New Roman" w:eastAsia="Times New Roman" w:hAnsi="Times New Roman"/>
          <w:color w:val="000000"/>
          <w:sz w:val="24"/>
          <w:lang w:val="en-US" w:eastAsia="en-US"/>
        </w:rPr>
        <w:br/>
        <w:t>covered by this Regulation have the same tick size regime based on a single liquidity band regardless of their average daily number of transactions.</w:t>
      </w:r>
    </w:p>
    <w:p w:rsidR="00D83470" w:rsidRPr="00D83470" w:rsidRDefault="00D83470" w:rsidP="0051548D">
      <w:pPr>
        <w:numPr>
          <w:ilvl w:val="0"/>
          <w:numId w:val="28"/>
        </w:numPr>
        <w:tabs>
          <w:tab w:val="clear" w:pos="720"/>
        </w:tabs>
        <w:spacing w:before="244" w:line="304" w:lineRule="exact"/>
        <w:ind w:right="142" w:hanging="720"/>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A certain number of technical terms should be clearly defined for the purposes of </w:t>
      </w:r>
      <w:r w:rsidRPr="00D83470">
        <w:rPr>
          <w:rFonts w:ascii="Times New Roman" w:eastAsia="Times New Roman" w:hAnsi="Times New Roman"/>
          <w:color w:val="000000"/>
          <w:sz w:val="24"/>
          <w:lang w:val="en-US" w:eastAsia="en-US"/>
        </w:rPr>
        <w:br/>
        <w:t xml:space="preserve">setting out a tick size regime. Those technical definitions are necessary to ensure objective, effective and harmonised application of the tick size regimes in the Union and, hence, contribute to the establishment of a single rulebook for Union financial markets in that respect. In particular, it appears essential to </w:t>
      </w:r>
      <w:r w:rsidR="0051548D">
        <w:rPr>
          <w:rFonts w:ascii="Times New Roman" w:eastAsia="Times New Roman" w:hAnsi="Times New Roman"/>
          <w:color w:val="000000"/>
          <w:sz w:val="24"/>
          <w:lang w:val="en-US" w:eastAsia="en-US"/>
        </w:rPr>
        <w:t>t</w:t>
      </w:r>
      <w:r w:rsidRPr="00D83470">
        <w:rPr>
          <w:rFonts w:ascii="Times New Roman" w:eastAsia="Times New Roman" w:hAnsi="Times New Roman"/>
          <w:color w:val="000000"/>
          <w:sz w:val="24"/>
          <w:lang w:val="en-US" w:eastAsia="en-US"/>
        </w:rPr>
        <w:t>clarify the meaning of the most relevant market in terms of liquidity since Regulation (EU) No 600/2014 of the European Parliament and of the Council</w:t>
      </w:r>
      <w:r w:rsidRPr="00D83470">
        <w:rPr>
          <w:rFonts w:ascii="Times New Roman" w:eastAsia="Times New Roman" w:hAnsi="Times New Roman"/>
          <w:color w:val="000000"/>
          <w:sz w:val="24"/>
          <w:vertAlign w:val="superscript"/>
          <w:lang w:val="en-US" w:eastAsia="en-US"/>
        </w:rPr>
        <w:t>2</w:t>
      </w:r>
      <w:r w:rsidRPr="00D83470">
        <w:rPr>
          <w:rFonts w:ascii="Times New Roman" w:eastAsia="Times New Roman" w:hAnsi="Times New Roman"/>
          <w:color w:val="000000"/>
          <w:sz w:val="24"/>
          <w:lang w:val="en-US" w:eastAsia="en-US"/>
        </w:rPr>
        <w:t xml:space="preserve"> establishes two different definitions of most relevant market in terms of liquidity respectively for the purpose of the reference price waiver and for the purpose of transaction reporting.</w:t>
      </w:r>
    </w:p>
    <w:p w:rsidR="00D83470" w:rsidRPr="00D83470" w:rsidRDefault="00D83470" w:rsidP="0051548D">
      <w:pPr>
        <w:numPr>
          <w:ilvl w:val="0"/>
          <w:numId w:val="28"/>
        </w:numPr>
        <w:tabs>
          <w:tab w:val="clear" w:pos="720"/>
        </w:tabs>
        <w:spacing w:before="249" w:line="304" w:lineRule="exact"/>
        <w:ind w:right="142" w:hanging="720"/>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The tick size regime only determines the minimum difference between two price </w:t>
      </w:r>
      <w:r w:rsidRPr="00D83470">
        <w:rPr>
          <w:rFonts w:ascii="Times New Roman" w:eastAsia="Times New Roman" w:hAnsi="Times New Roman"/>
          <w:color w:val="000000"/>
          <w:sz w:val="24"/>
          <w:lang w:val="en-US" w:eastAsia="en-US"/>
        </w:rPr>
        <w:br/>
        <w:t>levels of orders sent in relation to a financial instrument in the order-book. As a consequence, it should be applied equally regardless of the currency of the financial instrument.</w:t>
      </w:r>
    </w:p>
    <w:p w:rsidR="00D83470" w:rsidRPr="00D83470" w:rsidRDefault="00D83470" w:rsidP="0051548D">
      <w:pPr>
        <w:numPr>
          <w:ilvl w:val="0"/>
          <w:numId w:val="28"/>
        </w:numPr>
        <w:tabs>
          <w:tab w:val="clear" w:pos="720"/>
        </w:tabs>
        <w:spacing w:before="245" w:after="549" w:line="304" w:lineRule="exact"/>
        <w:ind w:right="142" w:hanging="720"/>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Competent authorities should have the ability to react to events known in advance that </w:t>
      </w:r>
      <w:r w:rsidRPr="00D83470">
        <w:rPr>
          <w:rFonts w:ascii="Times New Roman" w:eastAsia="Times New Roman" w:hAnsi="Times New Roman"/>
          <w:color w:val="000000"/>
          <w:sz w:val="24"/>
          <w:lang w:val="en-US" w:eastAsia="en-US"/>
        </w:rPr>
        <w:br/>
        <w:t>lead to a change in the number of transactions in a financial instrument whereby, as a result, the applicable tick size may no longer be appropriate. To that end, a specific procedure should be set out to avoid disorderly market conditions arising from corporate actions that may cause the tick size of one specific instrument to be unsuitable. That procedure should apply to corporate actions that could affect significantly the liquidity of this instrument including splits, reverse splits, scrip issues, capital repayments, rights issues, entitlement offers, takeovers, mergers and stock conversions. While assessing the impact of a corporate action on a specific financial instrument, competent authorities should take account of any previous corporate actions with similar characteristics.</w:t>
      </w:r>
    </w:p>
    <w:p w:rsidR="00D83470" w:rsidRPr="00D83470" w:rsidRDefault="00D83470" w:rsidP="00D83470">
      <w:pPr>
        <w:spacing w:before="274" w:after="447" w:line="228" w:lineRule="exact"/>
        <w:ind w:left="72"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3360" behindDoc="0" locked="0" layoutInCell="1" allowOverlap="1" wp14:anchorId="5079BDC9" wp14:editId="6972A4B4">
                <wp:simplePos x="0" y="0"/>
                <wp:positionH relativeFrom="page">
                  <wp:posOffset>899160</wp:posOffset>
                </wp:positionH>
                <wp:positionV relativeFrom="page">
                  <wp:posOffset>9089390</wp:posOffset>
                </wp:positionV>
                <wp:extent cx="1832610" cy="0"/>
                <wp:effectExtent l="13335" t="12065" r="11430" b="69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15.7pt" to="215.1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" strokeweight=".95pt">
                <w10:wrap anchorx="page" anchory="page"/>
              </v:line>
            </w:pict>
          </mc:Fallback>
        </mc:AlternateContent>
      </w:r>
      <w:r w:rsidRPr="00D83470">
        <w:rPr>
          <w:rFonts w:ascii="Times New Roman" w:eastAsia="Times New Roman" w:hAnsi="Times New Roman"/>
          <w:color w:val="000000"/>
          <w:sz w:val="13"/>
          <w:vertAlign w:val="superscript"/>
          <w:lang w:val="en-US" w:eastAsia="en-US"/>
        </w:rPr>
        <w:t>2</w:t>
      </w:r>
      <w:r w:rsidRPr="00D83470">
        <w:rPr>
          <w:rFonts w:ascii="Times New Roman" w:eastAsia="Times New Roman" w:hAnsi="Times New Roman"/>
          <w:color w:val="000000"/>
          <w:sz w:val="20"/>
          <w:lang w:val="en-US" w:eastAsia="en-US"/>
        </w:rPr>
        <w:t xml:space="preserve"> Regulation (EU) No 600/2014 of the European Parliament and of the Council of 15 May 2014 on markets in financial instruments and amending Regulation (EU) No 648/2012 (OJ L 173, 12.6.2014, p. 84)</w:t>
      </w:r>
    </w:p>
    <w:p w:rsidR="00D83470" w:rsidRPr="00D83470" w:rsidRDefault="00D83470" w:rsidP="00D83470">
      <w:pPr>
        <w:spacing w:before="1" w:after="287"/>
        <w:ind w:left="120" w:right="8333"/>
        <w:jc w:val="left"/>
        <w:textAlignment w:val="baseline"/>
        <w:rPr>
          <w:rFonts w:ascii="Times New Roman" w:eastAsia="PMingLiU" w:hAnsi="Times New Roman"/>
          <w:lang w:val="en-US" w:eastAsia="en-US"/>
        </w:rPr>
      </w:pPr>
      <w:r w:rsidRPr="00D83470">
        <w:rPr>
          <w:rFonts w:ascii="Times New Roman" w:eastAsia="PMingLiU" w:hAnsi="Times New Roman"/>
          <w:noProof/>
        </w:rPr>
        <w:lastRenderedPageBreak/>
        <w:drawing>
          <wp:inline distT="0" distB="0" distL="0" distR="0" wp14:anchorId="6E2581AD" wp14:editId="2FECC674">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16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D83470" w:rsidRPr="00D83470" w:rsidRDefault="00D83470" w:rsidP="00D83470">
      <w:pPr>
        <w:numPr>
          <w:ilvl w:val="0"/>
          <w:numId w:val="29"/>
        </w:numPr>
        <w:tabs>
          <w:tab w:val="left" w:pos="864"/>
        </w:tabs>
        <w:spacing w:line="303" w:lineRule="exact"/>
        <w:ind w:left="864"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of the European Parliament and of the Council3 applies from 3 January 2017. To ensure consistency and legal certainty, this Regulation should apply from the same date. However, to ensure that the tick size regime can operate effectively from 3 January 2017, and that market participants have sufficient time to implement the new requirements by that date, it is necessary for certain transitional provisions to apply from the date of entry into force of this Regulation. These transitional provisions should enable the collection of data for the calculations and provide for an earlier publication of the average daily number of transactions for each financial instrument covered by this Regulation.</w:t>
      </w:r>
    </w:p>
    <w:p w:rsidR="00D83470" w:rsidRPr="00D83470" w:rsidRDefault="00D83470" w:rsidP="00D83470">
      <w:pPr>
        <w:numPr>
          <w:ilvl w:val="0"/>
          <w:numId w:val="29"/>
        </w:numPr>
        <w:tabs>
          <w:tab w:val="left" w:pos="864"/>
        </w:tabs>
        <w:spacing w:before="252" w:line="304" w:lineRule="exact"/>
        <w:ind w:left="864"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51548D" w:rsidRDefault="00D83470" w:rsidP="0051548D">
      <w:pPr>
        <w:numPr>
          <w:ilvl w:val="0"/>
          <w:numId w:val="29"/>
        </w:numPr>
        <w:tabs>
          <w:tab w:val="left" w:pos="864"/>
        </w:tabs>
        <w:spacing w:before="244" w:line="304" w:lineRule="exact"/>
        <w:ind w:left="864"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D83470">
        <w:rPr>
          <w:rFonts w:ascii="Times New Roman" w:eastAsia="Times New Roman" w:hAnsi="Times New Roman"/>
          <w:color w:val="000000"/>
          <w:sz w:val="24"/>
          <w:vertAlign w:val="superscript"/>
          <w:lang w:val="en-US" w:eastAsia="en-US"/>
        </w:rPr>
        <w:t>4</w:t>
      </w:r>
      <w:r w:rsidRPr="00D83470">
        <w:rPr>
          <w:rFonts w:ascii="Times New Roman" w:eastAsia="Times New Roman" w:hAnsi="Times New Roman"/>
          <w:color w:val="000000"/>
          <w:sz w:val="24"/>
          <w:lang w:val="en-US" w:eastAsia="en-US"/>
        </w:rPr>
        <w:t>,</w:t>
      </w:r>
    </w:p>
    <w:p w:rsidR="00D83470" w:rsidRPr="0051548D" w:rsidRDefault="00D83470" w:rsidP="0051548D">
      <w:pPr>
        <w:tabs>
          <w:tab w:val="left" w:pos="142"/>
        </w:tabs>
        <w:spacing w:before="244" w:line="304" w:lineRule="exact"/>
        <w:ind w:left="142" w:right="144"/>
        <w:jc w:val="left"/>
        <w:textAlignment w:val="baseline"/>
        <w:rPr>
          <w:rFonts w:ascii="Times New Roman" w:eastAsia="Times New Roman" w:hAnsi="Times New Roman"/>
          <w:color w:val="000000"/>
          <w:sz w:val="24"/>
          <w:lang w:val="en-US" w:eastAsia="en-US"/>
        </w:rPr>
      </w:pPr>
      <w:r w:rsidRPr="0051548D">
        <w:rPr>
          <w:rFonts w:ascii="Times New Roman" w:eastAsia="Times New Roman" w:hAnsi="Times New Roman"/>
          <w:color w:val="000000"/>
          <w:spacing w:val="-1"/>
          <w:sz w:val="24"/>
          <w:lang w:val="en-US" w:eastAsia="en-US"/>
        </w:rPr>
        <w:t>HAS ADOPTED THIS REGULATION:</w:t>
      </w:r>
    </w:p>
    <w:p w:rsidR="00D83470" w:rsidRPr="00D83470" w:rsidRDefault="00D83470" w:rsidP="00D83470">
      <w:pPr>
        <w:spacing w:before="428" w:line="427" w:lineRule="exact"/>
        <w:ind w:left="72"/>
        <w:jc w:val="center"/>
        <w:textAlignment w:val="baseline"/>
        <w:rPr>
          <w:rFonts w:ascii="Times New Roman" w:eastAsia="Times New Roman" w:hAnsi="Times New Roman"/>
          <w:i/>
          <w:color w:val="000000"/>
          <w:sz w:val="24"/>
          <w:lang w:val="en-US" w:eastAsia="en-US"/>
        </w:rPr>
      </w:pPr>
      <w:r w:rsidRPr="00D83470">
        <w:rPr>
          <w:rFonts w:ascii="Times New Roman" w:eastAsia="Times New Roman" w:hAnsi="Times New Roman"/>
          <w:i/>
          <w:color w:val="000000"/>
          <w:sz w:val="24"/>
          <w:lang w:val="en-US" w:eastAsia="en-US"/>
        </w:rPr>
        <w:t xml:space="preserve">Article 1 </w:t>
      </w:r>
      <w:r w:rsidRPr="00D83470">
        <w:rPr>
          <w:rFonts w:ascii="Times New Roman" w:eastAsia="Times New Roman" w:hAnsi="Times New Roman"/>
          <w:i/>
          <w:color w:val="000000"/>
          <w:sz w:val="24"/>
          <w:lang w:val="en-US" w:eastAsia="en-US"/>
        </w:rPr>
        <w:br/>
      </w:r>
      <w:r w:rsidRPr="00D83470">
        <w:rPr>
          <w:rFonts w:ascii="Times New Roman" w:eastAsia="Times New Roman" w:hAnsi="Times New Roman"/>
          <w:b/>
          <w:color w:val="000000"/>
          <w:sz w:val="24"/>
          <w:lang w:val="en-US" w:eastAsia="en-US"/>
        </w:rPr>
        <w:t>Definitions</w:t>
      </w:r>
    </w:p>
    <w:p w:rsidR="00D83470" w:rsidRPr="00D83470" w:rsidRDefault="00D83470" w:rsidP="00D83470">
      <w:pPr>
        <w:spacing w:before="272" w:line="273" w:lineRule="exact"/>
        <w:ind w:lef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For the purposes of this Regulation, the following definitions shall apply:</w:t>
      </w:r>
    </w:p>
    <w:p w:rsidR="00D83470" w:rsidRPr="00D83470" w:rsidRDefault="00D83470" w:rsidP="0051548D">
      <w:pPr>
        <w:numPr>
          <w:ilvl w:val="0"/>
          <w:numId w:val="30"/>
        </w:numPr>
        <w:tabs>
          <w:tab w:val="clear" w:pos="720"/>
        </w:tabs>
        <w:spacing w:before="248" w:line="304" w:lineRule="exact"/>
        <w:ind w:left="709"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'most relevant market in terms of liquidity' means the most relevant market in terms of liquidity as defined in Article 4(1)(a) of Regulation (EU) No 600/2014 and specified in Article 4 of Commission Delegated Regulation (EU) No [xxxx/xxxx] [Draft RTS 1 on transparency requirements for equity and equity-like financial instruments];</w:t>
      </w:r>
    </w:p>
    <w:p w:rsidR="00D83470" w:rsidRDefault="00D83470" w:rsidP="0051548D">
      <w:pPr>
        <w:numPr>
          <w:ilvl w:val="0"/>
          <w:numId w:val="30"/>
        </w:numPr>
        <w:tabs>
          <w:tab w:val="clear" w:pos="720"/>
        </w:tabs>
        <w:spacing w:before="252" w:after="341" w:line="304" w:lineRule="exact"/>
        <w:ind w:left="709" w:right="144"/>
        <w:jc w:val="left"/>
        <w:textAlignment w:val="baseline"/>
        <w:rPr>
          <w:rFonts w:ascii="Times New Roman" w:eastAsia="Times New Roman" w:hAnsi="Times New Roman"/>
          <w:color w:val="000000"/>
          <w:spacing w:val="-1"/>
          <w:sz w:val="24"/>
          <w:lang w:val="en-US" w:eastAsia="en-US"/>
        </w:rPr>
      </w:pPr>
      <w:r w:rsidRPr="00D83470">
        <w:rPr>
          <w:rFonts w:ascii="Times New Roman" w:eastAsia="Times New Roman" w:hAnsi="Times New Roman"/>
          <w:color w:val="000000"/>
          <w:spacing w:val="-1"/>
          <w:sz w:val="24"/>
          <w:lang w:val="en-US" w:eastAsia="en-US"/>
        </w:rPr>
        <w:t xml:space="preserve">'liquidity band' means the liquidity range based on the average daily number of </w:t>
      </w:r>
      <w:r w:rsidRPr="00D83470">
        <w:rPr>
          <w:rFonts w:ascii="Times New Roman" w:eastAsia="Times New Roman" w:hAnsi="Times New Roman"/>
          <w:color w:val="000000"/>
          <w:spacing w:val="-1"/>
          <w:sz w:val="24"/>
          <w:lang w:val="en-US" w:eastAsia="en-US"/>
        </w:rPr>
        <w:br/>
        <w:t>transactions for a given financial instrument as set out in the Annex to this Regulation.</w:t>
      </w:r>
    </w:p>
    <w:p w:rsidR="0051548D" w:rsidRPr="00D83470" w:rsidRDefault="0051548D" w:rsidP="0051548D">
      <w:pPr>
        <w:spacing w:before="252" w:after="341" w:line="304" w:lineRule="exact"/>
        <w:ind w:right="144"/>
        <w:jc w:val="left"/>
        <w:textAlignment w:val="baseline"/>
        <w:rPr>
          <w:rFonts w:ascii="Times New Roman" w:eastAsia="Times New Roman" w:hAnsi="Times New Roman"/>
          <w:color w:val="000000"/>
          <w:spacing w:val="-1"/>
          <w:sz w:val="24"/>
          <w:lang w:val="en-US" w:eastAsia="en-US"/>
        </w:rPr>
      </w:pPr>
    </w:p>
    <w:p w:rsidR="00D83470" w:rsidRPr="00D83470" w:rsidRDefault="00D83470" w:rsidP="00D83470">
      <w:pPr>
        <w:spacing w:before="267" w:line="229"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4384" behindDoc="0" locked="0" layoutInCell="1" allowOverlap="1" wp14:anchorId="29862CAE" wp14:editId="1B6CCF34">
                <wp:simplePos x="0" y="0"/>
                <wp:positionH relativeFrom="page">
                  <wp:posOffset>899160</wp:posOffset>
                </wp:positionH>
                <wp:positionV relativeFrom="page">
                  <wp:posOffset>8649970</wp:posOffset>
                </wp:positionV>
                <wp:extent cx="1832610" cy="0"/>
                <wp:effectExtent l="13335" t="10795" r="11430" b="825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81.1pt" to="215.1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mSHgIAADgEAAAOAAAAZHJzL2Uyb0RvYy54bWysU8GO2yAQvVfqPyDuWdtZN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" strokeweight=".7pt">
                <w10:wrap anchorx="page" anchory="page"/>
              </v:line>
            </w:pict>
          </mc:Fallback>
        </mc:AlternateContent>
      </w:r>
      <w:r w:rsidRPr="00D83470">
        <w:rPr>
          <w:rFonts w:ascii="Times New Roman" w:eastAsia="Times New Roman" w:hAnsi="Times New Roman"/>
          <w:color w:val="000000"/>
          <w:sz w:val="13"/>
          <w:vertAlign w:val="superscript"/>
          <w:lang w:val="en-US" w:eastAsia="en-US"/>
        </w:rPr>
        <w:t>3</w:t>
      </w:r>
      <w:r w:rsidRPr="00D83470">
        <w:rPr>
          <w:rFonts w:ascii="Times New Roman" w:eastAsia="Times New Roman" w:hAnsi="Times New Roman"/>
          <w:color w:val="000000"/>
          <w:sz w:val="20"/>
          <w:lang w:val="en-US" w:eastAsia="en-US"/>
        </w:rPr>
        <w:t xml:space="preserve"> Regulation (EU) No 600/2014 of the European Parliament and of the Council of 15 May 2014 on markets in financial instruments and amending Regulation (EU) No 648/2012 (OJ L 173, 12.6.2014, p. 84).</w:t>
      </w:r>
    </w:p>
    <w:p w:rsidR="00D83470" w:rsidRPr="00D83470" w:rsidRDefault="00D83470" w:rsidP="00D83470">
      <w:pPr>
        <w:spacing w:before="8" w:line="229" w:lineRule="exact"/>
        <w:ind w:left="144" w:right="144"/>
        <w:textAlignment w:val="baseline"/>
        <w:rPr>
          <w:rFonts w:ascii="Times New Roman" w:eastAsia="Times New Roman" w:hAnsi="Times New Roman"/>
          <w:color w:val="000000"/>
          <w:sz w:val="13"/>
          <w:vertAlign w:val="superscript"/>
          <w:lang w:val="en-US" w:eastAsia="en-US"/>
        </w:rPr>
      </w:pPr>
      <w:r w:rsidRPr="00D83470">
        <w:rPr>
          <w:rFonts w:ascii="Times New Roman" w:eastAsia="Times New Roman" w:hAnsi="Times New Roman"/>
          <w:color w:val="000000"/>
          <w:sz w:val="13"/>
          <w:vertAlign w:val="superscript"/>
          <w:lang w:val="en-US" w:eastAsia="en-US"/>
        </w:rPr>
        <w:t>4</w:t>
      </w:r>
      <w:r w:rsidRPr="00D83470">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D83470" w:rsidRPr="00D83470" w:rsidRDefault="00D83470" w:rsidP="00D83470">
      <w:pPr>
        <w:jc w:val="left"/>
        <w:rPr>
          <w:rFonts w:ascii="Times New Roman" w:eastAsia="PMingLiU" w:hAnsi="Times New Roman"/>
          <w:lang w:val="en-US" w:eastAsia="en-US"/>
        </w:rPr>
        <w:sectPr w:rsidR="00D83470" w:rsidRPr="00D83470">
          <w:pgSz w:w="11909" w:h="16838"/>
          <w:pgMar w:top="700" w:right="1277" w:bottom="960" w:left="1291" w:header="720" w:footer="720" w:gutter="0"/>
          <w:cols w:space="720"/>
        </w:sectPr>
      </w:pPr>
    </w:p>
    <w:p w:rsidR="0051548D" w:rsidRDefault="0051548D" w:rsidP="00D83470">
      <w:pPr>
        <w:spacing w:before="584" w:line="278" w:lineRule="exact"/>
        <w:jc w:val="center"/>
        <w:textAlignment w:val="baseline"/>
        <w:rPr>
          <w:rFonts w:ascii="Times New Roman" w:eastAsia="Times New Roman" w:hAnsi="Times New Roman"/>
          <w:i/>
          <w:color w:val="000000"/>
          <w:spacing w:val="1"/>
          <w:sz w:val="24"/>
          <w:lang w:val="en-US" w:eastAsia="en-US"/>
        </w:rPr>
      </w:pPr>
    </w:p>
    <w:p w:rsidR="00D83470" w:rsidRPr="00D83470" w:rsidRDefault="00D83470" w:rsidP="00D83470">
      <w:pPr>
        <w:spacing w:before="584" w:line="278" w:lineRule="exact"/>
        <w:jc w:val="center"/>
        <w:textAlignment w:val="baseline"/>
        <w:rPr>
          <w:rFonts w:ascii="Times New Roman" w:eastAsia="Times New Roman" w:hAnsi="Times New Roman"/>
          <w:i/>
          <w:color w:val="000000"/>
          <w:spacing w:val="1"/>
          <w:sz w:val="24"/>
          <w:lang w:val="en-US" w:eastAsia="en-US"/>
        </w:rPr>
      </w:pPr>
      <w:r w:rsidRPr="00D83470">
        <w:rPr>
          <w:rFonts w:ascii="Times New Roman" w:eastAsia="Times New Roman" w:hAnsi="Times New Roman"/>
          <w:i/>
          <w:color w:val="000000"/>
          <w:spacing w:val="1"/>
          <w:sz w:val="24"/>
          <w:lang w:val="en-US" w:eastAsia="en-US"/>
        </w:rPr>
        <w:t>Article 2</w:t>
      </w:r>
    </w:p>
    <w:p w:rsidR="00D83470" w:rsidRPr="00D83470" w:rsidRDefault="00D83470" w:rsidP="00D83470">
      <w:pPr>
        <w:spacing w:before="141" w:line="273" w:lineRule="exact"/>
        <w:jc w:val="center"/>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(Article 49(1) and (2) of Directive 2014/65/EU)</w:t>
      </w:r>
    </w:p>
    <w:p w:rsidR="00D83470" w:rsidRPr="00D83470" w:rsidRDefault="00D83470" w:rsidP="00D83470">
      <w:pPr>
        <w:spacing w:before="163" w:line="275" w:lineRule="exact"/>
        <w:jc w:val="center"/>
        <w:textAlignment w:val="baseline"/>
        <w:rPr>
          <w:rFonts w:ascii="Times New Roman" w:eastAsia="Times New Roman" w:hAnsi="Times New Roman"/>
          <w:b/>
          <w:color w:val="000000"/>
          <w:sz w:val="24"/>
          <w:lang w:val="en-US" w:eastAsia="en-US"/>
        </w:rPr>
      </w:pPr>
      <w:r w:rsidRPr="00D83470">
        <w:rPr>
          <w:rFonts w:ascii="Times New Roman" w:eastAsia="Times New Roman" w:hAnsi="Times New Roman"/>
          <w:b/>
          <w:color w:val="000000"/>
          <w:sz w:val="24"/>
          <w:lang w:val="en-US" w:eastAsia="en-US"/>
        </w:rPr>
        <w:t>Tick size for shares, depositary receipts and exchange-traded funds</w:t>
      </w:r>
    </w:p>
    <w:p w:rsidR="00D83470" w:rsidRPr="00D83470" w:rsidRDefault="00D83470" w:rsidP="00D83470">
      <w:pPr>
        <w:spacing w:before="243" w:line="302"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1. Trading venues shall apply to orders in shares or depositary receipts a tick size which is equal to or greater than the one corresponding to:</w:t>
      </w:r>
    </w:p>
    <w:p w:rsidR="00D83470" w:rsidRPr="00D83470" w:rsidRDefault="00D83470" w:rsidP="00D83470">
      <w:pPr>
        <w:numPr>
          <w:ilvl w:val="0"/>
          <w:numId w:val="31"/>
        </w:numPr>
        <w:tabs>
          <w:tab w:val="left" w:pos="720"/>
        </w:tabs>
        <w:spacing w:before="249" w:line="304" w:lineRule="exact"/>
        <w:ind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the liquidity band in the table in the Annex to this Regulation corresponding with the average daily number of transactions in the most relevant market in terms of liquidity for that instrument;</w:t>
      </w:r>
    </w:p>
    <w:p w:rsidR="00D83470" w:rsidRPr="00D83470" w:rsidRDefault="00D83470" w:rsidP="00D83470">
      <w:pPr>
        <w:numPr>
          <w:ilvl w:val="0"/>
          <w:numId w:val="31"/>
        </w:numPr>
        <w:tabs>
          <w:tab w:val="left" w:pos="720"/>
        </w:tabs>
        <w:spacing w:before="280" w:line="273" w:lineRule="exact"/>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the price range in that liquidity band corresponding to the price of the order.</w:t>
      </w:r>
    </w:p>
    <w:p w:rsidR="00D83470" w:rsidRPr="00D83470" w:rsidRDefault="00D83470" w:rsidP="00D83470">
      <w:pPr>
        <w:spacing w:before="254" w:line="302"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2. By way of derogation from paragraph 1(a), where the most relevant market in terms of liquidity for a share or depositary receipt operates only a periodic auction trading system, trading venues shall apply the liquidity band corresponding to the lowest average daily number of transactions in the table in the Annex.</w:t>
      </w:r>
    </w:p>
    <w:p w:rsidR="00D83470" w:rsidRPr="00D83470" w:rsidRDefault="00D83470" w:rsidP="00D83470">
      <w:pPr>
        <w:spacing w:before="257" w:line="302"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For the purpose of the first subparagraph, a trading system shall be deemed to be a periodic auction trading system where orders are matched on the basis of a periodic auction and of a trading algorithm operated without human intervention.</w:t>
      </w:r>
    </w:p>
    <w:p w:rsidR="00D83470" w:rsidRPr="00D83470" w:rsidRDefault="00D83470" w:rsidP="00D83470">
      <w:pPr>
        <w:spacing w:before="246" w:line="307"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3. Trading venues shall apply to orders in ETFs a tick size which is equal to or greater than the one corresponding to:</w:t>
      </w:r>
    </w:p>
    <w:p w:rsidR="00D83470" w:rsidRPr="00D83470" w:rsidRDefault="00D83470" w:rsidP="00D83470">
      <w:pPr>
        <w:numPr>
          <w:ilvl w:val="0"/>
          <w:numId w:val="32"/>
        </w:numPr>
        <w:tabs>
          <w:tab w:val="left" w:pos="720"/>
        </w:tabs>
        <w:spacing w:before="250" w:line="302" w:lineRule="exact"/>
        <w:ind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the liquidity band in the table in the Annex to this Regulation corresponding with the highest average daily number of transactions;</w:t>
      </w:r>
    </w:p>
    <w:p w:rsidR="00D83470" w:rsidRPr="00D83470" w:rsidRDefault="00D83470" w:rsidP="00D83470">
      <w:pPr>
        <w:numPr>
          <w:ilvl w:val="0"/>
          <w:numId w:val="32"/>
        </w:numPr>
        <w:tabs>
          <w:tab w:val="left" w:pos="720"/>
        </w:tabs>
        <w:spacing w:before="284" w:line="273" w:lineRule="exact"/>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the price range in that liquidity band according to the price of the order.</w:t>
      </w:r>
    </w:p>
    <w:p w:rsidR="00D83470" w:rsidRPr="00D83470" w:rsidRDefault="00D83470" w:rsidP="00D83470">
      <w:pPr>
        <w:spacing w:before="248" w:line="303"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4. The requirements set out in paragraph 3 shall apply only to ETFs having as sole underlying equities or a basket of equities subject to the tick size regime under paragraph 1.</w:t>
      </w:r>
    </w:p>
    <w:p w:rsidR="00D83470" w:rsidRPr="00D83470" w:rsidRDefault="00D83470" w:rsidP="00D83470">
      <w:pPr>
        <w:spacing w:before="470" w:line="278" w:lineRule="exact"/>
        <w:jc w:val="center"/>
        <w:textAlignment w:val="baseline"/>
        <w:rPr>
          <w:rFonts w:ascii="Times New Roman" w:eastAsia="Times New Roman" w:hAnsi="Times New Roman"/>
          <w:i/>
          <w:color w:val="000000"/>
          <w:sz w:val="24"/>
          <w:lang w:val="en-US" w:eastAsia="en-US"/>
        </w:rPr>
      </w:pPr>
      <w:r w:rsidRPr="00D83470">
        <w:rPr>
          <w:rFonts w:ascii="Times New Roman" w:eastAsia="Times New Roman" w:hAnsi="Times New Roman"/>
          <w:i/>
          <w:color w:val="000000"/>
          <w:sz w:val="24"/>
          <w:lang w:val="en-US" w:eastAsia="en-US"/>
        </w:rPr>
        <w:t xml:space="preserve">Article </w:t>
      </w:r>
      <w:r w:rsidRPr="00D83470">
        <w:rPr>
          <w:rFonts w:ascii="Times New Roman" w:eastAsia="Times New Roman" w:hAnsi="Times New Roman"/>
          <w:color w:val="000000"/>
          <w:sz w:val="24"/>
          <w:lang w:val="en-US" w:eastAsia="en-US"/>
        </w:rPr>
        <w:t>3</w:t>
      </w:r>
    </w:p>
    <w:p w:rsidR="00D83470" w:rsidRPr="00D83470" w:rsidRDefault="00D83470" w:rsidP="00D83470">
      <w:pPr>
        <w:spacing w:before="142" w:line="273" w:lineRule="exact"/>
        <w:jc w:val="center"/>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(Article 49(1) and (2) of Directive 2014/65/EU)</w:t>
      </w:r>
    </w:p>
    <w:p w:rsidR="00D83470" w:rsidRPr="00D83470" w:rsidRDefault="00D83470" w:rsidP="00D83470">
      <w:pPr>
        <w:spacing w:before="157" w:line="275" w:lineRule="exact"/>
        <w:jc w:val="center"/>
        <w:textAlignment w:val="baseline"/>
        <w:rPr>
          <w:rFonts w:ascii="Times New Roman" w:eastAsia="Times New Roman" w:hAnsi="Times New Roman"/>
          <w:b/>
          <w:color w:val="000000"/>
          <w:sz w:val="24"/>
          <w:lang w:val="en-US" w:eastAsia="en-US"/>
        </w:rPr>
      </w:pPr>
      <w:r w:rsidRPr="00D83470">
        <w:rPr>
          <w:rFonts w:ascii="Times New Roman" w:eastAsia="Times New Roman" w:hAnsi="Times New Roman"/>
          <w:b/>
          <w:color w:val="000000"/>
          <w:sz w:val="24"/>
          <w:lang w:val="en-US" w:eastAsia="en-US"/>
        </w:rPr>
        <w:t>Average daily number of transactions for shares and depositary receipts</w:t>
      </w:r>
    </w:p>
    <w:p w:rsidR="00D83470" w:rsidRPr="00D83470" w:rsidRDefault="00D83470" w:rsidP="00D83470">
      <w:pPr>
        <w:spacing w:before="242" w:line="303" w:lineRule="exact"/>
        <w:ind w:left="144" w:right="144"/>
        <w:textAlignment w:val="baseline"/>
        <w:rPr>
          <w:rFonts w:ascii="Times New Roman" w:eastAsia="Times New Roman" w:hAnsi="Times New Roman"/>
          <w:b/>
          <w:color w:val="000000"/>
          <w:sz w:val="24"/>
          <w:lang w:val="en-US" w:eastAsia="en-US"/>
        </w:rPr>
      </w:pPr>
      <w:r w:rsidRPr="00D83470">
        <w:rPr>
          <w:rFonts w:ascii="Times New Roman" w:eastAsia="Times New Roman" w:hAnsi="Times New Roman"/>
          <w:b/>
          <w:color w:val="000000"/>
          <w:sz w:val="24"/>
          <w:lang w:val="en-US" w:eastAsia="en-US"/>
        </w:rPr>
        <w:t xml:space="preserve">1. By </w:t>
      </w:r>
      <w:r w:rsidRPr="00D83470">
        <w:rPr>
          <w:rFonts w:ascii="Times New Roman" w:eastAsia="Times New Roman" w:hAnsi="Times New Roman"/>
          <w:color w:val="000000"/>
          <w:sz w:val="24"/>
          <w:lang w:val="en-US" w:eastAsia="en-US"/>
        </w:rPr>
        <w:t>1 March 2018 and by 1 March of each year thereafter, the competent authority for a specific share or depositary receipt shall, when determining the most relevant market in terms of liquidity for that share or depositary receipt also calculate the average daily number of transactions for that financial instrument in that market and ensure the publication of that information.</w:t>
      </w:r>
    </w:p>
    <w:p w:rsidR="00D83470" w:rsidRPr="00D83470" w:rsidRDefault="00D83470" w:rsidP="00D83470">
      <w:pPr>
        <w:jc w:val="left"/>
        <w:rPr>
          <w:rFonts w:ascii="Times New Roman" w:eastAsia="PMingLiU" w:hAnsi="Times New Roman"/>
          <w:lang w:val="en-US" w:eastAsia="en-US"/>
        </w:rPr>
        <w:sectPr w:rsidR="00D83470" w:rsidRPr="00D83470">
          <w:pgSz w:w="11909" w:h="16838"/>
          <w:pgMar w:top="540" w:right="1272" w:bottom="960" w:left="1296" w:header="720" w:footer="720" w:gutter="0"/>
          <w:cols w:space="720"/>
        </w:sectPr>
      </w:pPr>
    </w:p>
    <w:p w:rsidR="0051548D" w:rsidRDefault="0051548D" w:rsidP="0051548D">
      <w:pPr>
        <w:spacing w:before="293" w:line="301" w:lineRule="exact"/>
        <w:ind w:right="144"/>
        <w:textAlignment w:val="baseline"/>
        <w:rPr>
          <w:rFonts w:ascii="Times New Roman" w:eastAsia="Times New Roman" w:hAnsi="Times New Roman"/>
          <w:color w:val="000000"/>
          <w:sz w:val="24"/>
          <w:lang w:val="en-US" w:eastAsia="en-US"/>
        </w:rPr>
      </w:pPr>
    </w:p>
    <w:p w:rsidR="00D83470" w:rsidRPr="00D83470" w:rsidRDefault="00D83470" w:rsidP="0051548D">
      <w:pPr>
        <w:spacing w:before="293" w:line="301" w:lineRule="exact"/>
        <w:ind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The competent authority in the first sub-paragraph shall be the one specified in Article XX of Commission Delegated Regulation (EU) [insert reference to Article 18 of RTS on reporting obligations under Article 26 of MiFIR].</w:t>
      </w:r>
    </w:p>
    <w:p w:rsidR="00D83470" w:rsidRPr="00D83470" w:rsidRDefault="00D83470" w:rsidP="00D83470">
      <w:pPr>
        <w:spacing w:before="286" w:line="273" w:lineRule="exact"/>
        <w:ind w:left="144"/>
        <w:jc w:val="left"/>
        <w:textAlignment w:val="baseline"/>
        <w:rPr>
          <w:rFonts w:ascii="Times New Roman" w:eastAsia="Times New Roman" w:hAnsi="Times New Roman"/>
          <w:color w:val="000000"/>
          <w:spacing w:val="1"/>
          <w:sz w:val="24"/>
          <w:lang w:val="en-US" w:eastAsia="en-US"/>
        </w:rPr>
      </w:pPr>
      <w:r w:rsidRPr="00D83470">
        <w:rPr>
          <w:rFonts w:ascii="Times New Roman" w:eastAsia="Times New Roman" w:hAnsi="Times New Roman"/>
          <w:color w:val="000000"/>
          <w:spacing w:val="1"/>
          <w:sz w:val="24"/>
          <w:lang w:val="en-US" w:eastAsia="en-US"/>
        </w:rPr>
        <w:t>2. The calculation referred to in paragraph 1 shall have the following characteristics:</w:t>
      </w:r>
    </w:p>
    <w:p w:rsidR="00D83470" w:rsidRPr="00D83470" w:rsidRDefault="00D83470" w:rsidP="00D83470">
      <w:pPr>
        <w:numPr>
          <w:ilvl w:val="0"/>
          <w:numId w:val="33"/>
        </w:numPr>
        <w:tabs>
          <w:tab w:val="left" w:pos="648"/>
        </w:tabs>
        <w:spacing w:before="250" w:line="303" w:lineRule="exact"/>
        <w:ind w:left="648"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it shall cover the period in the preceding year beginning on 1 January and ending on 31 December or, where applicable, that part of the year during which the financial instrument was admitted to trading or traded on a trading venue and was not suspended from trading;</w:t>
      </w:r>
    </w:p>
    <w:p w:rsidR="00D83470" w:rsidRPr="00D83470" w:rsidRDefault="00D83470" w:rsidP="00D83470">
      <w:pPr>
        <w:numPr>
          <w:ilvl w:val="0"/>
          <w:numId w:val="33"/>
        </w:numPr>
        <w:tabs>
          <w:tab w:val="left" w:pos="648"/>
        </w:tabs>
        <w:spacing w:before="258" w:line="302" w:lineRule="exact"/>
        <w:ind w:left="648"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it shall include transactions executed under the rules of the relevant trading venue excluding reference price and negotiated transactions as set out in Table 4 of Annex I of [RTS 1 on equity transparency] and transactions executed on the basis of at least one order that has benefitted from a large in scale waiver and where the transactions' size is above the applicable large in scale threshold as determined in accordance with Article 7 of [RTS 1 on equity transparency].</w:t>
      </w:r>
    </w:p>
    <w:p w:rsidR="00D83470" w:rsidRPr="00D83470" w:rsidRDefault="00D83470" w:rsidP="00D83470">
      <w:pPr>
        <w:spacing w:before="255" w:line="303"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This paragraph and paragraph 1 shall not apply to shares and depositary receipts first admitted to trading or traded on a trading venue after 30 November of the preceding year.</w:t>
      </w:r>
    </w:p>
    <w:p w:rsidR="00D83470" w:rsidRPr="00D83470" w:rsidRDefault="00D83470" w:rsidP="00D83470">
      <w:pPr>
        <w:spacing w:before="247" w:line="304"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3. Trading venues shall apply the tick sizes of the liquidity band corresponding to the average daily number of transactions as published in accordance with paragraph 1 from 1 April following that publication.</w:t>
      </w:r>
    </w:p>
    <w:p w:rsidR="00D83470" w:rsidRPr="00D83470" w:rsidRDefault="00D83470" w:rsidP="00D83470">
      <w:pPr>
        <w:spacing w:before="254" w:line="303"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4. Before the first admission to trading or before the first day of trading of a share or depositary receipt, the competent authority of the trading venue where that instrument is to be first admitted to trading or first traded shall estimate and publish the estimate average daily number of transactions for that venue, taking into account the previous trading history of that instrument, where applicable, as well as the trading history of instruments that are considered to have similar characteristics.</w:t>
      </w:r>
    </w:p>
    <w:p w:rsidR="00D83470" w:rsidRPr="00D83470" w:rsidRDefault="00D83470" w:rsidP="00D83470">
      <w:pPr>
        <w:spacing w:before="256" w:line="302"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The tick size of the liquidity band corresponding to that published estimate average daily number of transactions shall apply immediately after the publication of that estimate and until the publication of the average daily number of transactions for that instrument in accordance with paragraph 5.</w:t>
      </w:r>
    </w:p>
    <w:p w:rsidR="00D83470" w:rsidRPr="00D83470" w:rsidRDefault="00D83470" w:rsidP="00D83470">
      <w:pPr>
        <w:spacing w:before="256" w:line="303"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5. No later than six weeks after the share or depositary receipt has started trading, the competent authority of the trading venue where the instrument was first admitted to trading or first traded on a trading venue shall calculate and ensure the publication of the average daily number of transactions in that financial instrument for that venue using the data relating to the first four weeks of trading of that financial instrument.</w:t>
      </w:r>
    </w:p>
    <w:p w:rsidR="00D83470" w:rsidRPr="00D83470" w:rsidRDefault="00D83470" w:rsidP="00D83470">
      <w:pPr>
        <w:spacing w:before="250" w:line="302"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The tick size of the liquidity band corresponding to that published average daily number of transactions shall apply immediately after the publication and continue to apply until a new</w:t>
      </w:r>
    </w:p>
    <w:p w:rsidR="00D83470" w:rsidRPr="00D83470" w:rsidRDefault="00D83470" w:rsidP="00D83470">
      <w:pPr>
        <w:jc w:val="left"/>
        <w:rPr>
          <w:rFonts w:ascii="Times New Roman" w:eastAsia="PMingLiU" w:hAnsi="Times New Roman"/>
          <w:lang w:val="en-US" w:eastAsia="en-US"/>
        </w:rPr>
        <w:sectPr w:rsidR="00D83470" w:rsidRPr="00D83470">
          <w:pgSz w:w="11909" w:h="16838"/>
          <w:pgMar w:top="540" w:right="1269" w:bottom="960" w:left="1299" w:header="720" w:footer="720" w:gutter="0"/>
          <w:cols w:space="720"/>
        </w:sectPr>
      </w:pPr>
    </w:p>
    <w:p w:rsidR="0051548D" w:rsidRDefault="0051548D" w:rsidP="00D83470">
      <w:pPr>
        <w:spacing w:before="293" w:line="302" w:lineRule="exact"/>
        <w:ind w:left="144" w:right="144"/>
        <w:textAlignment w:val="baseline"/>
        <w:rPr>
          <w:rFonts w:ascii="Times New Roman" w:eastAsia="Times New Roman" w:hAnsi="Times New Roman"/>
          <w:color w:val="000000"/>
          <w:sz w:val="24"/>
          <w:lang w:val="en-US" w:eastAsia="en-US"/>
        </w:rPr>
      </w:pPr>
    </w:p>
    <w:p w:rsidR="00D83470" w:rsidRPr="00D83470" w:rsidRDefault="00D83470" w:rsidP="00D83470">
      <w:pPr>
        <w:spacing w:before="293" w:line="302"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average daily number of transactions for that instrument calculated and published in accordance with the procedure set out in paragraphs 1, 2 and 3 applies.</w:t>
      </w:r>
    </w:p>
    <w:p w:rsidR="00D83470" w:rsidRPr="00D83470" w:rsidRDefault="00D83470" w:rsidP="00D83470">
      <w:pPr>
        <w:spacing w:before="248" w:line="304"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6. For the purposes of this Article, the average daily number of transactions for a given financial instrument shall be calculated by dividing, for the relevant time period and the relevant trading venue, the total number of transactions in that instrument by the number of trading days.</w:t>
      </w:r>
    </w:p>
    <w:p w:rsidR="00D83470" w:rsidRPr="00D83470" w:rsidRDefault="00D83470" w:rsidP="00D83470">
      <w:pPr>
        <w:spacing w:before="576" w:line="278" w:lineRule="exact"/>
        <w:jc w:val="center"/>
        <w:textAlignment w:val="baseline"/>
        <w:rPr>
          <w:rFonts w:ascii="Times New Roman" w:eastAsia="Times New Roman" w:hAnsi="Times New Roman"/>
          <w:i/>
          <w:color w:val="000000"/>
          <w:spacing w:val="1"/>
          <w:sz w:val="24"/>
          <w:lang w:val="en-US" w:eastAsia="en-US"/>
        </w:rPr>
      </w:pPr>
      <w:r w:rsidRPr="00D83470">
        <w:rPr>
          <w:rFonts w:ascii="Times New Roman" w:eastAsia="Times New Roman" w:hAnsi="Times New Roman"/>
          <w:i/>
          <w:color w:val="000000"/>
          <w:spacing w:val="1"/>
          <w:sz w:val="24"/>
          <w:lang w:val="en-US" w:eastAsia="en-US"/>
        </w:rPr>
        <w:t>Article 4</w:t>
      </w:r>
    </w:p>
    <w:p w:rsidR="00D83470" w:rsidRPr="00D83470" w:rsidRDefault="00D83470" w:rsidP="00D83470">
      <w:pPr>
        <w:spacing w:line="424" w:lineRule="exact"/>
        <w:jc w:val="center"/>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(Article 49(1) and (2) of Directive 2014/65/EU) </w:t>
      </w:r>
      <w:r w:rsidRPr="00D83470">
        <w:rPr>
          <w:rFonts w:ascii="Times New Roman" w:eastAsia="Times New Roman" w:hAnsi="Times New Roman"/>
          <w:color w:val="000000"/>
          <w:sz w:val="24"/>
          <w:lang w:val="en-US" w:eastAsia="en-US"/>
        </w:rPr>
        <w:br/>
      </w:r>
      <w:r w:rsidRPr="00D83470">
        <w:rPr>
          <w:rFonts w:ascii="Times New Roman" w:eastAsia="Times New Roman" w:hAnsi="Times New Roman"/>
          <w:b/>
          <w:color w:val="000000"/>
          <w:sz w:val="24"/>
          <w:lang w:val="en-US" w:eastAsia="en-US"/>
        </w:rPr>
        <w:t>Corporate actions</w:t>
      </w:r>
    </w:p>
    <w:p w:rsidR="00D83470" w:rsidRPr="00D83470" w:rsidRDefault="00D83470" w:rsidP="00D83470">
      <w:pPr>
        <w:spacing w:before="242" w:line="304"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Where a competent authority considers that a corporate action may modify the average daily number of transactions of a particular financial instrument such that this financial instrument falls within a different liquidity band, the competent authority shall determine and make public a new applicable liquidity band for that financial instrument treating it as if it were first admitted to trading or first traded on a trading venue and apply the procedure set out in Article 3(4) and (5).</w:t>
      </w:r>
    </w:p>
    <w:p w:rsidR="00D83470" w:rsidRPr="00D83470" w:rsidRDefault="00D83470" w:rsidP="00D83470">
      <w:pPr>
        <w:spacing w:before="700" w:line="278" w:lineRule="exact"/>
        <w:jc w:val="center"/>
        <w:textAlignment w:val="baseline"/>
        <w:rPr>
          <w:rFonts w:ascii="Times New Roman" w:eastAsia="Times New Roman" w:hAnsi="Times New Roman"/>
          <w:i/>
          <w:color w:val="000000"/>
          <w:spacing w:val="1"/>
          <w:sz w:val="24"/>
          <w:lang w:val="en-US" w:eastAsia="en-US"/>
        </w:rPr>
      </w:pPr>
      <w:r w:rsidRPr="00D83470">
        <w:rPr>
          <w:rFonts w:ascii="Times New Roman" w:eastAsia="Times New Roman" w:hAnsi="Times New Roman"/>
          <w:i/>
          <w:color w:val="000000"/>
          <w:spacing w:val="1"/>
          <w:sz w:val="24"/>
          <w:lang w:val="en-US" w:eastAsia="en-US"/>
        </w:rPr>
        <w:t>Article 5</w:t>
      </w:r>
    </w:p>
    <w:p w:rsidR="00D83470" w:rsidRPr="00D83470" w:rsidRDefault="00D83470" w:rsidP="00D83470">
      <w:pPr>
        <w:spacing w:before="152" w:line="276" w:lineRule="exact"/>
        <w:jc w:val="center"/>
        <w:textAlignment w:val="baseline"/>
        <w:rPr>
          <w:rFonts w:ascii="Times New Roman" w:eastAsia="Times New Roman" w:hAnsi="Times New Roman"/>
          <w:b/>
          <w:color w:val="000000"/>
          <w:sz w:val="24"/>
          <w:lang w:val="en-US" w:eastAsia="en-US"/>
        </w:rPr>
      </w:pPr>
      <w:r w:rsidRPr="00D83470">
        <w:rPr>
          <w:rFonts w:ascii="Times New Roman" w:eastAsia="Times New Roman" w:hAnsi="Times New Roman"/>
          <w:b/>
          <w:color w:val="000000"/>
          <w:sz w:val="24"/>
          <w:lang w:val="en-US" w:eastAsia="en-US"/>
        </w:rPr>
        <w:t>Transitional provisions</w:t>
      </w:r>
    </w:p>
    <w:p w:rsidR="00D83470" w:rsidRPr="00D83470" w:rsidRDefault="00D83470" w:rsidP="00D83470">
      <w:pPr>
        <w:spacing w:before="246" w:line="303" w:lineRule="exact"/>
        <w:ind w:left="144"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1. The competent authority of the trading venue where a share or depositary receipt was first admitted to trading or traded for first time shall collect the necessary data, calculate and ensure the publication of the average daily number of transactions for that financial instrument and for that trading venue:</w:t>
      </w:r>
    </w:p>
    <w:p w:rsidR="00D83470" w:rsidRPr="00D83470" w:rsidRDefault="00D83470" w:rsidP="00D83470">
      <w:pPr>
        <w:numPr>
          <w:ilvl w:val="0"/>
          <w:numId w:val="34"/>
        </w:numPr>
        <w:tabs>
          <w:tab w:val="clear" w:pos="360"/>
          <w:tab w:val="left" w:pos="648"/>
        </w:tabs>
        <w:spacing w:before="252" w:line="302" w:lineRule="exact"/>
        <w:ind w:left="648"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by 1 December 2016 for financial instruments traded for the first time on a trading venue before 21 October 2016;</w:t>
      </w:r>
    </w:p>
    <w:p w:rsidR="00D83470" w:rsidRPr="00D83470" w:rsidRDefault="00D83470" w:rsidP="00D83470">
      <w:pPr>
        <w:numPr>
          <w:ilvl w:val="0"/>
          <w:numId w:val="34"/>
        </w:numPr>
        <w:tabs>
          <w:tab w:val="clear" w:pos="360"/>
          <w:tab w:val="left" w:pos="648"/>
        </w:tabs>
        <w:spacing w:before="245" w:line="307" w:lineRule="exact"/>
        <w:ind w:left="648"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by 3 January 2017 for financial instruments traded for the first time on a trading venue between 21 October 2016 and 2 January 2017.</w:t>
      </w:r>
    </w:p>
    <w:p w:rsidR="00D83470" w:rsidRPr="00D83470" w:rsidRDefault="00D83470" w:rsidP="00D83470">
      <w:pPr>
        <w:spacing w:before="278" w:line="273" w:lineRule="exact"/>
        <w:ind w:left="144"/>
        <w:jc w:val="left"/>
        <w:textAlignment w:val="baseline"/>
        <w:rPr>
          <w:rFonts w:ascii="Times New Roman" w:eastAsia="Times New Roman" w:hAnsi="Times New Roman"/>
          <w:color w:val="000000"/>
          <w:spacing w:val="1"/>
          <w:sz w:val="24"/>
          <w:lang w:val="en-US" w:eastAsia="en-US"/>
        </w:rPr>
      </w:pPr>
      <w:r w:rsidRPr="00D83470">
        <w:rPr>
          <w:rFonts w:ascii="Times New Roman" w:eastAsia="Times New Roman" w:hAnsi="Times New Roman"/>
          <w:color w:val="000000"/>
          <w:spacing w:val="1"/>
          <w:sz w:val="24"/>
          <w:lang w:val="en-US" w:eastAsia="en-US"/>
        </w:rPr>
        <w:t>2. The calculations referred to in paragraph 1 shall be based on:</w:t>
      </w:r>
    </w:p>
    <w:p w:rsidR="00D83470" w:rsidRPr="00D83470" w:rsidRDefault="00D83470" w:rsidP="00D83470">
      <w:pPr>
        <w:numPr>
          <w:ilvl w:val="0"/>
          <w:numId w:val="35"/>
        </w:numPr>
        <w:tabs>
          <w:tab w:val="left" w:pos="648"/>
        </w:tabs>
        <w:spacing w:before="247" w:line="305" w:lineRule="exact"/>
        <w:ind w:left="648"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available data for the period from 1 January 2016 to 30 September 2016 for financial instruments first admitted to trading or traded for first time on a trading venue before 1 September 2016;</w:t>
      </w:r>
    </w:p>
    <w:p w:rsidR="00D83470" w:rsidRPr="00D83470" w:rsidRDefault="00D83470" w:rsidP="00D83470">
      <w:pPr>
        <w:numPr>
          <w:ilvl w:val="0"/>
          <w:numId w:val="35"/>
        </w:numPr>
        <w:tabs>
          <w:tab w:val="left" w:pos="648"/>
        </w:tabs>
        <w:spacing w:before="252" w:line="303" w:lineRule="exact"/>
        <w:ind w:left="648" w:right="144"/>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available data for the first four weeks of trading for </w:t>
      </w:r>
      <w:r w:rsidR="0051548D">
        <w:rPr>
          <w:rFonts w:ascii="Times New Roman" w:eastAsia="Times New Roman" w:hAnsi="Times New Roman"/>
          <w:color w:val="000000"/>
          <w:sz w:val="24"/>
          <w:lang w:val="en-US" w:eastAsia="en-US"/>
        </w:rPr>
        <w:t>financial</w:t>
      </w:r>
      <w:r w:rsidRPr="00D83470">
        <w:rPr>
          <w:rFonts w:ascii="Times New Roman" w:eastAsia="Times New Roman" w:hAnsi="Times New Roman"/>
          <w:color w:val="000000"/>
          <w:sz w:val="24"/>
          <w:lang w:val="en-US" w:eastAsia="en-US"/>
        </w:rPr>
        <w:t xml:space="preserve"> instruments first admitted to trading or traded for first time on a trading venue between 1 September 2016 and 20 October 2016;</w:t>
      </w:r>
    </w:p>
    <w:p w:rsidR="00D83470" w:rsidRPr="00D83470" w:rsidRDefault="00D83470" w:rsidP="00D83470">
      <w:pPr>
        <w:jc w:val="left"/>
        <w:rPr>
          <w:rFonts w:ascii="Times New Roman" w:eastAsia="PMingLiU" w:hAnsi="Times New Roman"/>
          <w:lang w:val="en-US" w:eastAsia="en-US"/>
        </w:rPr>
        <w:sectPr w:rsidR="00D83470" w:rsidRPr="00D83470">
          <w:pgSz w:w="11909" w:h="16838"/>
          <w:pgMar w:top="540" w:right="1274" w:bottom="960" w:left="1294" w:header="720" w:footer="720" w:gutter="0"/>
          <w:cols w:space="720"/>
        </w:sectPr>
      </w:pPr>
    </w:p>
    <w:p w:rsidR="0051548D" w:rsidRDefault="0051548D" w:rsidP="00D83470">
      <w:pPr>
        <w:spacing w:before="289" w:line="304" w:lineRule="exact"/>
        <w:ind w:left="648" w:right="144" w:hanging="360"/>
        <w:textAlignment w:val="baseline"/>
        <w:rPr>
          <w:rFonts w:ascii="Times New Roman" w:eastAsia="Times New Roman" w:hAnsi="Times New Roman"/>
          <w:color w:val="000000"/>
          <w:sz w:val="24"/>
          <w:lang w:val="en-US" w:eastAsia="en-US"/>
        </w:rPr>
      </w:pPr>
    </w:p>
    <w:p w:rsidR="00D83470" w:rsidRPr="00D83470" w:rsidRDefault="0051548D" w:rsidP="00D83470">
      <w:pPr>
        <w:spacing w:before="289" w:line="304" w:lineRule="exact"/>
        <w:ind w:left="648" w:right="144" w:hanging="360"/>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 </w:t>
      </w:r>
      <w:r w:rsidR="00D83470" w:rsidRPr="00D83470">
        <w:rPr>
          <w:rFonts w:ascii="Times New Roman" w:eastAsia="Times New Roman" w:hAnsi="Times New Roman"/>
          <w:color w:val="000000"/>
          <w:sz w:val="24"/>
          <w:lang w:val="en-US" w:eastAsia="en-US"/>
        </w:rPr>
        <w:t>(c) previous trading history of that financial instrument or of other financial instruments considered to have similar characteristics for financial instruments first admitted to trading or traded for first time in the Union between 21 October 2016 and 2 January 2017.</w:t>
      </w:r>
    </w:p>
    <w:p w:rsidR="00D83470" w:rsidRPr="00D83470" w:rsidRDefault="00D83470" w:rsidP="00D83470">
      <w:pPr>
        <w:spacing w:before="243" w:line="304" w:lineRule="exact"/>
        <w:ind w:left="72"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3. The tick sizes of the liquidity band corresponding to that published average daily number of transactions shall apply from 3 January 2017 to 31 March 2018. During that period, competent authorities shall ensure for financial instruments referred to under points (b) and (c) of paragraph 2 and for which they are the competent authority that those tick sizes do not contribute to disorderly trading conditions. Where a competent authority identifies a risk for the orderly functioning of the markets for such an instrument, it shall determine and make public an updated average daily number of transactions for that financial instrument to address that risk on the basis of longer and more comprehensive trading history data for that instrument. Trading venues shall apply the liquidity band corresponding to this updated average daily number of transactions immediately and until 1 April 2018 or any further publication by the competent authority in accordance with this paragraph.</w:t>
      </w:r>
    </w:p>
    <w:p w:rsidR="00D83470" w:rsidRPr="00D83470" w:rsidRDefault="00D83470" w:rsidP="00D83470">
      <w:pPr>
        <w:spacing w:before="576" w:line="272" w:lineRule="exact"/>
        <w:ind w:left="72"/>
        <w:jc w:val="center"/>
        <w:textAlignment w:val="baseline"/>
        <w:rPr>
          <w:rFonts w:ascii="Times New Roman" w:eastAsia="Times New Roman" w:hAnsi="Times New Roman"/>
          <w:i/>
          <w:color w:val="000000"/>
          <w:spacing w:val="2"/>
          <w:sz w:val="24"/>
          <w:lang w:val="en-US" w:eastAsia="en-US"/>
        </w:rPr>
      </w:pPr>
      <w:r w:rsidRPr="00D83470">
        <w:rPr>
          <w:rFonts w:ascii="Times New Roman" w:eastAsia="Times New Roman" w:hAnsi="Times New Roman"/>
          <w:i/>
          <w:color w:val="000000"/>
          <w:spacing w:val="2"/>
          <w:sz w:val="24"/>
          <w:lang w:val="en-US" w:eastAsia="en-US"/>
        </w:rPr>
        <w:t>Article 6</w:t>
      </w:r>
    </w:p>
    <w:p w:rsidR="00D83470" w:rsidRPr="00D83470" w:rsidRDefault="00D83470" w:rsidP="00D83470">
      <w:pPr>
        <w:spacing w:before="153" w:line="275" w:lineRule="exact"/>
        <w:ind w:left="72"/>
        <w:jc w:val="center"/>
        <w:textAlignment w:val="baseline"/>
        <w:rPr>
          <w:rFonts w:ascii="Times New Roman" w:eastAsia="Times New Roman" w:hAnsi="Times New Roman"/>
          <w:b/>
          <w:color w:val="000000"/>
          <w:sz w:val="24"/>
          <w:lang w:val="en-US" w:eastAsia="en-US"/>
        </w:rPr>
      </w:pPr>
      <w:r w:rsidRPr="00D83470">
        <w:rPr>
          <w:rFonts w:ascii="Times New Roman" w:eastAsia="Times New Roman" w:hAnsi="Times New Roman"/>
          <w:b/>
          <w:color w:val="000000"/>
          <w:sz w:val="24"/>
          <w:lang w:val="en-US" w:eastAsia="en-US"/>
        </w:rPr>
        <w:t>Entry into force and application</w:t>
      </w:r>
    </w:p>
    <w:p w:rsidR="00D83470" w:rsidRPr="00D83470" w:rsidRDefault="00D83470" w:rsidP="00D83470">
      <w:pPr>
        <w:spacing w:before="247" w:line="304" w:lineRule="exact"/>
        <w:ind w:left="72"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 xml:space="preserve">This Regulation shall enter into force on the twentieth day following that of its publication in the </w:t>
      </w:r>
      <w:r w:rsidRPr="00D83470">
        <w:rPr>
          <w:rFonts w:ascii="Times New Roman" w:eastAsia="Times New Roman" w:hAnsi="Times New Roman"/>
          <w:i/>
          <w:color w:val="000000"/>
          <w:sz w:val="24"/>
          <w:lang w:val="en-US" w:eastAsia="en-US"/>
        </w:rPr>
        <w:t>Official Journal of the European Union.</w:t>
      </w:r>
    </w:p>
    <w:p w:rsidR="00D83470" w:rsidRPr="00D83470" w:rsidRDefault="00D83470" w:rsidP="00D83470">
      <w:pPr>
        <w:spacing w:before="246" w:line="304" w:lineRule="exact"/>
        <w:ind w:left="72" w:right="144"/>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It shall apply from 3 January 2017, except Article 5 which shall apply immediately following the entry into force of this Regulation.</w:t>
      </w:r>
    </w:p>
    <w:p w:rsidR="00D83470" w:rsidRPr="00D83470" w:rsidRDefault="00D83470" w:rsidP="00D83470">
      <w:pPr>
        <w:spacing w:before="136" w:line="419" w:lineRule="exact"/>
        <w:ind w:left="72" w:right="360"/>
        <w:jc w:val="left"/>
        <w:textAlignment w:val="baseline"/>
        <w:rPr>
          <w:rFonts w:ascii="Times New Roman" w:eastAsia="Times New Roman" w:hAnsi="Times New Roman"/>
          <w:color w:val="000000"/>
          <w:sz w:val="24"/>
          <w:lang w:val="en-US" w:eastAsia="en-US"/>
        </w:rPr>
      </w:pPr>
      <w:r w:rsidRPr="00D83470">
        <w:rPr>
          <w:rFonts w:ascii="Times New Roman" w:eastAsia="Times New Roman" w:hAnsi="Times New Roman"/>
          <w:color w:val="000000"/>
          <w:sz w:val="24"/>
          <w:lang w:val="en-US" w:eastAsia="en-US"/>
        </w:rPr>
        <w:t>This Regulation shall be binding in its entirety and directly applicable in all Member States. Done at Brussels,</w:t>
      </w:r>
    </w:p>
    <w:p w:rsidR="00D83470" w:rsidRPr="00D83470" w:rsidRDefault="00D83470" w:rsidP="00D83470">
      <w:pPr>
        <w:spacing w:before="728" w:line="271" w:lineRule="exact"/>
        <w:ind w:left="4392" w:right="3024"/>
        <w:jc w:val="left"/>
        <w:textAlignment w:val="baseline"/>
        <w:rPr>
          <w:rFonts w:ascii="Times New Roman" w:eastAsia="Times New Roman" w:hAnsi="Times New Roman"/>
          <w:i/>
          <w:color w:val="000000"/>
          <w:spacing w:val="-4"/>
          <w:sz w:val="24"/>
          <w:lang w:val="en-US" w:eastAsia="en-US"/>
        </w:rPr>
      </w:pPr>
      <w:r w:rsidRPr="00D83470">
        <w:rPr>
          <w:rFonts w:ascii="Times New Roman" w:eastAsia="Times New Roman" w:hAnsi="Times New Roman"/>
          <w:i/>
          <w:color w:val="000000"/>
          <w:spacing w:val="-4"/>
          <w:sz w:val="24"/>
          <w:lang w:val="en-US" w:eastAsia="en-US"/>
        </w:rPr>
        <w:t>For the Commission The President</w:t>
      </w:r>
    </w:p>
    <w:p w:rsidR="00D83470" w:rsidRPr="00D83470" w:rsidRDefault="00D83470" w:rsidP="00D83470">
      <w:pPr>
        <w:spacing w:before="1002" w:line="272" w:lineRule="exact"/>
        <w:ind w:left="4392"/>
        <w:jc w:val="left"/>
        <w:textAlignment w:val="baseline"/>
        <w:rPr>
          <w:rFonts w:ascii="Times New Roman" w:eastAsia="Times New Roman" w:hAnsi="Times New Roman"/>
          <w:i/>
          <w:color w:val="000000"/>
          <w:sz w:val="24"/>
          <w:lang w:val="en-US" w:eastAsia="en-US"/>
        </w:rPr>
      </w:pPr>
      <w:r w:rsidRPr="00D83470">
        <w:rPr>
          <w:rFonts w:ascii="Times New Roman" w:eastAsia="Times New Roman" w:hAnsi="Times New Roman"/>
          <w:i/>
          <w:color w:val="000000"/>
          <w:sz w:val="24"/>
          <w:lang w:val="en-US" w:eastAsia="en-US"/>
        </w:rPr>
        <w:t>[For the Commission</w:t>
      </w:r>
    </w:p>
    <w:p w:rsidR="00D83470" w:rsidRPr="00D83470" w:rsidRDefault="00D83470" w:rsidP="00D83470">
      <w:pPr>
        <w:spacing w:before="7" w:line="272" w:lineRule="exact"/>
        <w:ind w:left="4392"/>
        <w:jc w:val="left"/>
        <w:textAlignment w:val="baseline"/>
        <w:rPr>
          <w:rFonts w:ascii="Times New Roman" w:eastAsia="Times New Roman" w:hAnsi="Times New Roman"/>
          <w:i/>
          <w:color w:val="000000"/>
          <w:sz w:val="24"/>
          <w:lang w:val="en-US" w:eastAsia="en-US"/>
        </w:rPr>
      </w:pPr>
      <w:r w:rsidRPr="00D83470">
        <w:rPr>
          <w:rFonts w:ascii="Times New Roman" w:eastAsia="Times New Roman" w:hAnsi="Times New Roman"/>
          <w:i/>
          <w:color w:val="000000"/>
          <w:sz w:val="24"/>
          <w:lang w:val="en-US" w:eastAsia="en-US"/>
        </w:rPr>
        <w:t>On behalf of the President</w:t>
      </w:r>
    </w:p>
    <w:p w:rsidR="00D83470" w:rsidRPr="00D83470" w:rsidRDefault="00D83470" w:rsidP="00D83470">
      <w:pPr>
        <w:spacing w:before="279" w:line="272" w:lineRule="exact"/>
        <w:ind w:left="4392"/>
        <w:jc w:val="left"/>
        <w:textAlignment w:val="baseline"/>
        <w:rPr>
          <w:rFonts w:ascii="Times New Roman" w:eastAsia="Times New Roman" w:hAnsi="Times New Roman"/>
          <w:i/>
          <w:color w:val="000000"/>
          <w:spacing w:val="-1"/>
          <w:sz w:val="24"/>
          <w:lang w:val="en-US" w:eastAsia="en-US"/>
        </w:rPr>
      </w:pPr>
      <w:r w:rsidRPr="00D83470">
        <w:rPr>
          <w:rFonts w:ascii="Times New Roman" w:eastAsia="Times New Roman" w:hAnsi="Times New Roman"/>
          <w:i/>
          <w:color w:val="000000"/>
          <w:spacing w:val="-1"/>
          <w:sz w:val="24"/>
          <w:lang w:val="en-US" w:eastAsia="en-US"/>
        </w:rPr>
        <w:t>[Position]</w:t>
      </w:r>
    </w:p>
    <w:p w:rsidR="00D83470" w:rsidRPr="00D83470" w:rsidRDefault="00D83470" w:rsidP="00D83470">
      <w:pPr>
        <w:jc w:val="left"/>
        <w:rPr>
          <w:rFonts w:ascii="Times New Roman" w:eastAsia="PMingLiU" w:hAnsi="Times New Roman"/>
          <w:lang w:val="en-US" w:eastAsia="en-US"/>
        </w:rPr>
        <w:sectPr w:rsidR="00D83470" w:rsidRPr="00D83470">
          <w:pgSz w:w="11909" w:h="16838"/>
          <w:pgMar w:top="540" w:right="1284" w:bottom="960" w:left="1284" w:header="720" w:footer="720" w:gutter="0"/>
          <w:cols w:space="720"/>
        </w:sectPr>
      </w:pPr>
    </w:p>
    <w:p w:rsidR="0051548D" w:rsidRDefault="00D83470" w:rsidP="0051548D">
      <w:pPr>
        <w:spacing w:before="23" w:line="248" w:lineRule="exact"/>
        <w:ind w:left="360"/>
        <w:jc w:val="left"/>
        <w:textAlignment w:val="baseline"/>
        <w:rPr>
          <w:rFonts w:ascii="Garamond" w:eastAsia="Garamond" w:hAnsi="Garamond"/>
          <w:b/>
          <w:color w:val="6177A8"/>
          <w:spacing w:val="1"/>
          <w:sz w:val="18"/>
          <w:vertAlign w:val="subscript"/>
          <w:lang w:val="en-US" w:eastAsia="en-US"/>
        </w:rPr>
      </w:pPr>
      <w:r>
        <w:rPr>
          <w:rFonts w:ascii="Times New Roman" w:eastAsia="PMingLiU" w:hAnsi="Times New Roman"/>
          <w:noProof/>
        </w:rPr>
        <w:lastRenderedPageBreak/>
        <mc:AlternateContent>
          <mc:Choice Requires="wps">
            <w:drawing>
              <wp:anchor distT="0" distB="0" distL="0" distR="0" simplePos="0" relativeHeight="251696128" behindDoc="1"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1" type="#_x0000_t202" style="position:absolute;left:0;text-align:left;margin-left:67.55pt;margin-top:774.1pt;width:39.9pt;height:27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aY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zBMWmLICAACw&#10;BQAADgAAAAAAAAAAAAAAAAAuAgAAZHJzL2Uyb0RvYy54bWxQSwECLQAUAAYACAAAACEAPpXU6OIA&#10;AAANAQAADwAAAAAAAAAAAAAAAAAMBQAAZHJzL2Rvd25yZXYueG1sUEsFBgAAAAAEAAQA8wAAABsG&#10;AAAAAA==&#10;" filled="f" stroked="f">
                <v:textbox inset="0,0,0,0">
                  <w:txbxContent>
                    <w:p w:rsidR="00D83470" w:rsidRDefault="00D83470" w:rsidP="00D8347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7152" behindDoc="1" locked="0" layoutInCell="1" allowOverlap="1">
                <wp:simplePos x="0" y="0"/>
                <wp:positionH relativeFrom="page">
                  <wp:posOffset>3609975</wp:posOffset>
                </wp:positionH>
                <wp:positionV relativeFrom="page">
                  <wp:posOffset>9956165</wp:posOffset>
                </wp:positionV>
                <wp:extent cx="342265" cy="193040"/>
                <wp:effectExtent l="0" t="2540" r="635" b="44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before="13" w:line="277" w:lineRule="exact"/>
                              <w:textAlignment w:val="baseline"/>
                              <w:rPr>
                                <w:rFonts w:ascii="Garamond" w:eastAsia="Garamond" w:hAnsi="Garamond"/>
                                <w:color w:val="000000"/>
                                <w:spacing w:val="11"/>
                                <w:sz w:val="27"/>
                              </w:rPr>
                            </w:pPr>
                            <w:r>
                              <w:rPr>
                                <w:rFonts w:ascii="Garamond" w:eastAsia="Garamond" w:hAnsi="Garamond"/>
                                <w:color w:val="000000"/>
                                <w:spacing w:val="11"/>
                                <w:sz w:val="27"/>
                              </w:rPr>
                              <w:t>308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2" type="#_x0000_t202" style="position:absolute;left:0;text-align:left;margin-left:284.25pt;margin-top:783.95pt;width:26.95pt;height:15.2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" filled="f" stroked="f">
                <v:textbox inset="0,0,0,0">
                  <w:txbxContent>
                    <w:p w:rsidR="00D83470" w:rsidRDefault="00D83470" w:rsidP="00D83470">
                      <w:pPr>
                        <w:spacing w:before="13" w:line="277" w:lineRule="exact"/>
                        <w:textAlignment w:val="baseline"/>
                        <w:rPr>
                          <w:rFonts w:ascii="Garamond" w:eastAsia="Garamond" w:hAnsi="Garamond"/>
                          <w:color w:val="000000"/>
                          <w:spacing w:val="11"/>
                          <w:sz w:val="27"/>
                        </w:rPr>
                      </w:pPr>
                      <w:r>
                        <w:rPr>
                          <w:rFonts w:ascii="Garamond" w:eastAsia="Garamond" w:hAnsi="Garamond"/>
                          <w:color w:val="000000"/>
                          <w:spacing w:val="11"/>
                          <w:sz w:val="27"/>
                        </w:rPr>
                        <w:t>308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8176" behindDoc="1"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470" w:rsidRDefault="00D83470" w:rsidP="00D8347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3" type="#_x0000_t202" style="position:absolute;left:0;text-align:left;margin-left:487.75pt;margin-top:774.1pt;width:39.9pt;height:27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3asgIAALA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Bpr92rICAACw&#10;BQAADgAAAAAAAAAAAAAAAAAuAgAAZHJzL2Uyb0RvYy54bWxQSwECLQAUAAYACAAAACEA028a8eIA&#10;AAAOAQAADwAAAAAAAAAAAAAAAAAMBQAAZHJzL2Rvd25yZXYueG1sUEsFBgAAAAAEAAQA8wAAABsG&#10;AAAAAA==&#10;" filled="f" stroked="f">
                <v:textbox inset="0,0,0,0">
                  <w:txbxContent>
                    <w:p w:rsidR="00D83470" w:rsidRDefault="00D83470" w:rsidP="00D8347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D83470" w:rsidRPr="00D83470" w:rsidRDefault="00D83470" w:rsidP="0051548D">
      <w:pPr>
        <w:spacing w:before="23" w:line="248" w:lineRule="exact"/>
        <w:ind w:left="360"/>
        <w:jc w:val="left"/>
        <w:textAlignment w:val="baseline"/>
        <w:rPr>
          <w:rFonts w:ascii="Garamond" w:eastAsia="Garamond" w:hAnsi="Garamond"/>
          <w:color w:val="6177A8"/>
          <w:lang w:val="en-US" w:eastAsia="en-US"/>
        </w:rPr>
      </w:pPr>
    </w:p>
    <w:p w:rsidR="00D83470" w:rsidRPr="00D83470" w:rsidRDefault="00D83470" w:rsidP="00D83470">
      <w:pPr>
        <w:spacing w:before="398" w:line="367" w:lineRule="exact"/>
        <w:ind w:left="144"/>
        <w:jc w:val="left"/>
        <w:textAlignment w:val="baseline"/>
        <w:rPr>
          <w:rFonts w:ascii="Garamond" w:eastAsia="Garamond" w:hAnsi="Garamond"/>
          <w:b/>
          <w:color w:val="000000"/>
          <w:spacing w:val="24"/>
          <w:w w:val="85"/>
          <w:sz w:val="32"/>
          <w:lang w:val="en-US" w:eastAsia="en-US"/>
        </w:rPr>
      </w:pPr>
      <w:r w:rsidRPr="00D83470">
        <w:rPr>
          <w:rFonts w:ascii="Garamond" w:eastAsia="Garamond" w:hAnsi="Garamond"/>
          <w:b/>
          <w:color w:val="000000"/>
          <w:spacing w:val="24"/>
          <w:w w:val="85"/>
          <w:sz w:val="32"/>
          <w:lang w:val="en-US" w:eastAsia="en-US"/>
        </w:rPr>
        <w:t>Annex</w:t>
      </w:r>
    </w:p>
    <w:p w:rsidR="00D83470" w:rsidRPr="00D83470" w:rsidRDefault="00D83470" w:rsidP="00D83470">
      <w:pPr>
        <w:spacing w:before="157" w:after="120" w:line="268" w:lineRule="exact"/>
        <w:jc w:val="center"/>
        <w:textAlignment w:val="baseline"/>
        <w:rPr>
          <w:rFonts w:ascii="Garamond" w:eastAsia="Garamond" w:hAnsi="Garamond"/>
          <w:b/>
          <w:color w:val="000000"/>
          <w:spacing w:val="6"/>
          <w:lang w:val="en-US" w:eastAsia="en-US"/>
        </w:rPr>
      </w:pPr>
      <w:r w:rsidRPr="00D83470">
        <w:rPr>
          <w:rFonts w:ascii="Garamond" w:eastAsia="Garamond" w:hAnsi="Garamond"/>
          <w:b/>
          <w:color w:val="000000"/>
          <w:spacing w:val="6"/>
          <w:lang w:val="en-US" w:eastAsia="en-US"/>
        </w:rPr>
        <w:t>Tick Size Table</w:t>
      </w:r>
    </w:p>
    <w:tbl>
      <w:tblPr>
        <w:tblW w:w="0" w:type="auto"/>
        <w:tblInd w:w="6" w:type="dxa"/>
        <w:tblLayout w:type="fixed"/>
        <w:tblCellMar>
          <w:left w:w="0" w:type="dxa"/>
          <w:right w:w="0" w:type="dxa"/>
        </w:tblCellMar>
        <w:tblLook w:val="04A0" w:firstRow="1" w:lastRow="0" w:firstColumn="1" w:lastColumn="0" w:noHBand="0" w:noVBand="1"/>
      </w:tblPr>
      <w:tblGrid>
        <w:gridCol w:w="1872"/>
        <w:gridCol w:w="1253"/>
        <w:gridCol w:w="1248"/>
        <w:gridCol w:w="1248"/>
        <w:gridCol w:w="1253"/>
        <w:gridCol w:w="1248"/>
        <w:gridCol w:w="1258"/>
      </w:tblGrid>
      <w:tr w:rsidR="00D83470" w:rsidRPr="00D83470" w:rsidTr="00451671">
        <w:trPr>
          <w:trHeight w:hRule="exact" w:val="581"/>
        </w:trPr>
        <w:tc>
          <w:tcPr>
            <w:tcW w:w="1872" w:type="dxa"/>
            <w:tcBorders>
              <w:top w:val="single" w:sz="5" w:space="0" w:color="000000"/>
              <w:left w:val="single" w:sz="5" w:space="0" w:color="000000"/>
              <w:bottom w:val="single" w:sz="5" w:space="0" w:color="000000"/>
              <w:right w:val="single" w:sz="5" w:space="0" w:color="000000"/>
            </w:tcBorders>
          </w:tcPr>
          <w:p w:rsidR="00D83470" w:rsidRPr="00D83470" w:rsidRDefault="00D83470" w:rsidP="00D83470">
            <w:pPr>
              <w:jc w:val="left"/>
              <w:textAlignment w:val="baseline"/>
              <w:rPr>
                <w:rFonts w:ascii="Garamond" w:eastAsia="Garamond" w:hAnsi="Garamond"/>
                <w:color w:val="000000"/>
                <w:sz w:val="24"/>
                <w:lang w:val="en-US" w:eastAsia="en-US"/>
              </w:rPr>
            </w:pPr>
          </w:p>
        </w:tc>
        <w:tc>
          <w:tcPr>
            <w:tcW w:w="7508" w:type="dxa"/>
            <w:gridSpan w:val="6"/>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196" w:after="206" w:line="178" w:lineRule="exact"/>
              <w:jc w:val="center"/>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Liquidity bands</w:t>
            </w:r>
          </w:p>
        </w:tc>
      </w:tr>
      <w:tr w:rsidR="00D83470" w:rsidRPr="00D83470" w:rsidTr="00451671">
        <w:trPr>
          <w:trHeight w:hRule="exact" w:val="758"/>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287" w:after="283" w:line="178"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Price ranges</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100" w:after="114" w:line="178" w:lineRule="exact"/>
              <w:jc w:val="center"/>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 xml:space="preserve">0 5 Average </w:t>
            </w:r>
            <w:r w:rsidRPr="00D83470">
              <w:rPr>
                <w:rFonts w:ascii="Garamond" w:eastAsia="Garamond" w:hAnsi="Garamond"/>
                <w:b/>
                <w:color w:val="000000"/>
                <w:sz w:val="15"/>
                <w:lang w:val="en-US" w:eastAsia="en-US"/>
              </w:rPr>
              <w:br/>
              <w:t xml:space="preserve">daily number of </w:t>
            </w:r>
            <w:r w:rsidRPr="00D83470">
              <w:rPr>
                <w:rFonts w:ascii="Garamond" w:eastAsia="Garamond" w:hAnsi="Garamond"/>
                <w:b/>
                <w:color w:val="000000"/>
                <w:sz w:val="15"/>
                <w:lang w:val="en-US" w:eastAsia="en-US"/>
              </w:rPr>
              <w:br/>
              <w:t>transactions &lt; 10</w:t>
            </w:r>
          </w:p>
        </w:tc>
        <w:tc>
          <w:tcPr>
            <w:tcW w:w="1248" w:type="dxa"/>
            <w:tcBorders>
              <w:top w:val="single" w:sz="5" w:space="0" w:color="000000"/>
              <w:left w:val="single" w:sz="5" w:space="0" w:color="000000"/>
              <w:bottom w:val="single" w:sz="5" w:space="0" w:color="000000"/>
              <w:right w:val="single" w:sz="5" w:space="0" w:color="000000"/>
            </w:tcBorders>
          </w:tcPr>
          <w:p w:rsidR="00D83470" w:rsidRPr="00D83470" w:rsidRDefault="00D83470" w:rsidP="00D83470">
            <w:pPr>
              <w:spacing w:before="97" w:after="114" w:line="179" w:lineRule="exact"/>
              <w:jc w:val="center"/>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 xml:space="preserve">10 5 </w:t>
            </w:r>
            <w:r w:rsidRPr="00D83470">
              <w:rPr>
                <w:rFonts w:ascii="Garamond" w:eastAsia="Garamond" w:hAnsi="Garamond"/>
                <w:b/>
                <w:color w:val="000000"/>
                <w:sz w:val="15"/>
                <w:lang w:val="en-US" w:eastAsia="en-US"/>
              </w:rPr>
              <w:t xml:space="preserve">Average </w:t>
            </w:r>
            <w:r w:rsidRPr="00D83470">
              <w:rPr>
                <w:rFonts w:ascii="Garamond" w:eastAsia="Garamond" w:hAnsi="Garamond"/>
                <w:b/>
                <w:color w:val="000000"/>
                <w:sz w:val="15"/>
                <w:lang w:val="en-US" w:eastAsia="en-US"/>
              </w:rPr>
              <w:br/>
              <w:t xml:space="preserve">daily number of </w:t>
            </w:r>
            <w:r w:rsidRPr="00D83470">
              <w:rPr>
                <w:rFonts w:ascii="Garamond" w:eastAsia="Garamond" w:hAnsi="Garamond"/>
                <w:b/>
                <w:color w:val="000000"/>
                <w:sz w:val="15"/>
                <w:lang w:val="en-US" w:eastAsia="en-US"/>
              </w:rPr>
              <w:br/>
              <w:t>transactions &lt; 80</w:t>
            </w:r>
          </w:p>
        </w:tc>
        <w:tc>
          <w:tcPr>
            <w:tcW w:w="1248" w:type="dxa"/>
            <w:tcBorders>
              <w:top w:val="single" w:sz="5" w:space="0" w:color="000000"/>
              <w:left w:val="single" w:sz="5" w:space="0" w:color="000000"/>
              <w:bottom w:val="single" w:sz="5" w:space="0" w:color="000000"/>
              <w:right w:val="single" w:sz="5" w:space="0" w:color="000000"/>
            </w:tcBorders>
          </w:tcPr>
          <w:p w:rsidR="00D83470" w:rsidRPr="00D83470" w:rsidRDefault="00D83470" w:rsidP="00D83470">
            <w:pPr>
              <w:spacing w:after="28" w:line="178" w:lineRule="exact"/>
              <w:jc w:val="center"/>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 xml:space="preserve">80 5 Average </w:t>
            </w:r>
            <w:r w:rsidRPr="00D83470">
              <w:rPr>
                <w:rFonts w:ascii="Garamond" w:eastAsia="Garamond" w:hAnsi="Garamond"/>
                <w:b/>
                <w:color w:val="000000"/>
                <w:sz w:val="15"/>
                <w:lang w:val="en-US" w:eastAsia="en-US"/>
              </w:rPr>
              <w:br/>
              <w:t xml:space="preserve">daily number of </w:t>
            </w:r>
            <w:r w:rsidRPr="00D83470">
              <w:rPr>
                <w:rFonts w:ascii="Garamond" w:eastAsia="Garamond" w:hAnsi="Garamond"/>
                <w:b/>
                <w:color w:val="000000"/>
                <w:sz w:val="15"/>
                <w:lang w:val="en-US" w:eastAsia="en-US"/>
              </w:rPr>
              <w:br/>
              <w:t xml:space="preserve">transactions &lt; </w:t>
            </w:r>
            <w:r w:rsidRPr="00D83470">
              <w:rPr>
                <w:rFonts w:ascii="Garamond" w:eastAsia="Garamond" w:hAnsi="Garamond"/>
                <w:b/>
                <w:color w:val="000000"/>
                <w:sz w:val="15"/>
                <w:lang w:val="en-US" w:eastAsia="en-US"/>
              </w:rPr>
              <w:br/>
              <w:t>600</w:t>
            </w:r>
          </w:p>
        </w:tc>
        <w:tc>
          <w:tcPr>
            <w:tcW w:w="1253" w:type="dxa"/>
            <w:tcBorders>
              <w:top w:val="single" w:sz="5" w:space="0" w:color="000000"/>
              <w:left w:val="single" w:sz="5" w:space="0" w:color="000000"/>
              <w:bottom w:val="single" w:sz="5" w:space="0" w:color="000000"/>
              <w:right w:val="single" w:sz="5" w:space="0" w:color="000000"/>
            </w:tcBorders>
          </w:tcPr>
          <w:p w:rsidR="00D83470" w:rsidRPr="00D83470" w:rsidRDefault="00D83470" w:rsidP="00D83470">
            <w:pPr>
              <w:spacing w:after="31" w:line="178" w:lineRule="exact"/>
              <w:ind w:left="144"/>
              <w:jc w:val="righ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600 5 Average daily number of transactions &lt; 2000</w:t>
            </w:r>
          </w:p>
        </w:tc>
        <w:tc>
          <w:tcPr>
            <w:tcW w:w="1248" w:type="dxa"/>
            <w:tcBorders>
              <w:top w:val="single" w:sz="5" w:space="0" w:color="000000"/>
              <w:left w:val="single" w:sz="5" w:space="0" w:color="000000"/>
              <w:bottom w:val="single" w:sz="5" w:space="0" w:color="000000"/>
              <w:right w:val="single" w:sz="5" w:space="0" w:color="000000"/>
            </w:tcBorders>
          </w:tcPr>
          <w:p w:rsidR="00D83470" w:rsidRPr="00D83470" w:rsidRDefault="00D83470" w:rsidP="00D83470">
            <w:pPr>
              <w:spacing w:after="28" w:line="178" w:lineRule="exact"/>
              <w:ind w:left="144"/>
              <w:jc w:val="righ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2000 5 Average daily number of transactions &lt; 9000</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100" w:after="114" w:line="178" w:lineRule="exact"/>
              <w:jc w:val="center"/>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 xml:space="preserve">9000 5 Average </w:t>
            </w:r>
            <w:r w:rsidRPr="00D83470">
              <w:rPr>
                <w:rFonts w:ascii="Garamond" w:eastAsia="Garamond" w:hAnsi="Garamond"/>
                <w:b/>
                <w:color w:val="000000"/>
                <w:sz w:val="15"/>
                <w:lang w:val="en-US" w:eastAsia="en-US"/>
              </w:rPr>
              <w:br/>
              <w:t xml:space="preserve">daily number of </w:t>
            </w:r>
            <w:r w:rsidRPr="00D83470">
              <w:rPr>
                <w:rFonts w:ascii="Garamond" w:eastAsia="Garamond" w:hAnsi="Garamond"/>
                <w:b/>
                <w:color w:val="000000"/>
                <w:sz w:val="15"/>
                <w:lang w:val="en-US" w:eastAsia="en-US"/>
              </w:rPr>
              <w:br/>
              <w:t>transactions</w:t>
            </w:r>
          </w:p>
        </w:tc>
      </w:tr>
      <w:tr w:rsidR="00D83470" w:rsidRPr="00D83470" w:rsidTr="00451671">
        <w:trPr>
          <w:trHeight w:hRule="exact" w:val="250"/>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62" w:line="178"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0 5 price &lt; 0.1</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5" w:after="30"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5" w:after="30"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5" w:after="30"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0.0001</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34" w:after="3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3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0.0001</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5" w:after="30"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0.0001</w:t>
            </w:r>
          </w:p>
        </w:tc>
      </w:tr>
      <w:tr w:rsidR="00D83470" w:rsidRPr="00D83470" w:rsidTr="00451671">
        <w:trPr>
          <w:trHeight w:hRule="exact" w:val="254"/>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52" w:line="178"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0.1 5 price &lt; 0.2</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8" w:after="22"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0.0002</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38" w:after="22"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8" w:after="22"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0.0001</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0.0001</w:t>
            </w:r>
          </w:p>
        </w:tc>
      </w:tr>
      <w:tr w:rsidR="00D83470" w:rsidRPr="00D83470" w:rsidTr="00451671">
        <w:trPr>
          <w:trHeight w:hRule="exact" w:val="255"/>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2" w:after="57" w:line="160"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0.2 5 price &lt; 0.5</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26"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26"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0.0005</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26"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0.0001</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0.0001</w:t>
            </w:r>
          </w:p>
        </w:tc>
      </w:tr>
      <w:tr w:rsidR="00D83470" w:rsidRPr="00D83470" w:rsidTr="00451671">
        <w:trPr>
          <w:trHeight w:hRule="exact" w:val="249"/>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52" w:line="178"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0.5 5 price &lt; 1</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3" w:after="22"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3" w:after="22"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0.001</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0.0002</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0.0001</w:t>
            </w:r>
          </w:p>
        </w:tc>
      </w:tr>
      <w:tr w:rsidR="00D83470" w:rsidRPr="00D83470" w:rsidTr="00451671">
        <w:trPr>
          <w:trHeight w:hRule="exact" w:val="255"/>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57" w:line="178"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15 price&lt;2</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26"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0.002</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39" w:after="26"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0.0005</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0.0002</w:t>
            </w:r>
          </w:p>
        </w:tc>
      </w:tr>
      <w:tr w:rsidR="00D83470" w:rsidRPr="00D83470" w:rsidTr="00451671">
        <w:trPr>
          <w:trHeight w:hRule="exact" w:val="249"/>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52" w:line="178"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2 5 price &lt; 5</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0.005</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33" w:after="22"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3" w:after="22"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0.001</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0.0005</w:t>
            </w:r>
          </w:p>
        </w:tc>
      </w:tr>
      <w:tr w:rsidR="00D83470" w:rsidRPr="00D83470" w:rsidTr="00451671">
        <w:trPr>
          <w:trHeight w:hRule="exact" w:val="255"/>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1" w:after="57" w:line="161"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5 5 price &lt; 10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0.01</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26"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0.002</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26"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0.001</w:t>
            </w:r>
          </w:p>
        </w:tc>
      </w:tr>
      <w:tr w:rsidR="00D83470" w:rsidRPr="00D83470" w:rsidTr="00451671">
        <w:trPr>
          <w:trHeight w:hRule="exact" w:val="249"/>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46" w:line="178"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10 5 price &lt; 20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2" w:after="23"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0.02</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4" w:after="2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0.005</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3" w:after="22"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0.002</w:t>
            </w:r>
          </w:p>
        </w:tc>
      </w:tr>
      <w:tr w:rsidR="00D83470" w:rsidRPr="00D83470" w:rsidTr="00451671">
        <w:trPr>
          <w:trHeight w:hRule="exact" w:val="255"/>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50" w:line="178"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20 5 price &lt; 50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8" w:after="27"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8" w:after="27"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0.05</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0.01</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40"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0.005</w:t>
            </w:r>
          </w:p>
        </w:tc>
      </w:tr>
      <w:tr w:rsidR="00D83470" w:rsidRPr="00D83470" w:rsidTr="00451671">
        <w:trPr>
          <w:trHeight w:hRule="exact" w:val="254"/>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2" w:after="62" w:line="160"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50 5 price &lt; 100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3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7" w:after="33"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7" w:after="33"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0.1</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39" w:after="3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3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0.02</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3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0.01</w:t>
            </w:r>
          </w:p>
        </w:tc>
      </w:tr>
      <w:tr w:rsidR="00D83470" w:rsidRPr="00D83470" w:rsidTr="00451671">
        <w:trPr>
          <w:trHeight w:hRule="exact" w:val="250"/>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57" w:line="178"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100 5 price &lt; 200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30"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5"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3" w:after="27"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0.2</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33" w:after="27"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5"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0.05</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5"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0.02</w:t>
            </w:r>
          </w:p>
        </w:tc>
      </w:tr>
      <w:tr w:rsidR="00D83470" w:rsidRPr="00D83470" w:rsidTr="00451671">
        <w:trPr>
          <w:trHeight w:hRule="exact" w:val="254"/>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1" w:after="62" w:line="161"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200 5 price &lt; 500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4" w:after="36"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4" w:after="36"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3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0.5</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37" w:after="33"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7" w:after="33"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0.1</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3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0.05</w:t>
            </w:r>
          </w:p>
        </w:tc>
      </w:tr>
      <w:tr w:rsidR="00D83470" w:rsidRPr="00D83470" w:rsidTr="00451671">
        <w:trPr>
          <w:trHeight w:hRule="exact" w:val="250"/>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57" w:line="160"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500 5 price &lt; 1000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5" w:after="25"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30"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30"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216"/>
              </w:tabs>
              <w:spacing w:before="35"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3" w:after="27"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0.2</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3" w:after="27"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0.1</w:t>
            </w:r>
          </w:p>
        </w:tc>
      </w:tr>
      <w:tr w:rsidR="00D83470" w:rsidRPr="00D83470" w:rsidTr="00451671">
        <w:trPr>
          <w:trHeight w:hRule="exact" w:val="254"/>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45" w:line="184" w:lineRule="exact"/>
              <w:ind w:left="116"/>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 xml:space="preserve">1000 5 </w:t>
            </w:r>
            <w:r w:rsidRPr="00D83470">
              <w:rPr>
                <w:rFonts w:ascii="Garamond" w:eastAsia="Garamond" w:hAnsi="Garamond"/>
                <w:b/>
                <w:color w:val="000000"/>
                <w:sz w:val="15"/>
                <w:lang w:val="en-US" w:eastAsia="en-US"/>
              </w:rPr>
              <w:t>price &lt; 2000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6" w:after="34"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4" w:after="36"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4" w:after="36"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4" w:after="36" w:line="184" w:lineRule="exact"/>
              <w:ind w:left="115"/>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9" w:after="31"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0.5</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7" w:after="33"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0.2</w:t>
            </w:r>
          </w:p>
        </w:tc>
      </w:tr>
      <w:tr w:rsidR="00D83470" w:rsidRPr="00D83470" w:rsidTr="00451671">
        <w:trPr>
          <w:trHeight w:hRule="exact" w:val="250"/>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57" w:line="160"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2000 5 price &lt; 5000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2" w:after="28"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2" w:after="28"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30"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30" w:line="184" w:lineRule="exact"/>
              <w:ind w:left="115"/>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30" w:line="184" w:lineRule="exact"/>
              <w:ind w:left="110"/>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tabs>
                <w:tab w:val="decimal" w:pos="144"/>
              </w:tabs>
              <w:spacing w:before="35" w:after="25" w:line="184" w:lineRule="exact"/>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0.5</w:t>
            </w:r>
          </w:p>
        </w:tc>
      </w:tr>
      <w:tr w:rsidR="00D83470" w:rsidRPr="00D83470" w:rsidTr="00451671">
        <w:trPr>
          <w:trHeight w:hRule="exact" w:val="254"/>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2" w:after="62" w:line="160"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5000 5 price &lt; 10000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9" w:after="31"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6" w:after="34"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6" w:after="34"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4" w:after="36" w:line="184" w:lineRule="exact"/>
              <w:ind w:left="115"/>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4" w:after="36" w:line="184" w:lineRule="exact"/>
              <w:ind w:left="110"/>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4" w:after="36" w:line="184" w:lineRule="exact"/>
              <w:ind w:left="110"/>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w:t>
            </w:r>
          </w:p>
        </w:tc>
      </w:tr>
      <w:tr w:rsidR="00D83470" w:rsidRPr="00D83470" w:rsidTr="00451671">
        <w:trPr>
          <w:trHeight w:hRule="exact" w:val="254"/>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35" w:line="184" w:lineRule="exact"/>
              <w:ind w:left="116"/>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 xml:space="preserve">10000 5 </w:t>
            </w:r>
            <w:r w:rsidRPr="00D83470">
              <w:rPr>
                <w:rFonts w:ascii="Garamond" w:eastAsia="Garamond" w:hAnsi="Garamond"/>
                <w:b/>
                <w:color w:val="000000"/>
                <w:sz w:val="15"/>
                <w:lang w:val="en-US" w:eastAsia="en-US"/>
              </w:rPr>
              <w:t>price &lt; 20000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40" w:after="20"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100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40" w:after="20"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7" w:after="23"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7" w:after="23" w:line="184" w:lineRule="exact"/>
              <w:ind w:left="115"/>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5" w:after="25" w:line="184" w:lineRule="exact"/>
              <w:ind w:left="110"/>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5" w:after="25" w:line="184" w:lineRule="exact"/>
              <w:ind w:left="110"/>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w:t>
            </w:r>
          </w:p>
        </w:tc>
      </w:tr>
      <w:tr w:rsidR="00D83470" w:rsidRPr="00D83470" w:rsidTr="00451671">
        <w:trPr>
          <w:trHeight w:hRule="exact" w:val="250"/>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62" w:line="160"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20000 5 price &lt; 50000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5" w:after="31"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200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5" w:after="31"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100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5" w:after="31"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2" w:after="34" w:line="184" w:lineRule="exact"/>
              <w:ind w:left="115"/>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2" w:after="34" w:line="184" w:lineRule="exact"/>
              <w:ind w:left="110"/>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10</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5" w:after="31" w:line="184" w:lineRule="exact"/>
              <w:ind w:left="110"/>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w:t>
            </w:r>
          </w:p>
        </w:tc>
      </w:tr>
      <w:tr w:rsidR="00D83470" w:rsidRPr="00D83470" w:rsidTr="00451671">
        <w:trPr>
          <w:trHeight w:hRule="exact" w:val="259"/>
        </w:trPr>
        <w:tc>
          <w:tcPr>
            <w:tcW w:w="1872"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after="52" w:line="178" w:lineRule="exact"/>
              <w:ind w:left="116"/>
              <w:jc w:val="left"/>
              <w:textAlignment w:val="baseline"/>
              <w:rPr>
                <w:rFonts w:ascii="Garamond" w:eastAsia="Garamond" w:hAnsi="Garamond"/>
                <w:b/>
                <w:color w:val="000000"/>
                <w:sz w:val="15"/>
                <w:lang w:val="en-US" w:eastAsia="en-US"/>
              </w:rPr>
            </w:pPr>
            <w:r w:rsidRPr="00D83470">
              <w:rPr>
                <w:rFonts w:ascii="Garamond" w:eastAsia="Garamond" w:hAnsi="Garamond"/>
                <w:b/>
                <w:color w:val="000000"/>
                <w:sz w:val="15"/>
                <w:lang w:val="en-US" w:eastAsia="en-US"/>
              </w:rPr>
              <w:t>50000 5 price</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40" w:after="20"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500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40" w:after="20"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200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40" w:after="20" w:line="184" w:lineRule="exact"/>
              <w:ind w:left="111"/>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100</w:t>
            </w:r>
          </w:p>
        </w:tc>
        <w:tc>
          <w:tcPr>
            <w:tcW w:w="1253"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40" w:after="20" w:line="184" w:lineRule="exact"/>
              <w:ind w:left="115"/>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50</w:t>
            </w:r>
          </w:p>
        </w:tc>
        <w:tc>
          <w:tcPr>
            <w:tcW w:w="124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7" w:after="23" w:line="184" w:lineRule="exact"/>
              <w:ind w:left="110"/>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20</w:t>
            </w:r>
          </w:p>
        </w:tc>
        <w:tc>
          <w:tcPr>
            <w:tcW w:w="1258" w:type="dxa"/>
            <w:tcBorders>
              <w:top w:val="single" w:sz="5" w:space="0" w:color="000000"/>
              <w:left w:val="single" w:sz="5" w:space="0" w:color="000000"/>
              <w:bottom w:val="single" w:sz="5" w:space="0" w:color="000000"/>
              <w:right w:val="single" w:sz="5" w:space="0" w:color="000000"/>
            </w:tcBorders>
            <w:vAlign w:val="center"/>
          </w:tcPr>
          <w:p w:rsidR="00D83470" w:rsidRPr="00D83470" w:rsidRDefault="00D83470" w:rsidP="00D83470">
            <w:pPr>
              <w:spacing w:before="37" w:after="23" w:line="184" w:lineRule="exact"/>
              <w:ind w:left="110"/>
              <w:jc w:val="left"/>
              <w:textAlignment w:val="baseline"/>
              <w:rPr>
                <w:rFonts w:ascii="Garamond" w:eastAsia="Garamond" w:hAnsi="Garamond"/>
                <w:color w:val="000000"/>
                <w:sz w:val="18"/>
                <w:lang w:val="en-US" w:eastAsia="en-US"/>
              </w:rPr>
            </w:pPr>
            <w:r w:rsidRPr="00D83470">
              <w:rPr>
                <w:rFonts w:ascii="Garamond" w:eastAsia="Garamond" w:hAnsi="Garamond"/>
                <w:color w:val="000000"/>
                <w:sz w:val="18"/>
                <w:lang w:val="en-US" w:eastAsia="en-US"/>
              </w:rPr>
              <w:t>10</w:t>
            </w:r>
          </w:p>
        </w:tc>
      </w:tr>
    </w:tbl>
    <w:p w:rsidR="00903624" w:rsidRPr="00732881" w:rsidRDefault="00903624" w:rsidP="00614675">
      <w:pPr>
        <w:pStyle w:val="ssPara1"/>
      </w:pPr>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86E" w:rsidRDefault="0076286E" w:rsidP="002145F3">
      <w:r>
        <w:separator/>
      </w:r>
    </w:p>
  </w:endnote>
  <w:endnote w:type="continuationSeparator" w:id="0">
    <w:p w:rsidR="0076286E" w:rsidRDefault="0076286E"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8E" w:rsidRDefault="00855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E5750A"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3" w:name="bmkDocIDContinuation"/>
    <w:r>
      <w:t>L_LIVE_EMEA1:29431461v1</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E5750A">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L_LIVE_EMEA1:29431461v1</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86E" w:rsidRDefault="0076286E" w:rsidP="002145F3">
      <w:r>
        <w:separator/>
      </w:r>
    </w:p>
  </w:footnote>
  <w:footnote w:type="continuationSeparator" w:id="0">
    <w:p w:rsidR="0076286E" w:rsidRDefault="0076286E"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8E" w:rsidRDefault="00855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8E" w:rsidRDefault="008555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8E" w:rsidRDefault="00855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7270173"/>
    <w:multiLevelType w:val="multilevel"/>
    <w:tmpl w:val="71CADD9C"/>
    <w:numStyleLink w:val="AppendixNumbering"/>
  </w:abstractNum>
  <w:abstractNum w:abstractNumId="11">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CB62711"/>
    <w:multiLevelType w:val="multilevel"/>
    <w:tmpl w:val="FAF41108"/>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2D5649B"/>
    <w:multiLevelType w:val="multilevel"/>
    <w:tmpl w:val="E7229E7C"/>
    <w:numStyleLink w:val="ExhibitNumbering"/>
  </w:abstractNum>
  <w:abstractNum w:abstractNumId="16">
    <w:nsid w:val="34281940"/>
    <w:multiLevelType w:val="multilevel"/>
    <w:tmpl w:val="71CADD9C"/>
    <w:numStyleLink w:val="AppendixNumbering"/>
  </w:abstractNum>
  <w:abstractNum w:abstractNumId="17">
    <w:nsid w:val="355E0BB2"/>
    <w:multiLevelType w:val="multilevel"/>
    <w:tmpl w:val="54D02D98"/>
    <w:numStyleLink w:val="PartNumbering"/>
  </w:abstractNum>
  <w:abstractNum w:abstractNumId="18">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1773291"/>
    <w:multiLevelType w:val="multilevel"/>
    <w:tmpl w:val="367A42C2"/>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85586C"/>
    <w:multiLevelType w:val="multilevel"/>
    <w:tmpl w:val="E7229E7C"/>
    <w:numStyleLink w:val="ExhibitNumbering"/>
  </w:abstractNum>
  <w:abstractNum w:abstractNumId="22">
    <w:nsid w:val="4400737D"/>
    <w:multiLevelType w:val="multilevel"/>
    <w:tmpl w:val="C8D6362C"/>
    <w:numStyleLink w:val="ListHeadings"/>
  </w:abstractNum>
  <w:abstractNum w:abstractNumId="23">
    <w:nsid w:val="455C1D04"/>
    <w:multiLevelType w:val="multilevel"/>
    <w:tmpl w:val="D0C4A66A"/>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4B315E6"/>
    <w:multiLevelType w:val="multilevel"/>
    <w:tmpl w:val="BA20E018"/>
    <w:lvl w:ilvl="0">
      <w:start w:val="10"/>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F37DD1"/>
    <w:multiLevelType w:val="multilevel"/>
    <w:tmpl w:val="1A907988"/>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8C2F37"/>
    <w:multiLevelType w:val="multilevel"/>
    <w:tmpl w:val="0B807534"/>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EC6DA0"/>
    <w:multiLevelType w:val="multilevel"/>
    <w:tmpl w:val="C568B44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6D38BB"/>
    <w:multiLevelType w:val="multilevel"/>
    <w:tmpl w:val="1A2A2404"/>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8E29CB"/>
    <w:multiLevelType w:val="multilevel"/>
    <w:tmpl w:val="06E2487A"/>
    <w:numStyleLink w:val="ScheduleNumbering"/>
  </w:abstractNum>
  <w:abstractNum w:abstractNumId="31">
    <w:nsid w:val="6DC023DB"/>
    <w:multiLevelType w:val="multilevel"/>
    <w:tmpl w:val="54D02D98"/>
    <w:numStyleLink w:val="PartNumbering"/>
  </w:abstractNum>
  <w:abstractNum w:abstractNumId="32">
    <w:nsid w:val="75187995"/>
    <w:multiLevelType w:val="multilevel"/>
    <w:tmpl w:val="3A0E818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4">
    <w:nsid w:val="7F7618A8"/>
    <w:multiLevelType w:val="multilevel"/>
    <w:tmpl w:val="1130A0CA"/>
    <w:numStyleLink w:val="SectionNumbering"/>
  </w:abstractNum>
  <w:num w:numId="1">
    <w:abstractNumId w:val="24"/>
  </w:num>
  <w:num w:numId="2">
    <w:abstractNumId w:val="11"/>
  </w:num>
  <w:num w:numId="3">
    <w:abstractNumId w:val="14"/>
  </w:num>
  <w:num w:numId="4">
    <w:abstractNumId w:val="12"/>
  </w:num>
  <w:num w:numId="5">
    <w:abstractNumId w:val="18"/>
  </w:num>
  <w:num w:numId="6">
    <w:abstractNumId w:val="10"/>
  </w:num>
  <w:num w:numId="7">
    <w:abstractNumId w:val="21"/>
  </w:num>
  <w:num w:numId="8">
    <w:abstractNumId w:val="22"/>
  </w:num>
  <w:num w:numId="9">
    <w:abstractNumId w:val="31"/>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5"/>
  </w:num>
  <w:num w:numId="23">
    <w:abstractNumId w:val="17"/>
  </w:num>
  <w:num w:numId="24">
    <w:abstractNumId w:val="19"/>
  </w:num>
  <w:num w:numId="25">
    <w:abstractNumId w:val="34"/>
  </w:num>
  <w:num w:numId="26">
    <w:abstractNumId w:val="34"/>
  </w:num>
  <w:num w:numId="27">
    <w:abstractNumId w:val="13"/>
  </w:num>
  <w:num w:numId="28">
    <w:abstractNumId w:val="27"/>
  </w:num>
  <w:num w:numId="29">
    <w:abstractNumId w:val="25"/>
  </w:num>
  <w:num w:numId="30">
    <w:abstractNumId w:val="26"/>
  </w:num>
  <w:num w:numId="31">
    <w:abstractNumId w:val="32"/>
  </w:num>
  <w:num w:numId="32">
    <w:abstractNumId w:val="28"/>
  </w:num>
  <w:num w:numId="33">
    <w:abstractNumId w:val="20"/>
  </w:num>
  <w:num w:numId="34">
    <w:abstractNumId w:val="23"/>
  </w:num>
  <w:num w:numId="35">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76286E"/>
    <w:rsid w:val="0003545D"/>
    <w:rsid w:val="00044E5C"/>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1548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6286E"/>
    <w:rsid w:val="007A33BD"/>
    <w:rsid w:val="007D6E17"/>
    <w:rsid w:val="008353F9"/>
    <w:rsid w:val="00851935"/>
    <w:rsid w:val="0085558E"/>
    <w:rsid w:val="008C0FC8"/>
    <w:rsid w:val="008E2CB9"/>
    <w:rsid w:val="008F46B3"/>
    <w:rsid w:val="00903624"/>
    <w:rsid w:val="00923465"/>
    <w:rsid w:val="00995283"/>
    <w:rsid w:val="009D4EB0"/>
    <w:rsid w:val="009F102B"/>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3470"/>
    <w:rsid w:val="00D87CAA"/>
    <w:rsid w:val="00DE4ACA"/>
    <w:rsid w:val="00E147B9"/>
    <w:rsid w:val="00E23D22"/>
    <w:rsid w:val="00E51D18"/>
    <w:rsid w:val="00E5750A"/>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86EE-6DE7-4775-96F2-D41D09DB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6</TotalTime>
  <Pages>9</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5</cp:revision>
  <dcterms:created xsi:type="dcterms:W3CDTF">2015-11-16T12:59:00Z</dcterms:created>
  <dcterms:modified xsi:type="dcterms:W3CDTF">2015-11-19T14:53:00Z</dcterms:modified>
</cp:coreProperties>
</file>