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5D9" w:rsidRPr="002335D9" w:rsidRDefault="002335D9" w:rsidP="002335D9">
      <w:pPr>
        <w:pStyle w:val="ssPara1"/>
        <w:jc w:val="center"/>
        <w:rPr>
          <w:b/>
        </w:rPr>
      </w:pPr>
      <w:bookmarkStart w:id="0" w:name="_GoBack"/>
      <w:bookmarkEnd w:id="0"/>
      <w:r w:rsidRPr="002335D9">
        <w:rPr>
          <w:b/>
        </w:rPr>
        <w:t>COMPLIANCE</w:t>
      </w:r>
    </w:p>
    <w:p w:rsidR="002335D9" w:rsidRPr="002335D9" w:rsidRDefault="002335D9" w:rsidP="002335D9">
      <w:pPr>
        <w:pStyle w:val="ssPara1"/>
        <w:jc w:val="center"/>
        <w:rPr>
          <w:b/>
        </w:rPr>
      </w:pPr>
      <w:r w:rsidRPr="002335D9">
        <w:rPr>
          <w:b/>
        </w:rPr>
        <w:t>COMPARISON BETWEEN</w:t>
      </w:r>
    </w:p>
    <w:p w:rsidR="002335D9" w:rsidRPr="002335D9" w:rsidRDefault="002335D9" w:rsidP="002335D9">
      <w:pPr>
        <w:pStyle w:val="ssPara1"/>
        <w:jc w:val="center"/>
        <w:rPr>
          <w:b/>
        </w:rPr>
      </w:pPr>
      <w:r w:rsidRPr="002335D9">
        <w:rPr>
          <w:b/>
        </w:rPr>
        <w:t xml:space="preserve">ESMA </w:t>
      </w:r>
      <w:hyperlink r:id="rId8" w:history="1">
        <w:r w:rsidRPr="002335D9">
          <w:rPr>
            <w:rStyle w:val="Hyperlink"/>
          </w:rPr>
          <w:t>Technical Advice</w:t>
        </w:r>
      </w:hyperlink>
      <w:r w:rsidRPr="002335D9">
        <w:rPr>
          <w:b/>
        </w:rPr>
        <w:t xml:space="preserve"> (19 December 2014)</w:t>
      </w:r>
      <w:r>
        <w:rPr>
          <w:b/>
        </w:rPr>
        <w:br/>
      </w:r>
      <w:r w:rsidRPr="002335D9">
        <w:rPr>
          <w:b/>
        </w:rPr>
        <w:t>vs.</w:t>
      </w:r>
      <w:r>
        <w:rPr>
          <w:b/>
        </w:rPr>
        <w:br/>
      </w:r>
      <w:hyperlink r:id="rId9" w:history="1">
        <w:r w:rsidRPr="002335D9">
          <w:rPr>
            <w:rStyle w:val="Hyperlink"/>
          </w:rPr>
          <w:t>MiFID Implementing Directive</w:t>
        </w:r>
      </w:hyperlink>
      <w:r w:rsidRPr="002335D9">
        <w:rPr>
          <w:b/>
        </w:rPr>
        <w:t xml:space="preserve"> (2006/73/EC) and European Commission </w:t>
      </w:r>
      <w:hyperlink r:id="rId10" w:history="1">
        <w:r w:rsidRPr="002335D9">
          <w:rPr>
            <w:rStyle w:val="Hyperlink"/>
          </w:rPr>
          <w:t>Draft Delegated Regulation</w:t>
        </w:r>
      </w:hyperlink>
      <w:r w:rsidRPr="002335D9">
        <w:rPr>
          <w:b/>
        </w:rPr>
        <w:t xml:space="preserve"> (25 April 2016)</w:t>
      </w:r>
    </w:p>
    <w:p w:rsidR="002335D9" w:rsidRPr="002335D9" w:rsidRDefault="002335D9" w:rsidP="002335D9">
      <w:pPr>
        <w:pStyle w:val="ssPara1"/>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tblGrid>
      <w:tr w:rsidR="002335D9" w:rsidRPr="008269A4" w:rsidTr="002335D9">
        <w:tc>
          <w:tcPr>
            <w:tcW w:w="675" w:type="dxa"/>
            <w:shd w:val="clear" w:color="auto" w:fill="92D050"/>
          </w:tcPr>
          <w:p w:rsidR="002335D9" w:rsidRPr="008269A4" w:rsidRDefault="002335D9" w:rsidP="00A7460B">
            <w:pPr>
              <w:rPr>
                <w:rFonts w:cs="Arial"/>
                <w:szCs w:val="20"/>
              </w:rPr>
            </w:pPr>
          </w:p>
        </w:tc>
        <w:tc>
          <w:tcPr>
            <w:tcW w:w="7938" w:type="dxa"/>
          </w:tcPr>
          <w:p w:rsidR="002335D9" w:rsidRPr="008269A4" w:rsidRDefault="002335D9" w:rsidP="001F21EF">
            <w:pPr>
              <w:rPr>
                <w:rFonts w:cs="Arial"/>
                <w:szCs w:val="20"/>
              </w:rPr>
            </w:pPr>
            <w:r w:rsidRPr="008269A4">
              <w:rPr>
                <w:rFonts w:cs="Arial"/>
                <w:szCs w:val="20"/>
              </w:rPr>
              <w:t>No change or minor / immaterial change</w:t>
            </w:r>
          </w:p>
        </w:tc>
      </w:tr>
      <w:tr w:rsidR="002335D9" w:rsidRPr="008269A4" w:rsidTr="002335D9">
        <w:tc>
          <w:tcPr>
            <w:tcW w:w="675" w:type="dxa"/>
            <w:shd w:val="clear" w:color="auto" w:fill="FFC000"/>
          </w:tcPr>
          <w:p w:rsidR="002335D9" w:rsidRPr="008269A4" w:rsidRDefault="002335D9" w:rsidP="00A7460B">
            <w:pPr>
              <w:rPr>
                <w:rFonts w:cs="Arial"/>
                <w:szCs w:val="20"/>
              </w:rPr>
            </w:pPr>
          </w:p>
        </w:tc>
        <w:tc>
          <w:tcPr>
            <w:tcW w:w="7938" w:type="dxa"/>
          </w:tcPr>
          <w:p w:rsidR="002335D9" w:rsidRPr="008269A4" w:rsidRDefault="002335D9" w:rsidP="002F49E3">
            <w:pPr>
              <w:rPr>
                <w:rFonts w:cs="Arial"/>
                <w:szCs w:val="20"/>
              </w:rPr>
            </w:pPr>
            <w:r w:rsidRPr="008269A4">
              <w:rPr>
                <w:rFonts w:cs="Arial"/>
                <w:szCs w:val="20"/>
              </w:rPr>
              <w:t>Change to be reviewed, but not requiring gap assessment to be revisited with business</w:t>
            </w:r>
          </w:p>
        </w:tc>
      </w:tr>
      <w:tr w:rsidR="002335D9" w:rsidRPr="008269A4" w:rsidTr="002335D9">
        <w:tc>
          <w:tcPr>
            <w:tcW w:w="675" w:type="dxa"/>
            <w:shd w:val="clear" w:color="auto" w:fill="FF0000"/>
          </w:tcPr>
          <w:p w:rsidR="002335D9" w:rsidRPr="008269A4" w:rsidRDefault="002335D9" w:rsidP="00A7460B">
            <w:pPr>
              <w:rPr>
                <w:rFonts w:cs="Arial"/>
                <w:szCs w:val="20"/>
              </w:rPr>
            </w:pPr>
          </w:p>
        </w:tc>
        <w:tc>
          <w:tcPr>
            <w:tcW w:w="7938" w:type="dxa"/>
          </w:tcPr>
          <w:p w:rsidR="002335D9" w:rsidRPr="008269A4" w:rsidRDefault="002335D9" w:rsidP="002F49E3">
            <w:pPr>
              <w:rPr>
                <w:rFonts w:cs="Arial"/>
                <w:szCs w:val="20"/>
              </w:rPr>
            </w:pPr>
            <w:r w:rsidRPr="008269A4">
              <w:rPr>
                <w:rFonts w:cs="Arial"/>
                <w:szCs w:val="20"/>
              </w:rPr>
              <w:t xml:space="preserve">Significant change requiring detailed review </w:t>
            </w:r>
          </w:p>
        </w:tc>
      </w:tr>
    </w:tbl>
    <w:p w:rsidR="002335D9" w:rsidRPr="008269A4" w:rsidRDefault="002335D9" w:rsidP="00A7460B">
      <w:pPr>
        <w:rPr>
          <w:rFonts w:cs="Arial"/>
          <w:szCs w:val="20"/>
        </w:rPr>
      </w:pPr>
    </w:p>
    <w:p w:rsidR="002335D9" w:rsidRPr="008269A4" w:rsidRDefault="002335D9" w:rsidP="006F53FC">
      <w:pPr>
        <w:tabs>
          <w:tab w:val="left" w:pos="9600"/>
        </w:tabs>
        <w:rPr>
          <w:rFonts w:cs="Arial"/>
          <w:szCs w:val="20"/>
        </w:rPr>
      </w:pPr>
      <w:r w:rsidRPr="008269A4">
        <w:rPr>
          <w:rFonts w:cs="Arial"/>
          <w:b/>
          <w:szCs w:val="20"/>
        </w:rPr>
        <w:t>NOTE:</w:t>
      </w:r>
      <w:r w:rsidRPr="008269A4">
        <w:rPr>
          <w:rFonts w:cs="Arial"/>
          <w:szCs w:val="20"/>
        </w:rPr>
        <w:t xml:space="preserve"> </w:t>
      </w:r>
      <w:r w:rsidRPr="008269A4">
        <w:rPr>
          <w:rFonts w:cs="Arial"/>
          <w:i/>
          <w:szCs w:val="20"/>
        </w:rPr>
        <w:t>Review comparison of ESMA Technical Advice versus Commission draft Delegated Regulation</w:t>
      </w:r>
      <w:r w:rsidRPr="008269A4">
        <w:rPr>
          <w:rFonts w:cs="Arial"/>
          <w:i/>
          <w:szCs w:val="20"/>
        </w:rPr>
        <w:tab/>
      </w:r>
    </w:p>
    <w:p w:rsidR="002335D9" w:rsidRPr="008269A4" w:rsidRDefault="002335D9" w:rsidP="00B14584">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951"/>
        <w:gridCol w:w="2552"/>
        <w:gridCol w:w="3280"/>
        <w:gridCol w:w="6075"/>
      </w:tblGrid>
      <w:tr w:rsidR="002335D9" w:rsidRPr="002335D9" w:rsidTr="006950F0">
        <w:trPr>
          <w:cantSplit/>
          <w:tblHeader/>
        </w:trPr>
        <w:tc>
          <w:tcPr>
            <w:tcW w:w="1951" w:type="dxa"/>
            <w:shd w:val="clear" w:color="auto" w:fill="32464D"/>
          </w:tcPr>
          <w:p w:rsidR="002335D9" w:rsidRPr="002335D9" w:rsidRDefault="002335D9" w:rsidP="001955B3">
            <w:pPr>
              <w:jc w:val="center"/>
              <w:rPr>
                <w:rFonts w:cs="Arial"/>
                <w:b/>
                <w:color w:val="FFFFFF" w:themeColor="background1"/>
                <w:szCs w:val="20"/>
              </w:rPr>
            </w:pPr>
            <w:r w:rsidRPr="002335D9">
              <w:rPr>
                <w:rFonts w:cs="Arial"/>
                <w:b/>
                <w:color w:val="FFFFFF" w:themeColor="background1"/>
                <w:szCs w:val="20"/>
              </w:rPr>
              <w:t>ESMA Technical Advice</w:t>
            </w:r>
          </w:p>
          <w:p w:rsidR="002335D9" w:rsidRPr="002335D9" w:rsidRDefault="002335D9" w:rsidP="00F947CA">
            <w:pPr>
              <w:spacing w:after="120"/>
              <w:jc w:val="center"/>
              <w:rPr>
                <w:rFonts w:cs="Arial"/>
                <w:b/>
                <w:color w:val="FFFFFF" w:themeColor="background1"/>
                <w:szCs w:val="20"/>
              </w:rPr>
            </w:pPr>
            <w:r w:rsidRPr="002335D9">
              <w:rPr>
                <w:rFonts w:cs="Arial"/>
                <w:b/>
                <w:color w:val="FFFFFF" w:themeColor="background1"/>
                <w:szCs w:val="20"/>
              </w:rPr>
              <w:t>Section 2.3 pages 18-19</w:t>
            </w:r>
          </w:p>
        </w:tc>
        <w:tc>
          <w:tcPr>
            <w:tcW w:w="2552" w:type="dxa"/>
            <w:shd w:val="clear" w:color="auto" w:fill="32464D"/>
          </w:tcPr>
          <w:p w:rsidR="002335D9" w:rsidRPr="002335D9" w:rsidRDefault="002335D9" w:rsidP="001955B3">
            <w:pPr>
              <w:jc w:val="center"/>
              <w:rPr>
                <w:rFonts w:cs="Arial"/>
                <w:b/>
                <w:color w:val="FFFFFF" w:themeColor="background1"/>
                <w:szCs w:val="20"/>
              </w:rPr>
            </w:pPr>
            <w:r w:rsidRPr="002335D9">
              <w:rPr>
                <w:rFonts w:cs="Arial"/>
                <w:b/>
                <w:color w:val="FFFFFF" w:themeColor="background1"/>
                <w:szCs w:val="20"/>
              </w:rPr>
              <w:t>MiFID Implementing Directive</w:t>
            </w:r>
          </w:p>
          <w:p w:rsidR="002335D9" w:rsidRPr="002335D9" w:rsidRDefault="002335D9" w:rsidP="001955B3">
            <w:pPr>
              <w:jc w:val="center"/>
              <w:rPr>
                <w:rFonts w:cs="Arial"/>
                <w:b/>
                <w:color w:val="FFFFFF" w:themeColor="background1"/>
                <w:szCs w:val="20"/>
              </w:rPr>
            </w:pPr>
            <w:r w:rsidRPr="002335D9">
              <w:rPr>
                <w:rFonts w:cs="Arial"/>
                <w:b/>
                <w:color w:val="FFFFFF" w:themeColor="background1"/>
                <w:szCs w:val="20"/>
              </w:rPr>
              <w:t>Article 6</w:t>
            </w:r>
          </w:p>
        </w:tc>
        <w:tc>
          <w:tcPr>
            <w:tcW w:w="3280" w:type="dxa"/>
            <w:shd w:val="clear" w:color="auto" w:fill="32464D"/>
          </w:tcPr>
          <w:p w:rsidR="002335D9" w:rsidRPr="002335D9" w:rsidRDefault="002335D9" w:rsidP="00022B45">
            <w:pPr>
              <w:jc w:val="center"/>
              <w:rPr>
                <w:rFonts w:cs="Arial"/>
                <w:b/>
                <w:color w:val="FFFFFF" w:themeColor="background1"/>
                <w:szCs w:val="20"/>
              </w:rPr>
            </w:pPr>
            <w:r w:rsidRPr="002335D9">
              <w:rPr>
                <w:rFonts w:cs="Arial"/>
                <w:b/>
                <w:color w:val="FFFFFF" w:themeColor="background1"/>
                <w:szCs w:val="20"/>
              </w:rPr>
              <w:t>Commission Draft Delegated Regulation</w:t>
            </w:r>
          </w:p>
          <w:p w:rsidR="002335D9" w:rsidRPr="002335D9" w:rsidRDefault="002335D9" w:rsidP="00022B45">
            <w:pPr>
              <w:jc w:val="center"/>
              <w:rPr>
                <w:rFonts w:cs="Arial"/>
                <w:b/>
                <w:color w:val="FFFFFF" w:themeColor="background1"/>
                <w:szCs w:val="20"/>
              </w:rPr>
            </w:pPr>
            <w:r w:rsidRPr="002335D9">
              <w:rPr>
                <w:rFonts w:cs="Arial"/>
                <w:b/>
                <w:color w:val="FFFFFF" w:themeColor="background1"/>
                <w:szCs w:val="20"/>
              </w:rPr>
              <w:t>Article 22</w:t>
            </w:r>
          </w:p>
        </w:tc>
        <w:tc>
          <w:tcPr>
            <w:tcW w:w="6075" w:type="dxa"/>
            <w:shd w:val="clear" w:color="auto" w:fill="32464D"/>
          </w:tcPr>
          <w:p w:rsidR="002335D9" w:rsidRPr="002335D9" w:rsidRDefault="002335D9" w:rsidP="001955B3">
            <w:pPr>
              <w:jc w:val="center"/>
              <w:rPr>
                <w:rFonts w:cs="Arial"/>
                <w:b/>
                <w:color w:val="FFFFFF" w:themeColor="background1"/>
                <w:szCs w:val="20"/>
              </w:rPr>
            </w:pPr>
            <w:r w:rsidRPr="002335D9">
              <w:rPr>
                <w:rFonts w:cs="Arial"/>
                <w:b/>
                <w:color w:val="FFFFFF" w:themeColor="background1"/>
                <w:szCs w:val="20"/>
              </w:rPr>
              <w:t>Summary of Key Changes in Commission Draft Delegated Regulation</w:t>
            </w:r>
          </w:p>
        </w:tc>
      </w:tr>
      <w:tr w:rsidR="002335D9" w:rsidRPr="008269A4" w:rsidTr="006950F0">
        <w:trPr>
          <w:cantSplit/>
        </w:trPr>
        <w:tc>
          <w:tcPr>
            <w:tcW w:w="1951" w:type="dxa"/>
            <w:shd w:val="clear" w:color="auto" w:fill="auto"/>
          </w:tcPr>
          <w:p w:rsidR="002335D9" w:rsidRPr="006950F0" w:rsidRDefault="002335D9" w:rsidP="00ED6E33">
            <w:pPr>
              <w:jc w:val="left"/>
              <w:rPr>
                <w:rFonts w:cs="Arial"/>
                <w:szCs w:val="20"/>
              </w:rPr>
            </w:pPr>
            <w:r w:rsidRPr="006950F0">
              <w:rPr>
                <w:rFonts w:cs="Arial"/>
                <w:szCs w:val="20"/>
              </w:rPr>
              <w:t>Paragraph 1</w:t>
            </w:r>
          </w:p>
        </w:tc>
        <w:tc>
          <w:tcPr>
            <w:tcW w:w="2552" w:type="dxa"/>
            <w:shd w:val="clear" w:color="auto" w:fill="auto"/>
          </w:tcPr>
          <w:p w:rsidR="002335D9" w:rsidRPr="008269A4" w:rsidRDefault="002335D9" w:rsidP="00680E86">
            <w:pPr>
              <w:spacing w:after="120"/>
              <w:rPr>
                <w:rFonts w:cs="Arial"/>
                <w:szCs w:val="20"/>
              </w:rPr>
            </w:pPr>
            <w:r w:rsidRPr="008269A4">
              <w:rPr>
                <w:rFonts w:cs="Arial"/>
                <w:szCs w:val="20"/>
              </w:rPr>
              <w:t>N/A</w:t>
            </w:r>
          </w:p>
        </w:tc>
        <w:tc>
          <w:tcPr>
            <w:tcW w:w="3280" w:type="dxa"/>
          </w:tcPr>
          <w:p w:rsidR="002335D9" w:rsidRPr="008269A4" w:rsidRDefault="002335D9" w:rsidP="00680E86">
            <w:pPr>
              <w:spacing w:after="120"/>
              <w:rPr>
                <w:rFonts w:cs="Arial"/>
                <w:szCs w:val="20"/>
              </w:rPr>
            </w:pPr>
            <w:r w:rsidRPr="008269A4">
              <w:rPr>
                <w:rFonts w:cs="Arial"/>
                <w:szCs w:val="20"/>
              </w:rPr>
              <w:t>N/A</w:t>
            </w:r>
          </w:p>
        </w:tc>
        <w:tc>
          <w:tcPr>
            <w:tcW w:w="6075" w:type="dxa"/>
            <w:shd w:val="clear" w:color="auto" w:fill="92D050"/>
          </w:tcPr>
          <w:p w:rsidR="002335D9" w:rsidRPr="008269A4" w:rsidRDefault="002335D9" w:rsidP="00F748EB">
            <w:pPr>
              <w:spacing w:after="120"/>
              <w:rPr>
                <w:rFonts w:cs="Arial"/>
                <w:szCs w:val="20"/>
              </w:rPr>
            </w:pPr>
            <w:r w:rsidRPr="008269A4">
              <w:rPr>
                <w:rFonts w:cs="Arial"/>
                <w:szCs w:val="20"/>
              </w:rPr>
              <w:t>No equivalent in draft Delegated Regulation. Paragraph 1 of the Technical Advice refers to integrating Article 6 of the MiFID Implementing Directive in the provisions to follow.</w:t>
            </w:r>
          </w:p>
        </w:tc>
      </w:tr>
      <w:tr w:rsidR="002335D9" w:rsidRPr="008269A4" w:rsidTr="006950F0">
        <w:trPr>
          <w:cantSplit/>
        </w:trPr>
        <w:tc>
          <w:tcPr>
            <w:tcW w:w="1951" w:type="dxa"/>
            <w:shd w:val="clear" w:color="auto" w:fill="auto"/>
          </w:tcPr>
          <w:p w:rsidR="002335D9" w:rsidRPr="006950F0" w:rsidRDefault="002335D9">
            <w:pPr>
              <w:rPr>
                <w:rFonts w:cs="Arial"/>
                <w:szCs w:val="20"/>
              </w:rPr>
            </w:pPr>
            <w:r w:rsidRPr="006950F0">
              <w:rPr>
                <w:rFonts w:cs="Arial"/>
                <w:szCs w:val="20"/>
              </w:rPr>
              <w:t>Paragraph 2</w:t>
            </w:r>
          </w:p>
        </w:tc>
        <w:tc>
          <w:tcPr>
            <w:tcW w:w="2552" w:type="dxa"/>
            <w:shd w:val="clear" w:color="auto" w:fill="auto"/>
          </w:tcPr>
          <w:p w:rsidR="002335D9" w:rsidRPr="008269A4" w:rsidRDefault="002335D9" w:rsidP="00680E86">
            <w:pPr>
              <w:spacing w:after="120"/>
              <w:rPr>
                <w:rFonts w:cs="Arial"/>
                <w:szCs w:val="20"/>
              </w:rPr>
            </w:pPr>
            <w:r w:rsidRPr="008269A4">
              <w:rPr>
                <w:rFonts w:cs="Arial"/>
                <w:szCs w:val="20"/>
              </w:rPr>
              <w:t>Article 6(1)</w:t>
            </w:r>
          </w:p>
        </w:tc>
        <w:tc>
          <w:tcPr>
            <w:tcW w:w="3280" w:type="dxa"/>
          </w:tcPr>
          <w:p w:rsidR="002335D9" w:rsidRPr="008269A4" w:rsidRDefault="002335D9" w:rsidP="001D4CA3">
            <w:pPr>
              <w:rPr>
                <w:rFonts w:cs="Arial"/>
                <w:szCs w:val="20"/>
              </w:rPr>
            </w:pPr>
            <w:r w:rsidRPr="008269A4">
              <w:rPr>
                <w:rFonts w:cs="Arial"/>
                <w:szCs w:val="20"/>
              </w:rPr>
              <w:t>Article 22(1)</w:t>
            </w:r>
          </w:p>
        </w:tc>
        <w:tc>
          <w:tcPr>
            <w:tcW w:w="6075" w:type="dxa"/>
            <w:shd w:val="clear" w:color="auto" w:fill="92D050"/>
          </w:tcPr>
          <w:p w:rsidR="002335D9" w:rsidRPr="008269A4" w:rsidRDefault="002335D9" w:rsidP="00680E86">
            <w:pPr>
              <w:spacing w:after="120"/>
              <w:rPr>
                <w:rFonts w:cs="Arial"/>
                <w:szCs w:val="20"/>
              </w:rPr>
            </w:pPr>
            <w:r w:rsidRPr="008269A4">
              <w:rPr>
                <w:rFonts w:cs="Arial"/>
                <w:szCs w:val="20"/>
              </w:rPr>
              <w:t>Text in Technical Advice and in draft Delegated Regulation drawn from MiFID Implementing Directive.  Minimal changes – language tidy-up.</w:t>
            </w:r>
          </w:p>
        </w:tc>
      </w:tr>
      <w:tr w:rsidR="002335D9" w:rsidRPr="008269A4" w:rsidTr="006950F0">
        <w:trPr>
          <w:cantSplit/>
        </w:trPr>
        <w:tc>
          <w:tcPr>
            <w:tcW w:w="1951" w:type="dxa"/>
            <w:shd w:val="clear" w:color="auto" w:fill="auto"/>
          </w:tcPr>
          <w:p w:rsidR="002335D9" w:rsidRPr="006950F0" w:rsidRDefault="002335D9" w:rsidP="00181426">
            <w:pPr>
              <w:rPr>
                <w:rFonts w:cs="Arial"/>
                <w:szCs w:val="20"/>
              </w:rPr>
            </w:pPr>
            <w:r w:rsidRPr="006950F0">
              <w:rPr>
                <w:rFonts w:cs="Arial"/>
                <w:szCs w:val="20"/>
              </w:rPr>
              <w:t>Paragraph 3(</w:t>
            </w:r>
            <w:proofErr w:type="spellStart"/>
            <w:r w:rsidRPr="006950F0">
              <w:rPr>
                <w:rFonts w:cs="Arial"/>
                <w:szCs w:val="20"/>
              </w:rPr>
              <w:t>i</w:t>
            </w:r>
            <w:proofErr w:type="spellEnd"/>
            <w:r w:rsidRPr="006950F0">
              <w:rPr>
                <w:rFonts w:cs="Arial"/>
                <w:szCs w:val="20"/>
              </w:rPr>
              <w:t>)-(ii)</w:t>
            </w:r>
          </w:p>
        </w:tc>
        <w:tc>
          <w:tcPr>
            <w:tcW w:w="2552" w:type="dxa"/>
            <w:shd w:val="clear" w:color="auto" w:fill="auto"/>
          </w:tcPr>
          <w:p w:rsidR="002335D9" w:rsidRPr="008269A4" w:rsidRDefault="002335D9" w:rsidP="00680E86">
            <w:pPr>
              <w:spacing w:after="120"/>
              <w:rPr>
                <w:rFonts w:cs="Arial"/>
                <w:szCs w:val="20"/>
              </w:rPr>
            </w:pPr>
            <w:r w:rsidRPr="008269A4">
              <w:rPr>
                <w:rFonts w:cs="Arial"/>
                <w:szCs w:val="20"/>
              </w:rPr>
              <w:t>Article 6(2)(a)-(b)</w:t>
            </w:r>
          </w:p>
        </w:tc>
        <w:tc>
          <w:tcPr>
            <w:tcW w:w="3280" w:type="dxa"/>
          </w:tcPr>
          <w:p w:rsidR="002335D9" w:rsidRPr="008269A4" w:rsidRDefault="002335D9" w:rsidP="001D4CA3">
            <w:pPr>
              <w:rPr>
                <w:rFonts w:cs="Arial"/>
                <w:szCs w:val="20"/>
              </w:rPr>
            </w:pPr>
            <w:r w:rsidRPr="008269A4">
              <w:rPr>
                <w:rFonts w:cs="Arial"/>
                <w:szCs w:val="20"/>
              </w:rPr>
              <w:t>Article 22(2)(a)-(b)</w:t>
            </w:r>
          </w:p>
        </w:tc>
        <w:tc>
          <w:tcPr>
            <w:tcW w:w="6075" w:type="dxa"/>
            <w:shd w:val="clear" w:color="auto" w:fill="92D050"/>
          </w:tcPr>
          <w:p w:rsidR="002335D9" w:rsidRPr="008269A4" w:rsidRDefault="002335D9" w:rsidP="00022699">
            <w:pPr>
              <w:spacing w:after="120"/>
              <w:rPr>
                <w:rFonts w:cs="Arial"/>
                <w:szCs w:val="20"/>
              </w:rPr>
            </w:pPr>
            <w:r w:rsidRPr="008269A4">
              <w:rPr>
                <w:rFonts w:cs="Arial"/>
                <w:szCs w:val="20"/>
              </w:rPr>
              <w:t xml:space="preserve">Minimal changes – language tidy-up.  Addition of “policies” in draft Delegated Regulation to list of documents to monitor and assess.  </w:t>
            </w:r>
          </w:p>
        </w:tc>
      </w:tr>
      <w:tr w:rsidR="002335D9" w:rsidRPr="008269A4" w:rsidTr="006950F0">
        <w:trPr>
          <w:cantSplit/>
        </w:trPr>
        <w:tc>
          <w:tcPr>
            <w:tcW w:w="1951" w:type="dxa"/>
            <w:shd w:val="clear" w:color="auto" w:fill="auto"/>
          </w:tcPr>
          <w:p w:rsidR="002335D9" w:rsidRPr="006950F0" w:rsidRDefault="002335D9" w:rsidP="002B5785">
            <w:pPr>
              <w:rPr>
                <w:rFonts w:cs="Arial"/>
                <w:szCs w:val="20"/>
              </w:rPr>
            </w:pPr>
            <w:r w:rsidRPr="006950F0">
              <w:rPr>
                <w:rFonts w:cs="Arial"/>
                <w:szCs w:val="20"/>
              </w:rPr>
              <w:t>Paragraph 3(iii)-(iv)</w:t>
            </w:r>
          </w:p>
        </w:tc>
        <w:tc>
          <w:tcPr>
            <w:tcW w:w="2552" w:type="dxa"/>
            <w:shd w:val="clear" w:color="auto" w:fill="auto"/>
          </w:tcPr>
          <w:p w:rsidR="002335D9" w:rsidRPr="008269A4" w:rsidRDefault="002335D9" w:rsidP="00680E86">
            <w:pPr>
              <w:spacing w:after="120"/>
              <w:rPr>
                <w:rFonts w:cs="Arial"/>
                <w:szCs w:val="20"/>
              </w:rPr>
            </w:pPr>
            <w:r w:rsidRPr="008269A4">
              <w:rPr>
                <w:rFonts w:cs="Arial"/>
                <w:szCs w:val="20"/>
              </w:rPr>
              <w:t>N/A</w:t>
            </w:r>
          </w:p>
        </w:tc>
        <w:tc>
          <w:tcPr>
            <w:tcW w:w="3280" w:type="dxa"/>
          </w:tcPr>
          <w:p w:rsidR="002335D9" w:rsidRPr="008269A4" w:rsidRDefault="002335D9" w:rsidP="001D4CA3">
            <w:pPr>
              <w:rPr>
                <w:rFonts w:cs="Arial"/>
                <w:szCs w:val="20"/>
              </w:rPr>
            </w:pPr>
            <w:r w:rsidRPr="008269A4">
              <w:rPr>
                <w:rFonts w:cs="Arial"/>
                <w:szCs w:val="20"/>
              </w:rPr>
              <w:t>Article 22(2)(c)-(d)</w:t>
            </w:r>
          </w:p>
        </w:tc>
        <w:tc>
          <w:tcPr>
            <w:tcW w:w="6075" w:type="dxa"/>
            <w:shd w:val="clear" w:color="auto" w:fill="92D050"/>
          </w:tcPr>
          <w:p w:rsidR="002335D9" w:rsidRPr="008269A4" w:rsidRDefault="002335D9" w:rsidP="002B5785">
            <w:pPr>
              <w:spacing w:after="120"/>
              <w:rPr>
                <w:rFonts w:cs="Arial"/>
                <w:szCs w:val="20"/>
              </w:rPr>
            </w:pPr>
            <w:r w:rsidRPr="008269A4">
              <w:rPr>
                <w:rFonts w:cs="Arial"/>
                <w:szCs w:val="20"/>
              </w:rPr>
              <w:t>New provision in Technical Advice and in draft Delegated Regulation (no equivalent in Article 6 of the MiFID Implementing Directive).  Minimal changes – language tidy-up.</w:t>
            </w:r>
          </w:p>
        </w:tc>
      </w:tr>
      <w:tr w:rsidR="002335D9" w:rsidRPr="008269A4" w:rsidTr="006950F0">
        <w:trPr>
          <w:cantSplit/>
        </w:trPr>
        <w:tc>
          <w:tcPr>
            <w:tcW w:w="1951" w:type="dxa"/>
            <w:shd w:val="clear" w:color="auto" w:fill="auto"/>
          </w:tcPr>
          <w:p w:rsidR="002335D9" w:rsidRPr="006950F0" w:rsidRDefault="002335D9">
            <w:pPr>
              <w:rPr>
                <w:rFonts w:cs="Arial"/>
                <w:szCs w:val="20"/>
              </w:rPr>
            </w:pPr>
            <w:r w:rsidRPr="006950F0">
              <w:rPr>
                <w:rFonts w:cs="Arial"/>
                <w:szCs w:val="20"/>
              </w:rPr>
              <w:lastRenderedPageBreak/>
              <w:t>Paragraph 4</w:t>
            </w:r>
          </w:p>
        </w:tc>
        <w:tc>
          <w:tcPr>
            <w:tcW w:w="2552" w:type="dxa"/>
            <w:shd w:val="clear" w:color="auto" w:fill="auto"/>
          </w:tcPr>
          <w:p w:rsidR="002335D9" w:rsidRPr="008269A4" w:rsidRDefault="002335D9" w:rsidP="00680E86">
            <w:pPr>
              <w:spacing w:after="120"/>
              <w:rPr>
                <w:rFonts w:cs="Arial"/>
                <w:szCs w:val="20"/>
              </w:rPr>
            </w:pPr>
            <w:r w:rsidRPr="008269A4">
              <w:rPr>
                <w:rFonts w:cs="Arial"/>
                <w:szCs w:val="20"/>
              </w:rPr>
              <w:t>N/A</w:t>
            </w:r>
          </w:p>
        </w:tc>
        <w:tc>
          <w:tcPr>
            <w:tcW w:w="3280" w:type="dxa"/>
          </w:tcPr>
          <w:p w:rsidR="002335D9" w:rsidRPr="008269A4" w:rsidRDefault="002335D9" w:rsidP="00597BFF">
            <w:pPr>
              <w:rPr>
                <w:rFonts w:cs="Arial"/>
                <w:szCs w:val="20"/>
              </w:rPr>
            </w:pPr>
            <w:r w:rsidRPr="008269A4">
              <w:rPr>
                <w:rFonts w:cs="Arial"/>
                <w:szCs w:val="20"/>
              </w:rPr>
              <w:t>Article 22(2) final paragraph</w:t>
            </w:r>
          </w:p>
        </w:tc>
        <w:tc>
          <w:tcPr>
            <w:tcW w:w="6075" w:type="dxa"/>
            <w:shd w:val="clear" w:color="auto" w:fill="92D050"/>
          </w:tcPr>
          <w:p w:rsidR="002335D9" w:rsidRPr="008269A4" w:rsidRDefault="002335D9" w:rsidP="00680E86">
            <w:pPr>
              <w:spacing w:after="120"/>
              <w:rPr>
                <w:rFonts w:cs="Arial"/>
                <w:szCs w:val="20"/>
              </w:rPr>
            </w:pPr>
            <w:r w:rsidRPr="008269A4">
              <w:rPr>
                <w:rFonts w:cs="Arial"/>
                <w:szCs w:val="20"/>
              </w:rPr>
              <w:t>New provision in Technical Advice and in draft Delegated Regulation (no equivalent in Article 6 of the MiFID Implementing Directive).  Minimal changes – language tidy-up.</w:t>
            </w:r>
          </w:p>
        </w:tc>
      </w:tr>
      <w:tr w:rsidR="002335D9" w:rsidRPr="008269A4" w:rsidTr="006950F0">
        <w:trPr>
          <w:cantSplit/>
        </w:trPr>
        <w:tc>
          <w:tcPr>
            <w:tcW w:w="1951" w:type="dxa"/>
            <w:shd w:val="clear" w:color="auto" w:fill="auto"/>
          </w:tcPr>
          <w:p w:rsidR="002335D9" w:rsidRPr="006950F0" w:rsidRDefault="002335D9">
            <w:pPr>
              <w:rPr>
                <w:rFonts w:cs="Arial"/>
                <w:szCs w:val="20"/>
              </w:rPr>
            </w:pPr>
            <w:r w:rsidRPr="006950F0">
              <w:rPr>
                <w:rFonts w:cs="Arial"/>
                <w:szCs w:val="20"/>
              </w:rPr>
              <w:t>Paragraph 5(</w:t>
            </w:r>
            <w:proofErr w:type="spellStart"/>
            <w:r w:rsidRPr="006950F0">
              <w:rPr>
                <w:rFonts w:cs="Arial"/>
                <w:szCs w:val="20"/>
              </w:rPr>
              <w:t>i</w:t>
            </w:r>
            <w:proofErr w:type="spellEnd"/>
            <w:r w:rsidRPr="006950F0">
              <w:rPr>
                <w:rFonts w:cs="Arial"/>
                <w:szCs w:val="20"/>
              </w:rPr>
              <w:t>)-(ii)</w:t>
            </w:r>
          </w:p>
        </w:tc>
        <w:tc>
          <w:tcPr>
            <w:tcW w:w="2552" w:type="dxa"/>
            <w:shd w:val="clear" w:color="auto" w:fill="auto"/>
          </w:tcPr>
          <w:p w:rsidR="002335D9" w:rsidRPr="008269A4" w:rsidRDefault="002335D9" w:rsidP="00680E86">
            <w:pPr>
              <w:spacing w:after="120"/>
              <w:rPr>
                <w:rFonts w:cs="Arial"/>
                <w:szCs w:val="20"/>
              </w:rPr>
            </w:pPr>
            <w:r w:rsidRPr="008269A4">
              <w:rPr>
                <w:rFonts w:cs="Arial"/>
                <w:szCs w:val="20"/>
              </w:rPr>
              <w:t>Article 6(3)(a)-(b)</w:t>
            </w:r>
          </w:p>
        </w:tc>
        <w:tc>
          <w:tcPr>
            <w:tcW w:w="3280" w:type="dxa"/>
          </w:tcPr>
          <w:p w:rsidR="002335D9" w:rsidRPr="008269A4" w:rsidRDefault="002335D9" w:rsidP="001D4CA3">
            <w:pPr>
              <w:rPr>
                <w:rFonts w:cs="Arial"/>
                <w:szCs w:val="20"/>
              </w:rPr>
            </w:pPr>
            <w:r w:rsidRPr="008269A4">
              <w:rPr>
                <w:rFonts w:cs="Arial"/>
                <w:szCs w:val="20"/>
              </w:rPr>
              <w:t>Article 22(3)(a)-(b)</w:t>
            </w:r>
          </w:p>
        </w:tc>
        <w:tc>
          <w:tcPr>
            <w:tcW w:w="6075" w:type="dxa"/>
            <w:shd w:val="clear" w:color="auto" w:fill="92D050"/>
          </w:tcPr>
          <w:p w:rsidR="002335D9" w:rsidRPr="008269A4" w:rsidRDefault="002335D9" w:rsidP="00F629FE">
            <w:pPr>
              <w:tabs>
                <w:tab w:val="left" w:pos="1125"/>
              </w:tabs>
              <w:spacing w:after="120"/>
              <w:rPr>
                <w:rFonts w:cs="Arial"/>
                <w:szCs w:val="20"/>
              </w:rPr>
            </w:pPr>
            <w:r w:rsidRPr="008269A4">
              <w:rPr>
                <w:rFonts w:cs="Arial"/>
                <w:szCs w:val="20"/>
              </w:rPr>
              <w:t>Addition of requirement in Technical Advice and draft Delegated Act that compliance officer is “</w:t>
            </w:r>
            <w:r w:rsidRPr="008269A4">
              <w:rPr>
                <w:rFonts w:cs="Arial"/>
                <w:b/>
                <w:szCs w:val="20"/>
              </w:rPr>
              <w:t>replaced by the management body</w:t>
            </w:r>
            <w:r w:rsidRPr="008269A4">
              <w:rPr>
                <w:rFonts w:cs="Arial"/>
                <w:szCs w:val="20"/>
              </w:rPr>
              <w:t xml:space="preserve">” (no equivalent phrase in Article 6 of the MiFID Implementing Directive). </w:t>
            </w:r>
          </w:p>
        </w:tc>
      </w:tr>
      <w:tr w:rsidR="002335D9" w:rsidRPr="008269A4" w:rsidTr="006950F0">
        <w:trPr>
          <w:cantSplit/>
        </w:trPr>
        <w:tc>
          <w:tcPr>
            <w:tcW w:w="1951" w:type="dxa"/>
            <w:shd w:val="clear" w:color="auto" w:fill="auto"/>
          </w:tcPr>
          <w:p w:rsidR="002335D9" w:rsidRPr="006950F0" w:rsidRDefault="002335D9">
            <w:pPr>
              <w:rPr>
                <w:rFonts w:cs="Arial"/>
                <w:szCs w:val="20"/>
              </w:rPr>
            </w:pPr>
            <w:r w:rsidRPr="006950F0">
              <w:rPr>
                <w:rFonts w:cs="Arial"/>
                <w:szCs w:val="20"/>
              </w:rPr>
              <w:t>Paragraph 5(iii)</w:t>
            </w:r>
          </w:p>
        </w:tc>
        <w:tc>
          <w:tcPr>
            <w:tcW w:w="2552" w:type="dxa"/>
            <w:shd w:val="clear" w:color="auto" w:fill="auto"/>
          </w:tcPr>
          <w:p w:rsidR="002335D9" w:rsidRPr="008269A4" w:rsidRDefault="002335D9" w:rsidP="00680E86">
            <w:pPr>
              <w:spacing w:after="120"/>
              <w:rPr>
                <w:rFonts w:cs="Arial"/>
                <w:szCs w:val="20"/>
              </w:rPr>
            </w:pPr>
            <w:r w:rsidRPr="008269A4">
              <w:rPr>
                <w:rFonts w:cs="Arial"/>
                <w:szCs w:val="20"/>
              </w:rPr>
              <w:t>N/A</w:t>
            </w:r>
          </w:p>
        </w:tc>
        <w:tc>
          <w:tcPr>
            <w:tcW w:w="3280" w:type="dxa"/>
          </w:tcPr>
          <w:p w:rsidR="002335D9" w:rsidRPr="008269A4" w:rsidRDefault="002335D9" w:rsidP="001D4CA3">
            <w:pPr>
              <w:rPr>
                <w:rFonts w:cs="Arial"/>
                <w:szCs w:val="20"/>
              </w:rPr>
            </w:pPr>
            <w:r w:rsidRPr="008269A4">
              <w:rPr>
                <w:rFonts w:cs="Arial"/>
                <w:szCs w:val="20"/>
              </w:rPr>
              <w:t>Article 22(3)(c)</w:t>
            </w:r>
          </w:p>
        </w:tc>
        <w:tc>
          <w:tcPr>
            <w:tcW w:w="6075" w:type="dxa"/>
            <w:shd w:val="clear" w:color="auto" w:fill="92D050"/>
          </w:tcPr>
          <w:p w:rsidR="002335D9" w:rsidRPr="008269A4" w:rsidRDefault="002335D9" w:rsidP="000E3EAC">
            <w:pPr>
              <w:spacing w:after="120"/>
              <w:rPr>
                <w:rFonts w:cs="Arial"/>
                <w:szCs w:val="20"/>
              </w:rPr>
            </w:pPr>
            <w:r w:rsidRPr="008269A4">
              <w:rPr>
                <w:rFonts w:cs="Arial"/>
                <w:szCs w:val="20"/>
              </w:rPr>
              <w:t>New provision in Technical Advice and in draft Delegated Regulation (no equivalent in Article 6 of the MiFID Implementing Directive).  Minimal changes – language tidy-up.</w:t>
            </w:r>
          </w:p>
        </w:tc>
      </w:tr>
      <w:tr w:rsidR="002335D9" w:rsidRPr="008269A4" w:rsidTr="006950F0">
        <w:trPr>
          <w:cantSplit/>
        </w:trPr>
        <w:tc>
          <w:tcPr>
            <w:tcW w:w="1951" w:type="dxa"/>
            <w:shd w:val="clear" w:color="auto" w:fill="auto"/>
          </w:tcPr>
          <w:p w:rsidR="002335D9" w:rsidRPr="006950F0" w:rsidRDefault="002335D9" w:rsidP="00045351">
            <w:pPr>
              <w:rPr>
                <w:rFonts w:cs="Arial"/>
                <w:szCs w:val="20"/>
              </w:rPr>
            </w:pPr>
            <w:r w:rsidRPr="006950F0">
              <w:rPr>
                <w:rFonts w:cs="Arial"/>
                <w:szCs w:val="20"/>
              </w:rPr>
              <w:t>Paragraph 5(iv)-(v)</w:t>
            </w:r>
          </w:p>
        </w:tc>
        <w:tc>
          <w:tcPr>
            <w:tcW w:w="2552" w:type="dxa"/>
            <w:shd w:val="clear" w:color="auto" w:fill="auto"/>
          </w:tcPr>
          <w:p w:rsidR="002335D9" w:rsidRPr="008269A4" w:rsidRDefault="002335D9" w:rsidP="00680E86">
            <w:pPr>
              <w:spacing w:after="120"/>
              <w:rPr>
                <w:rFonts w:cs="Arial"/>
                <w:szCs w:val="20"/>
              </w:rPr>
            </w:pPr>
            <w:r w:rsidRPr="008269A4">
              <w:rPr>
                <w:rFonts w:cs="Arial"/>
                <w:szCs w:val="20"/>
              </w:rPr>
              <w:t>Article 6(3)(c)-(d)</w:t>
            </w:r>
          </w:p>
        </w:tc>
        <w:tc>
          <w:tcPr>
            <w:tcW w:w="3280" w:type="dxa"/>
          </w:tcPr>
          <w:p w:rsidR="002335D9" w:rsidRPr="008269A4" w:rsidRDefault="002335D9" w:rsidP="001D4CA3">
            <w:pPr>
              <w:rPr>
                <w:rFonts w:cs="Arial"/>
                <w:szCs w:val="20"/>
              </w:rPr>
            </w:pPr>
            <w:r w:rsidRPr="008269A4">
              <w:rPr>
                <w:rFonts w:cs="Arial"/>
                <w:szCs w:val="20"/>
              </w:rPr>
              <w:t>Article 22(3)(d)-(e)</w:t>
            </w:r>
          </w:p>
        </w:tc>
        <w:tc>
          <w:tcPr>
            <w:tcW w:w="6075" w:type="dxa"/>
            <w:shd w:val="clear" w:color="auto" w:fill="92D050"/>
          </w:tcPr>
          <w:p w:rsidR="002335D9" w:rsidRPr="008269A4" w:rsidRDefault="002335D9" w:rsidP="00F629FE">
            <w:pPr>
              <w:tabs>
                <w:tab w:val="left" w:pos="1485"/>
              </w:tabs>
              <w:spacing w:after="120"/>
              <w:rPr>
                <w:rFonts w:cs="Arial"/>
                <w:szCs w:val="20"/>
              </w:rPr>
            </w:pPr>
            <w:r w:rsidRPr="008269A4">
              <w:rPr>
                <w:rFonts w:cs="Arial"/>
                <w:szCs w:val="20"/>
              </w:rPr>
              <w:t>Text in Technical Advice and in draft Delegated Regulation drawn from MiFID Implementing Directive.  Minimal changes – language tidy-up.</w:t>
            </w:r>
          </w:p>
        </w:tc>
      </w:tr>
      <w:tr w:rsidR="002335D9" w:rsidRPr="008269A4" w:rsidTr="006950F0">
        <w:trPr>
          <w:cantSplit/>
        </w:trPr>
        <w:tc>
          <w:tcPr>
            <w:tcW w:w="1951" w:type="dxa"/>
            <w:shd w:val="clear" w:color="auto" w:fill="auto"/>
          </w:tcPr>
          <w:p w:rsidR="002335D9" w:rsidRPr="006950F0" w:rsidRDefault="002335D9">
            <w:pPr>
              <w:rPr>
                <w:rFonts w:cs="Arial"/>
                <w:szCs w:val="20"/>
              </w:rPr>
            </w:pPr>
            <w:r w:rsidRPr="006950F0">
              <w:rPr>
                <w:rFonts w:cs="Arial"/>
                <w:szCs w:val="20"/>
              </w:rPr>
              <w:t>Paragraph 6</w:t>
            </w:r>
          </w:p>
        </w:tc>
        <w:tc>
          <w:tcPr>
            <w:tcW w:w="2552" w:type="dxa"/>
            <w:shd w:val="clear" w:color="auto" w:fill="auto"/>
          </w:tcPr>
          <w:p w:rsidR="002335D9" w:rsidRPr="008269A4" w:rsidRDefault="002335D9" w:rsidP="00680E86">
            <w:pPr>
              <w:spacing w:after="120"/>
              <w:rPr>
                <w:rFonts w:cs="Arial"/>
                <w:szCs w:val="20"/>
              </w:rPr>
            </w:pPr>
            <w:r w:rsidRPr="008269A4">
              <w:rPr>
                <w:rFonts w:cs="Arial"/>
                <w:szCs w:val="20"/>
              </w:rPr>
              <w:t>Article 6(3) final paragraph</w:t>
            </w:r>
          </w:p>
        </w:tc>
        <w:tc>
          <w:tcPr>
            <w:tcW w:w="3280" w:type="dxa"/>
          </w:tcPr>
          <w:p w:rsidR="002335D9" w:rsidRPr="008269A4" w:rsidRDefault="002335D9" w:rsidP="00F629FE">
            <w:pPr>
              <w:spacing w:after="120"/>
              <w:rPr>
                <w:rFonts w:cs="Arial"/>
                <w:szCs w:val="20"/>
              </w:rPr>
            </w:pPr>
            <w:r w:rsidRPr="008269A4">
              <w:rPr>
                <w:rFonts w:cs="Arial"/>
                <w:szCs w:val="20"/>
              </w:rPr>
              <w:t>Article 22(4)</w:t>
            </w:r>
          </w:p>
        </w:tc>
        <w:tc>
          <w:tcPr>
            <w:tcW w:w="6075" w:type="dxa"/>
            <w:shd w:val="clear" w:color="auto" w:fill="92D050"/>
          </w:tcPr>
          <w:p w:rsidR="002335D9" w:rsidRPr="008269A4" w:rsidRDefault="002335D9" w:rsidP="00F629FE">
            <w:pPr>
              <w:spacing w:after="120"/>
              <w:rPr>
                <w:rFonts w:cs="Arial"/>
                <w:szCs w:val="20"/>
              </w:rPr>
            </w:pPr>
            <w:r w:rsidRPr="008269A4">
              <w:rPr>
                <w:rFonts w:cs="Arial"/>
                <w:szCs w:val="20"/>
              </w:rPr>
              <w:t xml:space="preserve">Addition of new final sentence in Technical Advice and in Delegated Regulation, indicating that the investment firm shall assess whether the effectiveness of the compliance function is compromised and that the assessment shall be reviewed on a regular basis. </w:t>
            </w:r>
          </w:p>
          <w:p w:rsidR="002335D9" w:rsidRPr="008269A4" w:rsidRDefault="002335D9" w:rsidP="00F629FE">
            <w:pPr>
              <w:spacing w:after="120"/>
              <w:rPr>
                <w:rFonts w:cs="Arial"/>
                <w:szCs w:val="20"/>
              </w:rPr>
            </w:pPr>
            <w:r w:rsidRPr="008269A4">
              <w:rPr>
                <w:rFonts w:cs="Arial"/>
                <w:szCs w:val="20"/>
              </w:rPr>
              <w:t>Minimal changes between Technical Advice and draft Delegated Regulation – language tidy-up.</w:t>
            </w:r>
          </w:p>
        </w:tc>
      </w:tr>
    </w:tbl>
    <w:p w:rsidR="002335D9" w:rsidRPr="008269A4" w:rsidRDefault="002335D9">
      <w:pPr>
        <w:rPr>
          <w:rFonts w:cs="Arial"/>
          <w:szCs w:val="20"/>
        </w:rPr>
      </w:pPr>
    </w:p>
    <w:p w:rsidR="00CD61BA" w:rsidRDefault="00CD61BA" w:rsidP="002335D9">
      <w:pPr>
        <w:pStyle w:val="ssPara1"/>
        <w:jc w:val="center"/>
      </w:pPr>
    </w:p>
    <w:p w:rsidR="00F975FA" w:rsidRDefault="00F975FA" w:rsidP="002335D9">
      <w:pPr>
        <w:pStyle w:val="ssPara1"/>
        <w:jc w:val="center"/>
      </w:pPr>
    </w:p>
    <w:p w:rsidR="00F975FA" w:rsidRDefault="00F975FA" w:rsidP="002335D9">
      <w:pPr>
        <w:pStyle w:val="ssPara1"/>
        <w:jc w:val="center"/>
      </w:pPr>
    </w:p>
    <w:p w:rsidR="00F975FA" w:rsidRDefault="00F975FA" w:rsidP="00F975FA">
      <w:pPr>
        <w:rPr>
          <w:rFonts w:cs="Arial"/>
          <w:b/>
          <w:i/>
          <w:szCs w:val="20"/>
        </w:rPr>
      </w:pPr>
      <w:r w:rsidRPr="002C05FD">
        <w:rPr>
          <w:rFonts w:cs="Arial"/>
          <w:b/>
          <w:color w:val="FF0000"/>
          <w:szCs w:val="20"/>
        </w:rPr>
        <w:lastRenderedPageBreak/>
        <w:t>* NEW*</w:t>
      </w:r>
      <w:r w:rsidRPr="002C05FD">
        <w:rPr>
          <w:rFonts w:cs="Arial"/>
          <w:b/>
          <w:szCs w:val="20"/>
        </w:rPr>
        <w:t xml:space="preserve"> Risk Management</w:t>
      </w:r>
    </w:p>
    <w:p w:rsidR="00F975FA" w:rsidRPr="004F7F07" w:rsidRDefault="00F975FA" w:rsidP="00F975FA">
      <w:pPr>
        <w:rPr>
          <w:rFonts w:cs="Arial"/>
          <w:b/>
          <w:i/>
          <w:szCs w:val="20"/>
        </w:rPr>
      </w:pPr>
      <w:r>
        <w:rPr>
          <w:rFonts w:cs="Arial"/>
          <w:b/>
          <w:i/>
          <w:szCs w:val="20"/>
        </w:rPr>
        <w:t>Does not appear to be addressed in ESMA Technical Advice.  MiFID 1 Implementing Directive provisions incorporated into draft Delegated Act</w:t>
      </w:r>
    </w:p>
    <w:p w:rsidR="00F975FA" w:rsidRDefault="00F975FA" w:rsidP="00F975FA">
      <w:pPr>
        <w:rPr>
          <w:rFonts w:cs="Arial"/>
          <w:szCs w:val="20"/>
        </w:rPr>
      </w:pPr>
    </w:p>
    <w:tbl>
      <w:tblPr>
        <w:tblStyle w:val="TableGrid"/>
        <w:tblW w:w="0" w:type="auto"/>
        <w:tblLook w:val="04A0" w:firstRow="1" w:lastRow="0" w:firstColumn="1" w:lastColumn="0" w:noHBand="0" w:noVBand="1"/>
      </w:tblPr>
      <w:tblGrid>
        <w:gridCol w:w="1951"/>
        <w:gridCol w:w="2552"/>
        <w:gridCol w:w="3260"/>
        <w:gridCol w:w="6455"/>
      </w:tblGrid>
      <w:tr w:rsidR="00F975FA" w:rsidRPr="00F975FA" w:rsidTr="00F975FA">
        <w:tc>
          <w:tcPr>
            <w:tcW w:w="1951" w:type="dxa"/>
            <w:shd w:val="clear" w:color="auto" w:fill="32464D"/>
          </w:tcPr>
          <w:p w:rsidR="00F975FA" w:rsidRPr="00F975FA" w:rsidRDefault="00F975FA" w:rsidP="00F975FA">
            <w:pPr>
              <w:rPr>
                <w:rFonts w:cs="Arial"/>
                <w:b/>
                <w:color w:val="FFFFFF" w:themeColor="background1"/>
                <w:sz w:val="20"/>
                <w:szCs w:val="20"/>
              </w:rPr>
            </w:pPr>
            <w:r w:rsidRPr="00F975FA">
              <w:rPr>
                <w:rFonts w:cs="Arial"/>
                <w:b/>
                <w:color w:val="FFFFFF" w:themeColor="background1"/>
                <w:sz w:val="20"/>
                <w:szCs w:val="20"/>
              </w:rPr>
              <w:t>ESMA Technical Advice</w:t>
            </w:r>
          </w:p>
        </w:tc>
        <w:tc>
          <w:tcPr>
            <w:tcW w:w="2552" w:type="dxa"/>
            <w:shd w:val="clear" w:color="auto" w:fill="32464D"/>
          </w:tcPr>
          <w:p w:rsidR="00F975FA" w:rsidRPr="00F975FA" w:rsidRDefault="00F975FA" w:rsidP="00E37F01">
            <w:pPr>
              <w:jc w:val="center"/>
              <w:rPr>
                <w:rFonts w:cs="Arial"/>
                <w:b/>
                <w:color w:val="FFFFFF" w:themeColor="background1"/>
                <w:sz w:val="20"/>
                <w:szCs w:val="20"/>
              </w:rPr>
            </w:pPr>
            <w:r w:rsidRPr="00F975FA">
              <w:rPr>
                <w:rFonts w:cs="Arial"/>
                <w:b/>
                <w:color w:val="FFFFFF" w:themeColor="background1"/>
                <w:sz w:val="20"/>
                <w:szCs w:val="20"/>
              </w:rPr>
              <w:t>MiFID 1 Implementing Directive</w:t>
            </w:r>
            <w:r w:rsidRPr="00F975FA">
              <w:rPr>
                <w:rFonts w:cs="Arial"/>
                <w:color w:val="FFFFFF" w:themeColor="background1"/>
                <w:sz w:val="20"/>
                <w:szCs w:val="20"/>
              </w:rPr>
              <w:t xml:space="preserve"> </w:t>
            </w:r>
            <w:r w:rsidRPr="00F975FA">
              <w:rPr>
                <w:rFonts w:cs="Arial"/>
                <w:b/>
                <w:color w:val="FFFFFF" w:themeColor="background1"/>
                <w:sz w:val="20"/>
                <w:szCs w:val="20"/>
              </w:rPr>
              <w:t>Article 7</w:t>
            </w:r>
          </w:p>
        </w:tc>
        <w:tc>
          <w:tcPr>
            <w:tcW w:w="3260" w:type="dxa"/>
            <w:shd w:val="clear" w:color="auto" w:fill="32464D"/>
          </w:tcPr>
          <w:p w:rsidR="00F975FA" w:rsidRPr="00F975FA" w:rsidRDefault="00F975FA" w:rsidP="00E37F01">
            <w:pPr>
              <w:jc w:val="center"/>
              <w:rPr>
                <w:rFonts w:cs="Arial"/>
                <w:b/>
                <w:color w:val="FFFFFF" w:themeColor="background1"/>
                <w:sz w:val="20"/>
                <w:szCs w:val="20"/>
              </w:rPr>
            </w:pPr>
            <w:r w:rsidRPr="00F975FA">
              <w:rPr>
                <w:rFonts w:cs="Arial"/>
                <w:b/>
                <w:color w:val="FFFFFF" w:themeColor="background1"/>
                <w:sz w:val="20"/>
                <w:szCs w:val="20"/>
              </w:rPr>
              <w:t>Commission Draft Delegated Regulation</w:t>
            </w:r>
          </w:p>
          <w:p w:rsidR="00F975FA" w:rsidRPr="00F975FA" w:rsidRDefault="00F975FA" w:rsidP="00E37F01">
            <w:pPr>
              <w:spacing w:after="120"/>
              <w:jc w:val="center"/>
              <w:rPr>
                <w:rFonts w:cs="Arial"/>
                <w:color w:val="FFFFFF" w:themeColor="background1"/>
                <w:sz w:val="20"/>
                <w:szCs w:val="20"/>
              </w:rPr>
            </w:pPr>
            <w:r w:rsidRPr="00F975FA">
              <w:rPr>
                <w:rFonts w:cs="Arial"/>
                <w:b/>
                <w:color w:val="FFFFFF" w:themeColor="background1"/>
                <w:sz w:val="20"/>
                <w:szCs w:val="20"/>
              </w:rPr>
              <w:t>Article 23</w:t>
            </w:r>
          </w:p>
        </w:tc>
        <w:tc>
          <w:tcPr>
            <w:tcW w:w="6455" w:type="dxa"/>
            <w:shd w:val="clear" w:color="auto" w:fill="32464D"/>
          </w:tcPr>
          <w:p w:rsidR="00F975FA" w:rsidRPr="00F975FA" w:rsidRDefault="00F975FA" w:rsidP="00E37F01">
            <w:pPr>
              <w:spacing w:after="120"/>
              <w:jc w:val="center"/>
              <w:rPr>
                <w:rFonts w:cs="Arial"/>
                <w:color w:val="FFFFFF" w:themeColor="background1"/>
                <w:sz w:val="20"/>
                <w:szCs w:val="20"/>
              </w:rPr>
            </w:pPr>
            <w:r w:rsidRPr="00F975FA">
              <w:rPr>
                <w:rFonts w:cs="Arial"/>
                <w:b/>
                <w:color w:val="FFFFFF" w:themeColor="background1"/>
                <w:sz w:val="20"/>
                <w:szCs w:val="20"/>
              </w:rPr>
              <w:t>Summary of Key Changes in Commission Draft Delegated Regulation</w:t>
            </w:r>
          </w:p>
        </w:tc>
      </w:tr>
      <w:tr w:rsidR="00F975FA" w:rsidRPr="00F975FA" w:rsidTr="00E37F01">
        <w:tc>
          <w:tcPr>
            <w:tcW w:w="1951" w:type="dxa"/>
          </w:tcPr>
          <w:p w:rsidR="00F975FA" w:rsidRPr="00F975FA" w:rsidRDefault="00F975FA" w:rsidP="00E37F01">
            <w:pPr>
              <w:rPr>
                <w:rFonts w:cs="Arial"/>
                <w:sz w:val="20"/>
                <w:szCs w:val="20"/>
              </w:rPr>
            </w:pPr>
            <w:r w:rsidRPr="00F975FA">
              <w:rPr>
                <w:rFonts w:cs="Arial"/>
                <w:sz w:val="20"/>
                <w:szCs w:val="20"/>
              </w:rPr>
              <w:t>N/A</w:t>
            </w:r>
          </w:p>
        </w:tc>
        <w:tc>
          <w:tcPr>
            <w:tcW w:w="2552" w:type="dxa"/>
          </w:tcPr>
          <w:p w:rsidR="00F975FA" w:rsidRPr="00F975FA" w:rsidRDefault="00F975FA" w:rsidP="00E37F01">
            <w:pPr>
              <w:rPr>
                <w:sz w:val="20"/>
              </w:rPr>
            </w:pPr>
            <w:r w:rsidRPr="00F975FA">
              <w:rPr>
                <w:rFonts w:cs="Arial"/>
                <w:sz w:val="20"/>
                <w:szCs w:val="20"/>
              </w:rPr>
              <w:t>Article 7(1) and (2)</w:t>
            </w:r>
          </w:p>
        </w:tc>
        <w:tc>
          <w:tcPr>
            <w:tcW w:w="3260" w:type="dxa"/>
          </w:tcPr>
          <w:p w:rsidR="00F975FA" w:rsidRPr="00F975FA" w:rsidRDefault="00F975FA" w:rsidP="00E37F01">
            <w:pPr>
              <w:rPr>
                <w:rFonts w:cs="Arial"/>
                <w:sz w:val="20"/>
                <w:szCs w:val="20"/>
              </w:rPr>
            </w:pPr>
            <w:r w:rsidRPr="00F975FA">
              <w:rPr>
                <w:rFonts w:cs="Arial"/>
                <w:sz w:val="20"/>
                <w:szCs w:val="20"/>
              </w:rPr>
              <w:t>Article 23(1) and (2)</w:t>
            </w:r>
          </w:p>
        </w:tc>
        <w:tc>
          <w:tcPr>
            <w:tcW w:w="6455" w:type="dxa"/>
            <w:shd w:val="clear" w:color="auto" w:fill="FFC000"/>
          </w:tcPr>
          <w:p w:rsidR="00F975FA" w:rsidRPr="00F975FA" w:rsidRDefault="00F975FA" w:rsidP="00E37F01">
            <w:pPr>
              <w:spacing w:after="120"/>
              <w:rPr>
                <w:rFonts w:cs="Arial"/>
                <w:sz w:val="20"/>
                <w:szCs w:val="20"/>
              </w:rPr>
            </w:pPr>
            <w:r w:rsidRPr="00F975FA">
              <w:rPr>
                <w:rFonts w:cs="Arial"/>
                <w:sz w:val="20"/>
                <w:szCs w:val="20"/>
              </w:rPr>
              <w:t>MiFID 1 Implementing Directive Article 7 incorporated into Delegated Act Article 23.  Minor changes – language tidy-up.</w:t>
            </w:r>
          </w:p>
        </w:tc>
      </w:tr>
    </w:tbl>
    <w:p w:rsidR="00F975FA" w:rsidRPr="002C05FD" w:rsidRDefault="00F975FA" w:rsidP="00F975FA">
      <w:pPr>
        <w:rPr>
          <w:rFonts w:cs="Arial"/>
          <w:szCs w:val="20"/>
        </w:rPr>
      </w:pPr>
    </w:p>
    <w:p w:rsidR="00F975FA" w:rsidRDefault="00F975FA" w:rsidP="00F975FA">
      <w:pPr>
        <w:rPr>
          <w:rFonts w:cs="Arial"/>
          <w:b/>
          <w:szCs w:val="20"/>
        </w:rPr>
      </w:pPr>
      <w:r w:rsidRPr="002C05FD">
        <w:rPr>
          <w:rFonts w:cs="Arial"/>
          <w:b/>
          <w:color w:val="FF0000"/>
          <w:szCs w:val="20"/>
        </w:rPr>
        <w:t>* NEW*</w:t>
      </w:r>
      <w:r w:rsidRPr="002C05FD">
        <w:rPr>
          <w:rFonts w:cs="Arial"/>
          <w:b/>
          <w:szCs w:val="20"/>
        </w:rPr>
        <w:t xml:space="preserve"> Internal Audit</w:t>
      </w:r>
    </w:p>
    <w:p w:rsidR="00F975FA" w:rsidRPr="004F7F07" w:rsidRDefault="00F975FA" w:rsidP="00F975FA">
      <w:pPr>
        <w:rPr>
          <w:rFonts w:cs="Arial"/>
          <w:b/>
          <w:i/>
          <w:szCs w:val="20"/>
        </w:rPr>
      </w:pPr>
      <w:r>
        <w:rPr>
          <w:rFonts w:cs="Arial"/>
          <w:b/>
          <w:i/>
          <w:szCs w:val="20"/>
        </w:rPr>
        <w:t>Does not appear to be addressed in ESMA Technical Advice.  MiFID 1 Implementing Directive provisions incorporated into draft Delegated Act</w:t>
      </w:r>
    </w:p>
    <w:tbl>
      <w:tblPr>
        <w:tblStyle w:val="TableGrid"/>
        <w:tblW w:w="0" w:type="auto"/>
        <w:tblLook w:val="04A0" w:firstRow="1" w:lastRow="0" w:firstColumn="1" w:lastColumn="0" w:noHBand="0" w:noVBand="1"/>
      </w:tblPr>
      <w:tblGrid>
        <w:gridCol w:w="1951"/>
        <w:gridCol w:w="2552"/>
        <w:gridCol w:w="3260"/>
        <w:gridCol w:w="6455"/>
      </w:tblGrid>
      <w:tr w:rsidR="00F975FA" w:rsidRPr="00F975FA" w:rsidTr="00F975FA">
        <w:tc>
          <w:tcPr>
            <w:tcW w:w="1951" w:type="dxa"/>
            <w:shd w:val="clear" w:color="auto" w:fill="32464D"/>
          </w:tcPr>
          <w:p w:rsidR="00F975FA" w:rsidRPr="00F975FA" w:rsidRDefault="00F975FA" w:rsidP="00E37F01">
            <w:pPr>
              <w:jc w:val="center"/>
              <w:rPr>
                <w:rFonts w:cs="Arial"/>
                <w:b/>
                <w:color w:val="FFFFFF" w:themeColor="background1"/>
                <w:sz w:val="20"/>
                <w:szCs w:val="20"/>
              </w:rPr>
            </w:pPr>
            <w:r w:rsidRPr="00F975FA">
              <w:rPr>
                <w:rFonts w:cs="Arial"/>
                <w:b/>
                <w:color w:val="FFFFFF" w:themeColor="background1"/>
                <w:sz w:val="20"/>
                <w:szCs w:val="20"/>
              </w:rPr>
              <w:t>ESMA Technical Advice</w:t>
            </w:r>
          </w:p>
        </w:tc>
        <w:tc>
          <w:tcPr>
            <w:tcW w:w="2552" w:type="dxa"/>
            <w:shd w:val="clear" w:color="auto" w:fill="32464D"/>
          </w:tcPr>
          <w:p w:rsidR="00F975FA" w:rsidRPr="00F975FA" w:rsidRDefault="00F975FA" w:rsidP="00E37F01">
            <w:pPr>
              <w:jc w:val="center"/>
              <w:rPr>
                <w:rFonts w:cs="Arial"/>
                <w:b/>
                <w:color w:val="FFFFFF" w:themeColor="background1"/>
                <w:sz w:val="20"/>
                <w:szCs w:val="20"/>
              </w:rPr>
            </w:pPr>
            <w:r w:rsidRPr="00F975FA">
              <w:rPr>
                <w:rFonts w:cs="Arial"/>
                <w:b/>
                <w:color w:val="FFFFFF" w:themeColor="background1"/>
                <w:sz w:val="20"/>
                <w:szCs w:val="20"/>
              </w:rPr>
              <w:t>MiFID 1 Implementing Directive</w:t>
            </w:r>
          </w:p>
          <w:p w:rsidR="00F975FA" w:rsidRPr="00F975FA" w:rsidRDefault="00F975FA" w:rsidP="00E37F01">
            <w:pPr>
              <w:spacing w:after="120"/>
              <w:jc w:val="center"/>
              <w:rPr>
                <w:rFonts w:cs="Arial"/>
                <w:color w:val="FFFFFF" w:themeColor="background1"/>
                <w:sz w:val="20"/>
                <w:szCs w:val="20"/>
              </w:rPr>
            </w:pPr>
            <w:r w:rsidRPr="00F975FA">
              <w:rPr>
                <w:rFonts w:cs="Arial"/>
                <w:b/>
                <w:color w:val="FFFFFF" w:themeColor="background1"/>
                <w:sz w:val="20"/>
                <w:szCs w:val="20"/>
              </w:rPr>
              <w:t>Article 8</w:t>
            </w:r>
          </w:p>
        </w:tc>
        <w:tc>
          <w:tcPr>
            <w:tcW w:w="3260" w:type="dxa"/>
            <w:shd w:val="clear" w:color="auto" w:fill="32464D"/>
          </w:tcPr>
          <w:p w:rsidR="00F975FA" w:rsidRPr="00F975FA" w:rsidRDefault="00F975FA" w:rsidP="00E37F01">
            <w:pPr>
              <w:jc w:val="center"/>
              <w:rPr>
                <w:rFonts w:cs="Arial"/>
                <w:b/>
                <w:color w:val="FFFFFF" w:themeColor="background1"/>
                <w:sz w:val="20"/>
                <w:szCs w:val="20"/>
              </w:rPr>
            </w:pPr>
            <w:r w:rsidRPr="00F975FA">
              <w:rPr>
                <w:rFonts w:cs="Arial"/>
                <w:b/>
                <w:color w:val="FFFFFF" w:themeColor="background1"/>
                <w:sz w:val="20"/>
                <w:szCs w:val="20"/>
              </w:rPr>
              <w:t>Commission Draft Delegated Regulation</w:t>
            </w:r>
          </w:p>
          <w:p w:rsidR="00F975FA" w:rsidRPr="00F975FA" w:rsidRDefault="00F975FA" w:rsidP="00E37F01">
            <w:pPr>
              <w:spacing w:after="120"/>
              <w:jc w:val="center"/>
              <w:rPr>
                <w:rFonts w:cs="Arial"/>
                <w:color w:val="FFFFFF" w:themeColor="background1"/>
                <w:sz w:val="20"/>
                <w:szCs w:val="20"/>
              </w:rPr>
            </w:pPr>
            <w:r w:rsidRPr="00F975FA">
              <w:rPr>
                <w:rFonts w:cs="Arial"/>
                <w:b/>
                <w:color w:val="FFFFFF" w:themeColor="background1"/>
                <w:sz w:val="20"/>
                <w:szCs w:val="20"/>
              </w:rPr>
              <w:t>Article 24</w:t>
            </w:r>
          </w:p>
        </w:tc>
        <w:tc>
          <w:tcPr>
            <w:tcW w:w="6455" w:type="dxa"/>
            <w:shd w:val="clear" w:color="auto" w:fill="32464D"/>
          </w:tcPr>
          <w:p w:rsidR="00F975FA" w:rsidRPr="00F975FA" w:rsidRDefault="00F975FA" w:rsidP="00E37F01">
            <w:pPr>
              <w:spacing w:after="120"/>
              <w:jc w:val="center"/>
              <w:rPr>
                <w:rFonts w:cs="Arial"/>
                <w:color w:val="FFFFFF" w:themeColor="background1"/>
                <w:sz w:val="20"/>
                <w:szCs w:val="20"/>
              </w:rPr>
            </w:pPr>
            <w:r w:rsidRPr="00F975FA">
              <w:rPr>
                <w:rFonts w:cs="Arial"/>
                <w:b/>
                <w:color w:val="FFFFFF" w:themeColor="background1"/>
                <w:sz w:val="20"/>
                <w:szCs w:val="20"/>
              </w:rPr>
              <w:t>Summary of Key Changes in Commission Draft Delegated Regulation</w:t>
            </w:r>
          </w:p>
        </w:tc>
      </w:tr>
      <w:tr w:rsidR="00F975FA" w:rsidRPr="00F975FA" w:rsidTr="00E37F01">
        <w:tc>
          <w:tcPr>
            <w:tcW w:w="1951" w:type="dxa"/>
          </w:tcPr>
          <w:p w:rsidR="00F975FA" w:rsidRPr="00F975FA" w:rsidRDefault="00F975FA" w:rsidP="00E37F01">
            <w:pPr>
              <w:rPr>
                <w:sz w:val="20"/>
              </w:rPr>
            </w:pPr>
            <w:r w:rsidRPr="00F975FA">
              <w:rPr>
                <w:rFonts w:cs="Arial"/>
                <w:sz w:val="20"/>
                <w:szCs w:val="20"/>
              </w:rPr>
              <w:t>N/A</w:t>
            </w:r>
          </w:p>
        </w:tc>
        <w:tc>
          <w:tcPr>
            <w:tcW w:w="2552" w:type="dxa"/>
          </w:tcPr>
          <w:p w:rsidR="00F975FA" w:rsidRPr="00F975FA" w:rsidRDefault="00F975FA" w:rsidP="00E37F01">
            <w:pPr>
              <w:rPr>
                <w:sz w:val="20"/>
              </w:rPr>
            </w:pPr>
            <w:r w:rsidRPr="00F975FA">
              <w:rPr>
                <w:rFonts w:cs="Arial"/>
                <w:sz w:val="20"/>
                <w:szCs w:val="20"/>
              </w:rPr>
              <w:t>Article 8</w:t>
            </w:r>
          </w:p>
        </w:tc>
        <w:tc>
          <w:tcPr>
            <w:tcW w:w="3260" w:type="dxa"/>
          </w:tcPr>
          <w:p w:rsidR="00F975FA" w:rsidRPr="00F975FA" w:rsidRDefault="00F975FA" w:rsidP="00E37F01">
            <w:pPr>
              <w:rPr>
                <w:rFonts w:cs="Arial"/>
                <w:sz w:val="20"/>
                <w:szCs w:val="20"/>
              </w:rPr>
            </w:pPr>
            <w:r w:rsidRPr="00F975FA">
              <w:rPr>
                <w:rFonts w:cs="Arial"/>
                <w:sz w:val="20"/>
                <w:szCs w:val="20"/>
              </w:rPr>
              <w:t>Article 24</w:t>
            </w:r>
          </w:p>
        </w:tc>
        <w:tc>
          <w:tcPr>
            <w:tcW w:w="6455" w:type="dxa"/>
            <w:shd w:val="clear" w:color="auto" w:fill="FFC000"/>
          </w:tcPr>
          <w:p w:rsidR="00F975FA" w:rsidRPr="00F975FA" w:rsidRDefault="00F975FA" w:rsidP="00E37F01">
            <w:pPr>
              <w:spacing w:after="120"/>
              <w:rPr>
                <w:rFonts w:cs="Arial"/>
                <w:sz w:val="20"/>
                <w:szCs w:val="20"/>
              </w:rPr>
            </w:pPr>
            <w:r w:rsidRPr="00F975FA">
              <w:rPr>
                <w:rFonts w:cs="Arial"/>
                <w:sz w:val="20"/>
                <w:szCs w:val="20"/>
              </w:rPr>
              <w:t>MiFID 1 Implementing Directive Article 8 incorporated into Delegated Act Article 24.  Minor changes – language tidy-up.</w:t>
            </w:r>
          </w:p>
        </w:tc>
      </w:tr>
    </w:tbl>
    <w:p w:rsidR="00F975FA" w:rsidRDefault="00F975FA" w:rsidP="00F975FA">
      <w:pPr>
        <w:rPr>
          <w:rFonts w:cs="Arial"/>
          <w:szCs w:val="20"/>
        </w:rPr>
      </w:pPr>
    </w:p>
    <w:p w:rsidR="00F975FA" w:rsidRDefault="00F975FA" w:rsidP="00F975FA">
      <w:pPr>
        <w:rPr>
          <w:rFonts w:cs="Arial"/>
          <w:szCs w:val="20"/>
        </w:rPr>
      </w:pPr>
    </w:p>
    <w:p w:rsidR="00F975FA" w:rsidRDefault="00F975FA" w:rsidP="00F975FA">
      <w:pPr>
        <w:rPr>
          <w:rFonts w:cs="Arial"/>
          <w:b/>
          <w:szCs w:val="20"/>
        </w:rPr>
      </w:pPr>
      <w:r w:rsidRPr="002C05FD">
        <w:rPr>
          <w:rFonts w:cs="Arial"/>
          <w:b/>
          <w:color w:val="FF0000"/>
          <w:szCs w:val="20"/>
        </w:rPr>
        <w:t>* NEW*</w:t>
      </w:r>
      <w:r w:rsidRPr="002C05FD">
        <w:rPr>
          <w:rFonts w:cs="Arial"/>
          <w:b/>
          <w:szCs w:val="20"/>
        </w:rPr>
        <w:t xml:space="preserve"> Responsibility of Senior Management</w:t>
      </w:r>
    </w:p>
    <w:p w:rsidR="00F975FA" w:rsidRPr="004F7F07" w:rsidRDefault="00F975FA" w:rsidP="00F975FA">
      <w:pPr>
        <w:rPr>
          <w:rFonts w:cs="Arial"/>
          <w:b/>
          <w:i/>
          <w:szCs w:val="20"/>
        </w:rPr>
      </w:pPr>
      <w:r>
        <w:rPr>
          <w:rFonts w:cs="Arial"/>
          <w:b/>
          <w:i/>
          <w:szCs w:val="20"/>
        </w:rPr>
        <w:t>Does not appear to be addressed in ESMA Technical Advice.  MiFID 1 Implementing Directive provisions incorporated into draft Delegated Act</w:t>
      </w:r>
    </w:p>
    <w:p w:rsidR="00F975FA" w:rsidRDefault="00F975FA" w:rsidP="00F975FA">
      <w:pPr>
        <w:rPr>
          <w:rFonts w:cs="Arial"/>
          <w:szCs w:val="20"/>
        </w:rPr>
      </w:pPr>
    </w:p>
    <w:tbl>
      <w:tblPr>
        <w:tblStyle w:val="TableGrid"/>
        <w:tblW w:w="0" w:type="auto"/>
        <w:tblLook w:val="04A0" w:firstRow="1" w:lastRow="0" w:firstColumn="1" w:lastColumn="0" w:noHBand="0" w:noVBand="1"/>
      </w:tblPr>
      <w:tblGrid>
        <w:gridCol w:w="1951"/>
        <w:gridCol w:w="2552"/>
        <w:gridCol w:w="3260"/>
        <w:gridCol w:w="6455"/>
      </w:tblGrid>
      <w:tr w:rsidR="00F975FA" w:rsidRPr="00F975FA" w:rsidTr="00F975FA">
        <w:tc>
          <w:tcPr>
            <w:tcW w:w="1951" w:type="dxa"/>
            <w:shd w:val="clear" w:color="auto" w:fill="32464D"/>
          </w:tcPr>
          <w:p w:rsidR="00F975FA" w:rsidRPr="00F975FA" w:rsidRDefault="00F975FA" w:rsidP="00E37F01">
            <w:pPr>
              <w:jc w:val="center"/>
              <w:rPr>
                <w:rFonts w:cs="Arial"/>
                <w:b/>
                <w:color w:val="FFFFFF" w:themeColor="background1"/>
                <w:sz w:val="20"/>
                <w:szCs w:val="20"/>
              </w:rPr>
            </w:pPr>
            <w:r w:rsidRPr="00F975FA">
              <w:rPr>
                <w:rFonts w:cs="Arial"/>
                <w:b/>
                <w:color w:val="FFFFFF" w:themeColor="background1"/>
                <w:sz w:val="20"/>
                <w:szCs w:val="20"/>
              </w:rPr>
              <w:t>ESMA Technical Advice</w:t>
            </w:r>
          </w:p>
        </w:tc>
        <w:tc>
          <w:tcPr>
            <w:tcW w:w="2552" w:type="dxa"/>
            <w:shd w:val="clear" w:color="auto" w:fill="32464D"/>
          </w:tcPr>
          <w:p w:rsidR="00F975FA" w:rsidRPr="00F975FA" w:rsidRDefault="00F975FA" w:rsidP="00E37F01">
            <w:pPr>
              <w:jc w:val="center"/>
              <w:rPr>
                <w:rFonts w:cs="Arial"/>
                <w:b/>
                <w:color w:val="FFFFFF" w:themeColor="background1"/>
                <w:sz w:val="20"/>
                <w:szCs w:val="20"/>
              </w:rPr>
            </w:pPr>
            <w:r w:rsidRPr="00F975FA">
              <w:rPr>
                <w:rFonts w:cs="Arial"/>
                <w:b/>
                <w:color w:val="FFFFFF" w:themeColor="background1"/>
                <w:sz w:val="20"/>
                <w:szCs w:val="20"/>
              </w:rPr>
              <w:t>MiFID 1 Implementing Directive</w:t>
            </w:r>
          </w:p>
          <w:p w:rsidR="00F975FA" w:rsidRPr="00F975FA" w:rsidRDefault="00F975FA" w:rsidP="00E37F01">
            <w:pPr>
              <w:spacing w:after="120"/>
              <w:jc w:val="center"/>
              <w:rPr>
                <w:rFonts w:cs="Arial"/>
                <w:color w:val="FFFFFF" w:themeColor="background1"/>
                <w:sz w:val="20"/>
                <w:szCs w:val="20"/>
              </w:rPr>
            </w:pPr>
            <w:r w:rsidRPr="00F975FA">
              <w:rPr>
                <w:rFonts w:cs="Arial"/>
                <w:b/>
                <w:color w:val="FFFFFF" w:themeColor="background1"/>
                <w:sz w:val="20"/>
                <w:szCs w:val="20"/>
              </w:rPr>
              <w:t>Article 9</w:t>
            </w:r>
          </w:p>
        </w:tc>
        <w:tc>
          <w:tcPr>
            <w:tcW w:w="3260" w:type="dxa"/>
            <w:shd w:val="clear" w:color="auto" w:fill="32464D"/>
          </w:tcPr>
          <w:p w:rsidR="00F975FA" w:rsidRPr="00F975FA" w:rsidRDefault="00F975FA" w:rsidP="00E37F01">
            <w:pPr>
              <w:jc w:val="center"/>
              <w:rPr>
                <w:rFonts w:cs="Arial"/>
                <w:b/>
                <w:color w:val="FFFFFF" w:themeColor="background1"/>
                <w:sz w:val="20"/>
                <w:szCs w:val="20"/>
              </w:rPr>
            </w:pPr>
            <w:r w:rsidRPr="00F975FA">
              <w:rPr>
                <w:rFonts w:cs="Arial"/>
                <w:b/>
                <w:color w:val="FFFFFF" w:themeColor="background1"/>
                <w:sz w:val="20"/>
                <w:szCs w:val="20"/>
              </w:rPr>
              <w:t>Commission Draft Delegated Regulation</w:t>
            </w:r>
          </w:p>
          <w:p w:rsidR="00F975FA" w:rsidRPr="00F975FA" w:rsidRDefault="00F975FA" w:rsidP="00E37F01">
            <w:pPr>
              <w:spacing w:after="120"/>
              <w:jc w:val="center"/>
              <w:rPr>
                <w:rFonts w:cs="Arial"/>
                <w:color w:val="FFFFFF" w:themeColor="background1"/>
                <w:sz w:val="20"/>
                <w:szCs w:val="20"/>
              </w:rPr>
            </w:pPr>
            <w:r w:rsidRPr="00F975FA">
              <w:rPr>
                <w:rFonts w:cs="Arial"/>
                <w:b/>
                <w:color w:val="FFFFFF" w:themeColor="background1"/>
                <w:sz w:val="20"/>
                <w:szCs w:val="20"/>
              </w:rPr>
              <w:t>Article 25</w:t>
            </w:r>
          </w:p>
        </w:tc>
        <w:tc>
          <w:tcPr>
            <w:tcW w:w="6455" w:type="dxa"/>
            <w:shd w:val="clear" w:color="auto" w:fill="32464D"/>
          </w:tcPr>
          <w:p w:rsidR="00F975FA" w:rsidRPr="00F975FA" w:rsidRDefault="00F975FA" w:rsidP="00E37F01">
            <w:pPr>
              <w:spacing w:after="120"/>
              <w:jc w:val="center"/>
              <w:rPr>
                <w:rFonts w:cs="Arial"/>
                <w:color w:val="FFFFFF" w:themeColor="background1"/>
                <w:sz w:val="20"/>
                <w:szCs w:val="20"/>
              </w:rPr>
            </w:pPr>
            <w:r w:rsidRPr="00F975FA">
              <w:rPr>
                <w:rFonts w:cs="Arial"/>
                <w:b/>
                <w:color w:val="FFFFFF" w:themeColor="background1"/>
                <w:sz w:val="20"/>
                <w:szCs w:val="20"/>
              </w:rPr>
              <w:t>Summary of Key Changes in Commission Draft Delegated Regulation</w:t>
            </w:r>
          </w:p>
        </w:tc>
      </w:tr>
      <w:tr w:rsidR="00F975FA" w:rsidRPr="00F975FA" w:rsidTr="00E37F01">
        <w:tc>
          <w:tcPr>
            <w:tcW w:w="1951" w:type="dxa"/>
          </w:tcPr>
          <w:p w:rsidR="00F975FA" w:rsidRPr="00F975FA" w:rsidRDefault="00F975FA" w:rsidP="00E37F01">
            <w:pPr>
              <w:rPr>
                <w:sz w:val="20"/>
              </w:rPr>
            </w:pPr>
            <w:r w:rsidRPr="00F975FA">
              <w:rPr>
                <w:rFonts w:cs="Arial"/>
                <w:sz w:val="20"/>
                <w:szCs w:val="20"/>
              </w:rPr>
              <w:t>N/A</w:t>
            </w:r>
          </w:p>
        </w:tc>
        <w:tc>
          <w:tcPr>
            <w:tcW w:w="2552" w:type="dxa"/>
          </w:tcPr>
          <w:p w:rsidR="00F975FA" w:rsidRPr="00F975FA" w:rsidRDefault="00F975FA" w:rsidP="00E37F01">
            <w:pPr>
              <w:rPr>
                <w:sz w:val="20"/>
              </w:rPr>
            </w:pPr>
            <w:r w:rsidRPr="00F975FA">
              <w:rPr>
                <w:rFonts w:cs="Arial"/>
                <w:sz w:val="20"/>
                <w:szCs w:val="20"/>
              </w:rPr>
              <w:t>Article 9(1) to (4)</w:t>
            </w:r>
          </w:p>
        </w:tc>
        <w:tc>
          <w:tcPr>
            <w:tcW w:w="3260" w:type="dxa"/>
          </w:tcPr>
          <w:p w:rsidR="00F975FA" w:rsidRPr="00F975FA" w:rsidRDefault="00F975FA" w:rsidP="00E37F01">
            <w:pPr>
              <w:rPr>
                <w:rFonts w:cs="Arial"/>
                <w:sz w:val="20"/>
                <w:szCs w:val="20"/>
              </w:rPr>
            </w:pPr>
            <w:r w:rsidRPr="00F975FA">
              <w:rPr>
                <w:rFonts w:cs="Arial"/>
                <w:sz w:val="20"/>
                <w:szCs w:val="20"/>
              </w:rPr>
              <w:t>Article 25(1) to (4)</w:t>
            </w:r>
          </w:p>
        </w:tc>
        <w:tc>
          <w:tcPr>
            <w:tcW w:w="6455" w:type="dxa"/>
            <w:shd w:val="clear" w:color="auto" w:fill="FFC000"/>
          </w:tcPr>
          <w:p w:rsidR="00F975FA" w:rsidRPr="00F975FA" w:rsidRDefault="00F975FA" w:rsidP="00E37F01">
            <w:pPr>
              <w:spacing w:after="120"/>
              <w:rPr>
                <w:rFonts w:cs="Arial"/>
                <w:sz w:val="20"/>
                <w:szCs w:val="20"/>
              </w:rPr>
            </w:pPr>
            <w:r w:rsidRPr="00F975FA">
              <w:rPr>
                <w:rFonts w:cs="Arial"/>
                <w:sz w:val="20"/>
                <w:szCs w:val="20"/>
              </w:rPr>
              <w:t xml:space="preserve">MiFID 1 Implementing Directive Article 9 incorporated into Delegated Act Article 25.  New sentence added to Article 25(1): </w:t>
            </w:r>
          </w:p>
          <w:p w:rsidR="00F975FA" w:rsidRPr="00F975FA" w:rsidRDefault="00F975FA" w:rsidP="00E37F01">
            <w:pPr>
              <w:spacing w:after="120"/>
              <w:rPr>
                <w:rFonts w:cs="Arial"/>
                <w:sz w:val="20"/>
                <w:szCs w:val="20"/>
              </w:rPr>
            </w:pPr>
            <w:r w:rsidRPr="00F975FA">
              <w:rPr>
                <w:rFonts w:cs="Arial"/>
                <w:sz w:val="20"/>
                <w:szCs w:val="20"/>
              </w:rPr>
              <w:t>“</w:t>
            </w:r>
            <w:r w:rsidRPr="00F975FA">
              <w:rPr>
                <w:rFonts w:cs="Arial"/>
                <w:i/>
                <w:sz w:val="20"/>
                <w:szCs w:val="20"/>
              </w:rPr>
              <w:t>The allocation of significant functions among senior managers shall clearly establish who is responsible for overseeing and maintaining the firm’s organisational requirements. Records of the allocation of significant functions shall be kept up-to-date.</w:t>
            </w:r>
            <w:r w:rsidRPr="00F975FA">
              <w:rPr>
                <w:rFonts w:cs="Arial"/>
                <w:sz w:val="20"/>
                <w:szCs w:val="20"/>
              </w:rPr>
              <w:t>”</w:t>
            </w:r>
          </w:p>
          <w:p w:rsidR="00F975FA" w:rsidRPr="00F975FA" w:rsidRDefault="00F975FA" w:rsidP="00E37F01">
            <w:pPr>
              <w:spacing w:after="120"/>
              <w:rPr>
                <w:rFonts w:cs="Arial"/>
                <w:sz w:val="20"/>
                <w:szCs w:val="20"/>
              </w:rPr>
            </w:pPr>
            <w:r w:rsidRPr="00F975FA">
              <w:rPr>
                <w:rFonts w:cs="Arial"/>
                <w:sz w:val="20"/>
                <w:szCs w:val="20"/>
              </w:rPr>
              <w:t>Otherwise, minor changes – language tidy-up.</w:t>
            </w:r>
          </w:p>
        </w:tc>
      </w:tr>
    </w:tbl>
    <w:p w:rsidR="00F975FA" w:rsidRPr="008B309A" w:rsidRDefault="00F975FA" w:rsidP="00F975FA">
      <w:pPr>
        <w:rPr>
          <w:rFonts w:cs="Arial"/>
          <w:szCs w:val="20"/>
        </w:rPr>
      </w:pPr>
    </w:p>
    <w:p w:rsidR="00F975FA" w:rsidRDefault="00F975FA" w:rsidP="002335D9">
      <w:pPr>
        <w:pStyle w:val="ssPara1"/>
        <w:jc w:val="center"/>
        <w:sectPr w:rsidR="00F975FA" w:rsidSect="00CB058A">
          <w:headerReference w:type="default" r:id="rId11"/>
          <w:footerReference w:type="even" r:id="rId12"/>
          <w:footerReference w:type="default" r:id="rId13"/>
          <w:footerReference w:type="first" r:id="rId14"/>
          <w:pgSz w:w="16838" w:h="11906" w:orient="landscape" w:code="9"/>
          <w:pgMar w:top="1418" w:right="1418" w:bottom="1418" w:left="1418" w:header="709" w:footer="709" w:gutter="0"/>
          <w:cols w:space="708"/>
          <w:docGrid w:linePitch="360"/>
        </w:sectPr>
      </w:pPr>
    </w:p>
    <w:p w:rsidR="002335D9" w:rsidRPr="002335D9" w:rsidRDefault="002335D9" w:rsidP="002335D9">
      <w:pPr>
        <w:pStyle w:val="ssPara1"/>
        <w:jc w:val="center"/>
        <w:rPr>
          <w:b/>
        </w:rPr>
      </w:pPr>
      <w:r w:rsidRPr="002335D9">
        <w:rPr>
          <w:b/>
        </w:rPr>
        <w:lastRenderedPageBreak/>
        <w:t>ESMA Technical Advice – Compliance (pages 18 -19)</w:t>
      </w:r>
    </w:p>
    <w:p w:rsidR="002335D9" w:rsidRPr="008269A4" w:rsidRDefault="002335D9" w:rsidP="002335D9">
      <w:pPr>
        <w:pStyle w:val="ssNoHeading1"/>
      </w:pPr>
      <w:r w:rsidRPr="008269A4">
        <w:t xml:space="preserve">ESMA considers that Article 6 of the MiFID Implementing Directive should be integrated and modified as set out below.  </w:t>
      </w:r>
    </w:p>
    <w:p w:rsidR="002335D9" w:rsidRPr="008269A4" w:rsidRDefault="002335D9" w:rsidP="002335D9">
      <w:pPr>
        <w:pStyle w:val="ssNoHeading1"/>
      </w:pPr>
      <w:r w:rsidRPr="008269A4">
        <w:t xml:space="preserve">Investment firms shall establish, implement and maintain adequate policies and procedures designed to detect any risk of failure by the firm to comply with its obligations under MiFID II, as well as the associated risks, and put in place adequate measures and procedures de-signed to minimise such risks and to enable NCAs to exercise their powers effectively under that Directive. For those purposes, investment firms should take into account the nature, scale and complexity of the business of the firm, and the nature and range of investment services and activities undertaken in the course of that business. </w:t>
      </w:r>
    </w:p>
    <w:p w:rsidR="002335D9" w:rsidRPr="008269A4" w:rsidRDefault="002335D9" w:rsidP="002335D9">
      <w:pPr>
        <w:pStyle w:val="ssNoHeading1"/>
      </w:pPr>
      <w:r w:rsidRPr="008269A4">
        <w:t xml:space="preserve">Investment firms shall establish and maintain a permanent and effective compliance function that operates independently and that has the following responsibilities: </w:t>
      </w:r>
    </w:p>
    <w:p w:rsidR="002335D9" w:rsidRPr="008269A4" w:rsidRDefault="002335D9" w:rsidP="002335D9">
      <w:pPr>
        <w:pStyle w:val="ssPara2"/>
        <w:numPr>
          <w:ilvl w:val="0"/>
          <w:numId w:val="30"/>
        </w:numPr>
        <w:ind w:hanging="709"/>
      </w:pPr>
      <w:r w:rsidRPr="008269A4">
        <w:t xml:space="preserve">to monitor on a permanent basis and to assess, on a regular basis, the adequacy and effectiveness of the measures and procedures put in place in accordance with subparagraph 1 of Article 6(1) of the MiFID Implementing Directive, and the actions taken to address any deficiencies in the firm's compliance with its obligations; </w:t>
      </w:r>
    </w:p>
    <w:p w:rsidR="002335D9" w:rsidRPr="008269A4" w:rsidRDefault="002335D9" w:rsidP="002335D9">
      <w:pPr>
        <w:pStyle w:val="ssPara2"/>
        <w:numPr>
          <w:ilvl w:val="0"/>
          <w:numId w:val="30"/>
        </w:numPr>
        <w:ind w:hanging="709"/>
      </w:pPr>
      <w:r w:rsidRPr="008269A4">
        <w:t xml:space="preserve">to advise and assist the relevant persons responsible for carrying out investment services and activities to comply with the firm's obligations under MiFID II; </w:t>
      </w:r>
    </w:p>
    <w:p w:rsidR="002335D9" w:rsidRPr="008269A4" w:rsidRDefault="002335D9" w:rsidP="002335D9">
      <w:pPr>
        <w:pStyle w:val="ssPara2"/>
        <w:numPr>
          <w:ilvl w:val="0"/>
          <w:numId w:val="30"/>
        </w:numPr>
        <w:ind w:hanging="709"/>
      </w:pPr>
      <w:r w:rsidRPr="008269A4">
        <w:t xml:space="preserve">to report to the management body, at least annually, on the implementation and effectiveness of the overall control environment for investment services and activities, on the risks that have been identified and on the complaints-handling reporting as well as remedies undertaken or to be undertaken; and </w:t>
      </w:r>
    </w:p>
    <w:p w:rsidR="002335D9" w:rsidRPr="008269A4" w:rsidRDefault="002335D9" w:rsidP="002335D9">
      <w:pPr>
        <w:pStyle w:val="ssPara2"/>
        <w:numPr>
          <w:ilvl w:val="0"/>
          <w:numId w:val="30"/>
        </w:numPr>
        <w:ind w:hanging="709"/>
      </w:pPr>
      <w:r w:rsidRPr="008269A4">
        <w:t xml:space="preserve">to monitor the operations of the complaints-handling process and consider complaints as a source of relevant information in the context of its general monitoring responsibilities. </w:t>
      </w:r>
    </w:p>
    <w:p w:rsidR="002335D9" w:rsidRPr="008269A4" w:rsidRDefault="002335D9" w:rsidP="002335D9">
      <w:pPr>
        <w:pStyle w:val="ssNoHeading1"/>
      </w:pPr>
      <w:r w:rsidRPr="008269A4">
        <w:t>In order to comply with points (</w:t>
      </w:r>
      <w:proofErr w:type="spellStart"/>
      <w:r w:rsidRPr="008269A4">
        <w:t>i</w:t>
      </w:r>
      <w:proofErr w:type="spellEnd"/>
      <w:r w:rsidRPr="008269A4">
        <w:t xml:space="preserve">) and (ii) of the previous paragraph, the compliance function should conduct an assessment. On the basis of such an assessment, the compliance function must establish a risk-based monitoring programme that takes into consideration all are-as of the investment firm’s investment services, activities and any relevant ancillary ser-vices, including relevant information gathered in relation to the monitoring of complaints handling. The monitoring programme should establish priorities determined by the compliance risk assessment ensuring that compliance risk is comprehensively monitored. </w:t>
      </w:r>
    </w:p>
    <w:p w:rsidR="002335D9" w:rsidRPr="008269A4" w:rsidRDefault="002335D9" w:rsidP="002335D9">
      <w:pPr>
        <w:pStyle w:val="ssNoHeading1"/>
      </w:pPr>
      <w:r w:rsidRPr="008269A4">
        <w:t xml:space="preserve">In order to enable the compliance function to discharge its responsibilities properly and independently, investment firms should ensure that the following conditions are satisfied: </w:t>
      </w:r>
    </w:p>
    <w:p w:rsidR="002335D9" w:rsidRPr="008269A4" w:rsidRDefault="002335D9" w:rsidP="002335D9">
      <w:pPr>
        <w:pStyle w:val="ssPara2"/>
        <w:numPr>
          <w:ilvl w:val="0"/>
          <w:numId w:val="31"/>
        </w:numPr>
        <w:ind w:hanging="709"/>
      </w:pPr>
      <w:r w:rsidRPr="008269A4">
        <w:t xml:space="preserve">the compliance function must have the necessary authority, resources, expertise and access to all relevant information; </w:t>
      </w:r>
    </w:p>
    <w:p w:rsidR="002335D9" w:rsidRPr="008269A4" w:rsidRDefault="002335D9" w:rsidP="002335D9">
      <w:pPr>
        <w:pStyle w:val="ssPara2"/>
        <w:numPr>
          <w:ilvl w:val="0"/>
          <w:numId w:val="31"/>
        </w:numPr>
        <w:ind w:hanging="709"/>
      </w:pPr>
      <w:r w:rsidRPr="008269A4">
        <w:t xml:space="preserve">the compliance officer must be appointed and replaced by the management body and must be responsible for the compliance function and for any reporting required by Mi-FID II; </w:t>
      </w:r>
    </w:p>
    <w:p w:rsidR="002335D9" w:rsidRPr="008269A4" w:rsidRDefault="002335D9" w:rsidP="002335D9">
      <w:pPr>
        <w:pStyle w:val="ssPara2"/>
        <w:numPr>
          <w:ilvl w:val="0"/>
          <w:numId w:val="31"/>
        </w:numPr>
        <w:ind w:hanging="709"/>
      </w:pPr>
      <w:r w:rsidRPr="008269A4">
        <w:t xml:space="preserve">the compliance function must be enabled to report on an ad-hoc basis directly to the management body whenever it has detected a significant risk of failure by the firm to comply with its obligations under MiFID II; </w:t>
      </w:r>
    </w:p>
    <w:p w:rsidR="002335D9" w:rsidRPr="008269A4" w:rsidRDefault="002335D9" w:rsidP="002335D9">
      <w:pPr>
        <w:pStyle w:val="ssPara2"/>
        <w:numPr>
          <w:ilvl w:val="0"/>
          <w:numId w:val="31"/>
        </w:numPr>
        <w:ind w:hanging="709"/>
      </w:pPr>
      <w:r w:rsidRPr="008269A4">
        <w:t xml:space="preserve">the relevant persons involved in the compliance function must not be involved in the performance of services or activities they monitor; and </w:t>
      </w:r>
    </w:p>
    <w:p w:rsidR="002335D9" w:rsidRPr="008269A4" w:rsidRDefault="002335D9" w:rsidP="002335D9">
      <w:pPr>
        <w:pStyle w:val="ssPara2"/>
        <w:numPr>
          <w:ilvl w:val="0"/>
          <w:numId w:val="31"/>
        </w:numPr>
        <w:ind w:hanging="709"/>
      </w:pPr>
      <w:r w:rsidRPr="008269A4">
        <w:lastRenderedPageBreak/>
        <w:t xml:space="preserve">the method of determining the remuneration of the relevant persons involved in the compliance function must not compromise their objectivity and must not be likely to do so.  </w:t>
      </w:r>
    </w:p>
    <w:p w:rsidR="002335D9" w:rsidRPr="008269A4" w:rsidRDefault="002335D9" w:rsidP="002335D9">
      <w:pPr>
        <w:pStyle w:val="ssNoHeading1"/>
      </w:pPr>
      <w:r w:rsidRPr="008269A4">
        <w:t xml:space="preserve">However, an investment firm shall not be required to comply with point (iv) or point (v) of the previous paragraph if it is able to demonstrate that in view of the nature, scale and complexity of its business, and the nature and range of investment </w:t>
      </w:r>
      <w:r w:rsidR="006950F0">
        <w:t>services and activities, the re</w:t>
      </w:r>
      <w:r w:rsidRPr="008269A4">
        <w:t xml:space="preserve">quirement under that point is not proportionate and that its compliance function continues to be effective. In such case, the investment firm must assess whether the effectiveness of the compliance function is compromised by the proposed arrangements. This assessment must be reviewed on a regular basis. </w:t>
      </w:r>
    </w:p>
    <w:p w:rsidR="002335D9" w:rsidRPr="008269A4" w:rsidRDefault="002335D9" w:rsidP="002335D9">
      <w:pPr>
        <w:pStyle w:val="ssPara1"/>
      </w:pPr>
      <w:r w:rsidRPr="008269A4">
        <w:br w:type="page"/>
      </w:r>
    </w:p>
    <w:p w:rsidR="002335D9" w:rsidRPr="002335D9" w:rsidRDefault="002335D9" w:rsidP="002335D9">
      <w:pPr>
        <w:pStyle w:val="ssPara1"/>
        <w:jc w:val="center"/>
        <w:rPr>
          <w:b/>
        </w:rPr>
      </w:pPr>
      <w:r w:rsidRPr="002335D9">
        <w:rPr>
          <w:b/>
        </w:rPr>
        <w:lastRenderedPageBreak/>
        <w:t>Delegated Regulation</w:t>
      </w:r>
      <w:r>
        <w:rPr>
          <w:b/>
        </w:rPr>
        <w:br/>
      </w:r>
      <w:r w:rsidRPr="002335D9">
        <w:rPr>
          <w:b/>
        </w:rPr>
        <w:t>Compliance</w:t>
      </w:r>
      <w:r>
        <w:rPr>
          <w:b/>
        </w:rPr>
        <w:br/>
      </w:r>
      <w:r w:rsidRPr="002335D9">
        <w:rPr>
          <w:b/>
        </w:rPr>
        <w:t>Article 22 (pages 43-44)</w:t>
      </w:r>
    </w:p>
    <w:p w:rsidR="002335D9" w:rsidRPr="002335D9" w:rsidRDefault="002335D9" w:rsidP="002335D9">
      <w:pPr>
        <w:pStyle w:val="ssRestartNumber"/>
      </w:pPr>
    </w:p>
    <w:p w:rsidR="002335D9" w:rsidRPr="008269A4" w:rsidRDefault="002335D9" w:rsidP="002335D9">
      <w:pPr>
        <w:pStyle w:val="ssNoHeading1"/>
      </w:pPr>
      <w:r w:rsidRPr="008269A4">
        <w:t xml:space="preserve">Investment firms shall establish, implement and maintain adequate policies and procedures designed to detect any risk of failure by the firm to comply with its obligations under Directive 2014/65/EU, as well as the associated risks, and put in place adequate measures and procedures designed to minimise such risk and to enable the competent authorities to exercise their powers effectively under that Directive. </w:t>
      </w:r>
    </w:p>
    <w:p w:rsidR="002335D9" w:rsidRPr="008269A4" w:rsidRDefault="002335D9" w:rsidP="002335D9">
      <w:pPr>
        <w:pStyle w:val="ssPara2"/>
      </w:pPr>
      <w:r w:rsidRPr="008269A4">
        <w:t xml:space="preserve">Investment firms shall take into account the nature, scale and complexity of the business of the firm, and the nature and range of investment services and activities undertaken in the course of that business. </w:t>
      </w:r>
    </w:p>
    <w:p w:rsidR="002335D9" w:rsidRPr="008269A4" w:rsidRDefault="002335D9" w:rsidP="002335D9">
      <w:pPr>
        <w:pStyle w:val="ssNoHeading1"/>
      </w:pPr>
      <w:r w:rsidRPr="008269A4">
        <w:t xml:space="preserve">Investment firms shall establish and maintain a permanent and effective compliance function which operates independently and which has the following responsibilities: </w:t>
      </w:r>
    </w:p>
    <w:p w:rsidR="002335D9" w:rsidRPr="008269A4" w:rsidRDefault="002335D9" w:rsidP="002335D9">
      <w:pPr>
        <w:pStyle w:val="ssNoHeading3"/>
      </w:pPr>
      <w:r w:rsidRPr="008269A4">
        <w:t xml:space="preserve">to monitor on a permanent basis and to assess, on a regular basis, the adequacy and effectiveness of the measures, policies and procedures put in place in accordance with the first subparagraph of paragraph 1, and the actions taken to address any deficiencies in the firm's compliance with its obligations; </w:t>
      </w:r>
    </w:p>
    <w:p w:rsidR="002335D9" w:rsidRPr="008269A4" w:rsidRDefault="002335D9" w:rsidP="002335D9">
      <w:pPr>
        <w:pStyle w:val="ssNoHeading3"/>
      </w:pPr>
      <w:r w:rsidRPr="008269A4">
        <w:t xml:space="preserve">to advise and assist the relevant persons responsible for carrying out investment services and activities to comply with the firm's obligations under Directive 2014/65/EU; </w:t>
      </w:r>
    </w:p>
    <w:p w:rsidR="002335D9" w:rsidRPr="008269A4" w:rsidRDefault="002335D9" w:rsidP="002335D9">
      <w:pPr>
        <w:pStyle w:val="ssNoHeading3"/>
      </w:pPr>
      <w:r w:rsidRPr="008269A4">
        <w:t xml:space="preserve">to report to the management body, on at least an annual basis, on the implementation and effectiveness of the overall control environment for investment services and activities, on the risks that have been identified and on the complaints-handling reporting as well as remedies undertaken or to be undertaken; </w:t>
      </w:r>
    </w:p>
    <w:p w:rsidR="002335D9" w:rsidRPr="008269A4" w:rsidRDefault="002335D9" w:rsidP="002335D9">
      <w:pPr>
        <w:pStyle w:val="ssNoHeading3"/>
      </w:pPr>
      <w:r w:rsidRPr="008269A4">
        <w:t xml:space="preserve">to monitor the operations of the complaints-handling process and consider complaints as a source of relevant information in the context of its general monitoring responsibilities. </w:t>
      </w:r>
    </w:p>
    <w:p w:rsidR="002335D9" w:rsidRPr="008269A4" w:rsidRDefault="002335D9" w:rsidP="002335D9">
      <w:pPr>
        <w:pStyle w:val="ssPara2"/>
      </w:pPr>
      <w:r w:rsidRPr="008269A4">
        <w:t>In order to comply with points (</w:t>
      </w:r>
      <w:r>
        <w:t>A</w:t>
      </w:r>
      <w:r w:rsidRPr="008269A4">
        <w:t>) and (</w:t>
      </w:r>
      <w:r>
        <w:t>B</w:t>
      </w:r>
      <w:r w:rsidRPr="008269A4">
        <w:t xml:space="preserve">) of this paragraph, the compliance function shall conduct an assessment on the basis of which it shall establish a risk-based monitoring programme that takes into consideration all areas of the investment firm’s investment services, activities and any relevant ancillary services, including relevant information gathered in relation to the monitoring of complaints handling. The monitoring programme shall establish priorities determined by the compliance risk assessment ensuring that compliance risk is comprehensively monitored. </w:t>
      </w:r>
    </w:p>
    <w:p w:rsidR="002335D9" w:rsidRPr="008269A4" w:rsidRDefault="002335D9" w:rsidP="002335D9">
      <w:pPr>
        <w:pStyle w:val="ssNoHeading1"/>
      </w:pPr>
      <w:r w:rsidRPr="008269A4">
        <w:t xml:space="preserve">In order to enable the compliance function referred to in paragraph 2 to discharge its responsibilities properly and independently, investment firms shall ensure that the following conditions are satisfied: </w:t>
      </w:r>
    </w:p>
    <w:p w:rsidR="002335D9" w:rsidRPr="008269A4" w:rsidRDefault="002335D9" w:rsidP="002335D9">
      <w:pPr>
        <w:pStyle w:val="ssNoHeading3"/>
      </w:pPr>
      <w:r w:rsidRPr="008269A4">
        <w:t xml:space="preserve">the compliance function has the necessary authority, resources, expertise and access to all relevant information; </w:t>
      </w:r>
    </w:p>
    <w:p w:rsidR="002335D9" w:rsidRPr="008269A4" w:rsidRDefault="002335D9" w:rsidP="002335D9">
      <w:pPr>
        <w:pStyle w:val="ssNoHeading3"/>
      </w:pPr>
      <w:r w:rsidRPr="008269A4">
        <w:t xml:space="preserve">a compliance officer is appointed and replaced by the management body and is responsible for the compliance function and for any reporting as to compliance required by Directive 2014/65/EU and Article 25(2) of this Regulation; </w:t>
      </w:r>
    </w:p>
    <w:p w:rsidR="002335D9" w:rsidRPr="008269A4" w:rsidRDefault="002335D9" w:rsidP="002335D9">
      <w:pPr>
        <w:pStyle w:val="ssNoHeading3"/>
      </w:pPr>
      <w:r w:rsidRPr="008269A4">
        <w:t xml:space="preserve">the compliance function reports on an ad-hoc basis directly to the management body where it detects a significant risk of failure by the firm to comply with its obligations under Directive 2014/65/EU; </w:t>
      </w:r>
    </w:p>
    <w:p w:rsidR="002335D9" w:rsidRPr="008269A4" w:rsidRDefault="002335D9" w:rsidP="002335D9">
      <w:pPr>
        <w:pStyle w:val="ssNoHeading3"/>
      </w:pPr>
      <w:r w:rsidRPr="008269A4">
        <w:t>the relevant persons involved in the compliance function are not involved in the performance of services or activities they monitor;</w:t>
      </w:r>
    </w:p>
    <w:p w:rsidR="002335D9" w:rsidRPr="008269A4" w:rsidRDefault="002335D9" w:rsidP="002335D9">
      <w:pPr>
        <w:pStyle w:val="ssNoHeading3"/>
      </w:pPr>
      <w:r w:rsidRPr="008269A4">
        <w:t xml:space="preserve">the method of determining the remuneration of the relevant persons involved in the compliance function does not compromise their objectivity and is not likely to do so. </w:t>
      </w:r>
    </w:p>
    <w:p w:rsidR="002335D9" w:rsidRPr="008269A4" w:rsidRDefault="002335D9" w:rsidP="002335D9">
      <w:pPr>
        <w:pStyle w:val="ssNoHeading1"/>
      </w:pPr>
      <w:r w:rsidRPr="008269A4">
        <w:t>An investment firm shall not be required to comply with point (</w:t>
      </w:r>
      <w:r>
        <w:t>D</w:t>
      </w:r>
      <w:r w:rsidRPr="008269A4">
        <w:t>) or point (</w:t>
      </w:r>
      <w:r>
        <w:t>E</w:t>
      </w:r>
      <w:r w:rsidRPr="008269A4">
        <w:t>) of paragraph 3 where it is able to demonstrate that in view of the nature, scale and complexity of its business, and the nature and range of investment services and activities, the requirements under point (</w:t>
      </w:r>
      <w:r>
        <w:t>D</w:t>
      </w:r>
      <w:r w:rsidRPr="008269A4">
        <w:t>) or (</w:t>
      </w:r>
      <w:r>
        <w:t>E</w:t>
      </w:r>
      <w:r w:rsidRPr="008269A4">
        <w:t>) are not proportionate and that its compliance function continues to be effective. In that case, the investment firm shall assess whether the effectiveness of the compliance function is compromised. The assessment shall be reviewed on a regular basis.</w:t>
      </w:r>
    </w:p>
    <w:p w:rsidR="002335D9" w:rsidRPr="008269A4" w:rsidRDefault="002335D9" w:rsidP="002335D9">
      <w:pPr>
        <w:pStyle w:val="ssPara1"/>
      </w:pPr>
    </w:p>
    <w:sectPr w:rsidR="002335D9" w:rsidRPr="008269A4" w:rsidSect="00CD61BA">
      <w:footerReference w:type="even" r:id="rId15"/>
      <w:footerReference w:type="default" r:id="rId16"/>
      <w:footerReference w:type="firs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14B" w:rsidRDefault="00D5114B" w:rsidP="006577B4">
      <w:r>
        <w:separator/>
      </w:r>
    </w:p>
  </w:endnote>
  <w:endnote w:type="continuationSeparator" w:id="0">
    <w:p w:rsidR="00D5114B" w:rsidRDefault="00D5114B" w:rsidP="0065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altName w:val="Courier New"/>
    <w:panose1 w:val="00000000000000000000"/>
    <w:charset w:val="00"/>
    <w:family w:val="auto"/>
    <w:notTrueType/>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32F" w:rsidRPr="00A54902" w:rsidRDefault="00A54902" w:rsidP="00A54902">
    <w:pPr>
      <w:pStyle w:val="Footer"/>
      <w:tabs>
        <w:tab w:val="clear" w:pos="4513"/>
        <w:tab w:val="clear" w:pos="9026"/>
        <w:tab w:val="center" w:pos="7000"/>
        <w:tab w:val="right" w:pos="14020"/>
      </w:tabs>
      <w:rPr>
        <w:sz w:val="12"/>
      </w:rPr>
    </w:pPr>
    <w:bookmarkStart w:id="1" w:name="bmkDocRef1_3"/>
    <w:r>
      <w:rPr>
        <w:sz w:val="12"/>
      </w:rPr>
      <w:t>FMFS/072735-00007/CXMS/SJWA</w:t>
    </w:r>
    <w:bookmarkEnd w:id="1"/>
    <w:r w:rsidRPr="00A54902">
      <w:rPr>
        <w:sz w:val="12"/>
      </w:rPr>
      <w:t xml:space="preserve">  </w:t>
    </w:r>
    <w:bookmarkStart w:id="2" w:name="bmkAsset1_3"/>
    <w:r>
      <w:rPr>
        <w:sz w:val="12"/>
      </w:rPr>
      <w:t>WIHI(LDN7W25392)</w:t>
    </w:r>
    <w:bookmarkEnd w:id="2"/>
    <w:r>
      <w:tab/>
    </w:r>
    <w:r>
      <w:fldChar w:fldCharType="begin"/>
    </w:r>
    <w:r>
      <w:instrText xml:space="preserve"> PAGE  \* MERGEFORMAT </w:instrText>
    </w:r>
    <w:r>
      <w:fldChar w:fldCharType="separate"/>
    </w:r>
    <w:r>
      <w:rPr>
        <w:noProof/>
      </w:rPr>
      <w:t>2</w:t>
    </w:r>
    <w:r>
      <w:fldChar w:fldCharType="end"/>
    </w:r>
    <w:r w:rsidRPr="00A54902">
      <w:rPr>
        <w:sz w:val="12"/>
      </w:rPr>
      <w:tab/>
    </w:r>
    <w:bookmarkStart w:id="3" w:name="bmkDocID1_3"/>
    <w:r>
      <w:rPr>
        <w:sz w:val="12"/>
      </w:rPr>
      <w:t>L_LIVE_EMEA1:33550116v2</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3FC" w:rsidRPr="00A54902" w:rsidRDefault="00A54902" w:rsidP="00A54902">
    <w:pPr>
      <w:pStyle w:val="Footer"/>
      <w:tabs>
        <w:tab w:val="clear" w:pos="4513"/>
        <w:tab w:val="clear" w:pos="9026"/>
        <w:tab w:val="center" w:pos="7000"/>
        <w:tab w:val="right" w:pos="14020"/>
      </w:tabs>
      <w:rPr>
        <w:sz w:val="12"/>
      </w:rPr>
    </w:pPr>
    <w:bookmarkStart w:id="4" w:name="bmkDocRef1_1"/>
    <w:r>
      <w:rPr>
        <w:sz w:val="12"/>
      </w:rPr>
      <w:t>FMFS/072735-00007/CXMS/SJWA</w:t>
    </w:r>
    <w:bookmarkEnd w:id="4"/>
    <w:r w:rsidRPr="00A54902">
      <w:rPr>
        <w:sz w:val="12"/>
      </w:rPr>
      <w:t xml:space="preserve">  </w:t>
    </w:r>
    <w:bookmarkStart w:id="5" w:name="bmkAsset1_1"/>
    <w:r>
      <w:rPr>
        <w:sz w:val="12"/>
      </w:rPr>
      <w:t>WIHI(LDN7W25392)</w:t>
    </w:r>
    <w:bookmarkEnd w:id="5"/>
    <w:r>
      <w:tab/>
    </w:r>
    <w:r>
      <w:fldChar w:fldCharType="begin"/>
    </w:r>
    <w:r>
      <w:instrText xml:space="preserve"> PAGE  \* MERGEFORMAT </w:instrText>
    </w:r>
    <w:r>
      <w:fldChar w:fldCharType="separate"/>
    </w:r>
    <w:r w:rsidR="007F4BD1">
      <w:rPr>
        <w:noProof/>
      </w:rPr>
      <w:t>3</w:t>
    </w:r>
    <w:r>
      <w:fldChar w:fldCharType="end"/>
    </w:r>
    <w:r w:rsidRPr="00A54902">
      <w:rPr>
        <w:sz w:val="12"/>
      </w:rPr>
      <w:tab/>
    </w:r>
    <w:bookmarkStart w:id="6" w:name="bmkDocID1_1"/>
    <w:r>
      <w:rPr>
        <w:sz w:val="12"/>
      </w:rPr>
      <w:t>L_LIVE_EMEA1:33550116v2</w:t>
    </w:r>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32F" w:rsidRPr="00A54902" w:rsidRDefault="00A54902" w:rsidP="00A54902">
    <w:pPr>
      <w:pStyle w:val="Footer"/>
      <w:tabs>
        <w:tab w:val="clear" w:pos="4513"/>
        <w:tab w:val="clear" w:pos="9026"/>
        <w:tab w:val="center" w:pos="7000"/>
        <w:tab w:val="right" w:pos="14020"/>
      </w:tabs>
      <w:rPr>
        <w:sz w:val="12"/>
      </w:rPr>
    </w:pPr>
    <w:bookmarkStart w:id="7" w:name="bmkDocRef1_2"/>
    <w:r>
      <w:rPr>
        <w:sz w:val="12"/>
      </w:rPr>
      <w:t>FMFS/072735-00007/CXMS/SJWA</w:t>
    </w:r>
    <w:bookmarkEnd w:id="7"/>
    <w:r w:rsidRPr="00A54902">
      <w:rPr>
        <w:sz w:val="12"/>
      </w:rPr>
      <w:t xml:space="preserve">  </w:t>
    </w:r>
    <w:bookmarkStart w:id="8" w:name="bmkAsset1_2"/>
    <w:r>
      <w:rPr>
        <w:sz w:val="12"/>
      </w:rPr>
      <w:t>WIHI(LDN7W25392)</w:t>
    </w:r>
    <w:bookmarkEnd w:id="8"/>
    <w:r>
      <w:tab/>
    </w:r>
    <w:r>
      <w:fldChar w:fldCharType="begin"/>
    </w:r>
    <w:r>
      <w:instrText xml:space="preserve"> PAGE  \* MERGEFORMAT </w:instrText>
    </w:r>
    <w:r>
      <w:fldChar w:fldCharType="separate"/>
    </w:r>
    <w:r>
      <w:rPr>
        <w:noProof/>
      </w:rPr>
      <w:t>2</w:t>
    </w:r>
    <w:r>
      <w:fldChar w:fldCharType="end"/>
    </w:r>
    <w:r w:rsidRPr="00A54902">
      <w:rPr>
        <w:sz w:val="12"/>
      </w:rPr>
      <w:tab/>
    </w:r>
    <w:bookmarkStart w:id="9" w:name="bmkDocID1_2"/>
    <w:r>
      <w:rPr>
        <w:sz w:val="12"/>
      </w:rPr>
      <w:t>L_LIVE_EMEA1:33550116v2</w:t>
    </w:r>
    <w:bookmarkEnd w:id="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39" w:rsidRPr="00A54902" w:rsidRDefault="00A54902" w:rsidP="00A54902">
    <w:pPr>
      <w:pStyle w:val="Footer"/>
      <w:tabs>
        <w:tab w:val="clear" w:pos="4513"/>
        <w:tab w:val="clear" w:pos="9026"/>
        <w:tab w:val="center" w:pos="4540"/>
        <w:tab w:val="right" w:pos="9100"/>
      </w:tabs>
      <w:rPr>
        <w:sz w:val="12"/>
      </w:rPr>
    </w:pPr>
    <w:bookmarkStart w:id="10" w:name="bmkDocRef2_3"/>
    <w:r>
      <w:rPr>
        <w:sz w:val="12"/>
      </w:rPr>
      <w:t>FMFS/072735-00007/CXMS/SJWA</w:t>
    </w:r>
    <w:bookmarkEnd w:id="10"/>
    <w:r w:rsidRPr="00A54902">
      <w:rPr>
        <w:sz w:val="12"/>
      </w:rPr>
      <w:t xml:space="preserve">  </w:t>
    </w:r>
    <w:bookmarkStart w:id="11" w:name="bmkAsset2_3"/>
    <w:r>
      <w:rPr>
        <w:sz w:val="12"/>
      </w:rPr>
      <w:t>WIHI(LDN7W25392)</w:t>
    </w:r>
    <w:bookmarkEnd w:id="11"/>
    <w:r>
      <w:tab/>
    </w:r>
    <w:r>
      <w:fldChar w:fldCharType="begin"/>
    </w:r>
    <w:r>
      <w:instrText xml:space="preserve"> PAGE  \* MERGEFORMAT </w:instrText>
    </w:r>
    <w:r>
      <w:fldChar w:fldCharType="separate"/>
    </w:r>
    <w:r>
      <w:rPr>
        <w:noProof/>
      </w:rPr>
      <w:t>4</w:t>
    </w:r>
    <w:r>
      <w:fldChar w:fldCharType="end"/>
    </w:r>
    <w:r w:rsidRPr="00A54902">
      <w:rPr>
        <w:sz w:val="12"/>
      </w:rPr>
      <w:tab/>
    </w:r>
    <w:bookmarkStart w:id="12" w:name="bmkDocID2_3"/>
    <w:r>
      <w:rPr>
        <w:sz w:val="12"/>
      </w:rPr>
      <w:t>L_LIVE_EMEA1:33550116v2</w:t>
    </w:r>
    <w:bookmarkEnd w:id="1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39" w:rsidRPr="00A54902" w:rsidRDefault="00A54902" w:rsidP="00A54902">
    <w:pPr>
      <w:pStyle w:val="Footer"/>
      <w:tabs>
        <w:tab w:val="clear" w:pos="4513"/>
        <w:tab w:val="clear" w:pos="9026"/>
        <w:tab w:val="center" w:pos="4540"/>
        <w:tab w:val="right" w:pos="9100"/>
      </w:tabs>
      <w:rPr>
        <w:sz w:val="12"/>
      </w:rPr>
    </w:pPr>
    <w:bookmarkStart w:id="13" w:name="bmkDocRef2_1"/>
    <w:r>
      <w:rPr>
        <w:sz w:val="12"/>
      </w:rPr>
      <w:t>FMFS/072735-00007/CXMS/SJWA</w:t>
    </w:r>
    <w:bookmarkEnd w:id="13"/>
    <w:r w:rsidRPr="00A54902">
      <w:rPr>
        <w:sz w:val="12"/>
      </w:rPr>
      <w:t xml:space="preserve">  </w:t>
    </w:r>
    <w:bookmarkStart w:id="14" w:name="bmkAsset2_1"/>
    <w:r>
      <w:rPr>
        <w:sz w:val="12"/>
      </w:rPr>
      <w:t>WIHI(LDN7W25392)</w:t>
    </w:r>
    <w:bookmarkEnd w:id="14"/>
    <w:r>
      <w:tab/>
    </w:r>
    <w:r>
      <w:fldChar w:fldCharType="begin"/>
    </w:r>
    <w:r>
      <w:instrText xml:space="preserve"> PAGE  \* MERGEFORMAT </w:instrText>
    </w:r>
    <w:r>
      <w:fldChar w:fldCharType="separate"/>
    </w:r>
    <w:r w:rsidR="00F975FA">
      <w:rPr>
        <w:noProof/>
      </w:rPr>
      <w:t>5</w:t>
    </w:r>
    <w:r>
      <w:fldChar w:fldCharType="end"/>
    </w:r>
    <w:r w:rsidRPr="00A54902">
      <w:rPr>
        <w:sz w:val="12"/>
      </w:rPr>
      <w:tab/>
    </w:r>
    <w:bookmarkStart w:id="15" w:name="bmkDocID2_1"/>
    <w:r>
      <w:rPr>
        <w:sz w:val="12"/>
      </w:rPr>
      <w:t>L_LIVE_EMEA1:33550116v2</w:t>
    </w:r>
    <w:bookmarkEnd w:id="15"/>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39" w:rsidRPr="00A54902" w:rsidRDefault="00A54902" w:rsidP="00A54902">
    <w:pPr>
      <w:pStyle w:val="Footer"/>
      <w:tabs>
        <w:tab w:val="clear" w:pos="4513"/>
        <w:tab w:val="clear" w:pos="9026"/>
        <w:tab w:val="center" w:pos="4540"/>
        <w:tab w:val="right" w:pos="9100"/>
      </w:tabs>
      <w:rPr>
        <w:sz w:val="12"/>
      </w:rPr>
    </w:pPr>
    <w:bookmarkStart w:id="16" w:name="bmkDocRef2_2"/>
    <w:r>
      <w:rPr>
        <w:sz w:val="12"/>
      </w:rPr>
      <w:t>FMFS/072735-00007/CXMS/SJWA</w:t>
    </w:r>
    <w:bookmarkEnd w:id="16"/>
    <w:r w:rsidRPr="00A54902">
      <w:rPr>
        <w:sz w:val="12"/>
      </w:rPr>
      <w:t xml:space="preserve">  </w:t>
    </w:r>
    <w:bookmarkStart w:id="17" w:name="bmkAsset2_2"/>
    <w:r>
      <w:rPr>
        <w:sz w:val="12"/>
      </w:rPr>
      <w:t>WIHI(LDN7W25392)</w:t>
    </w:r>
    <w:bookmarkEnd w:id="17"/>
    <w:r>
      <w:tab/>
    </w:r>
    <w:r>
      <w:fldChar w:fldCharType="begin"/>
    </w:r>
    <w:r>
      <w:instrText xml:space="preserve"> PAGE  \* MERGEFORMAT </w:instrText>
    </w:r>
    <w:r>
      <w:fldChar w:fldCharType="separate"/>
    </w:r>
    <w:r>
      <w:rPr>
        <w:noProof/>
      </w:rPr>
      <w:t>4</w:t>
    </w:r>
    <w:r>
      <w:fldChar w:fldCharType="end"/>
    </w:r>
    <w:r w:rsidRPr="00A54902">
      <w:rPr>
        <w:sz w:val="12"/>
      </w:rPr>
      <w:tab/>
    </w:r>
    <w:bookmarkStart w:id="18" w:name="bmkDocID2_2"/>
    <w:r>
      <w:rPr>
        <w:sz w:val="12"/>
      </w:rPr>
      <w:t>L_LIVE_EMEA1:33550116v2</w:t>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14B" w:rsidRDefault="00D5114B" w:rsidP="006577B4">
      <w:r>
        <w:separator/>
      </w:r>
    </w:p>
  </w:footnote>
  <w:footnote w:type="continuationSeparator" w:id="0">
    <w:p w:rsidR="00D5114B" w:rsidRDefault="00D5114B" w:rsidP="00657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7B4" w:rsidRDefault="006577B4" w:rsidP="00A7460B">
    <w:pPr>
      <w:jc w:val="right"/>
      <w:rPr>
        <w:rFonts w:cs="Arial"/>
        <w:sz w:val="16"/>
        <w:szCs w:val="16"/>
      </w:rPr>
    </w:pPr>
    <w:r>
      <w:rPr>
        <w:rFonts w:cs="Arial"/>
        <w:noProof/>
        <w:sz w:val="16"/>
        <w:szCs w:val="16"/>
        <w:lang w:eastAsia="en-GB"/>
      </w:rPr>
      <w:drawing>
        <wp:inline distT="0" distB="0" distL="0" distR="0" wp14:anchorId="02507425" wp14:editId="638460BE">
          <wp:extent cx="2505673" cy="60965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ID2 Manager logo.png"/>
                  <pic:cNvPicPr/>
                </pic:nvPicPr>
                <pic:blipFill>
                  <a:blip r:embed="rId1">
                    <a:extLst>
                      <a:ext uri="{28A0092B-C50C-407E-A947-70E740481C1C}">
                        <a14:useLocalDpi xmlns:a14="http://schemas.microsoft.com/office/drawing/2010/main" val="0"/>
                      </a:ext>
                    </a:extLst>
                  </a:blip>
                  <a:stretch>
                    <a:fillRect/>
                  </a:stretch>
                </pic:blipFill>
                <pic:spPr>
                  <a:xfrm>
                    <a:off x="0" y="0"/>
                    <a:ext cx="2505673" cy="609653"/>
                  </a:xfrm>
                  <a:prstGeom prst="rect">
                    <a:avLst/>
                  </a:prstGeom>
                </pic:spPr>
              </pic:pic>
            </a:graphicData>
          </a:graphic>
        </wp:inline>
      </w:drawing>
    </w:r>
  </w:p>
  <w:p w:rsidR="00A7460B" w:rsidRPr="00A7460B" w:rsidRDefault="00381DDC" w:rsidP="00A7460B">
    <w:pPr>
      <w:jc w:val="right"/>
      <w:rPr>
        <w:rFonts w:cs="Arial"/>
        <w:sz w:val="16"/>
        <w:szCs w:val="16"/>
      </w:rPr>
    </w:pPr>
    <w:r>
      <w:rPr>
        <w:rFonts w:cs="Arial"/>
        <w:sz w:val="16"/>
        <w:szCs w:val="16"/>
      </w:rPr>
      <w:t xml:space="preserve"> 9</w:t>
    </w:r>
    <w:r w:rsidR="00A7460B" w:rsidRPr="00A7460B">
      <w:rPr>
        <w:rFonts w:cs="Arial"/>
        <w:sz w:val="16"/>
        <w:szCs w:val="16"/>
      </w:rPr>
      <w:t xml:space="preserve"> May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4694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DA50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4E3B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E8A5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36C3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08F5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8A92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522A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800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F899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A3027"/>
    <w:multiLevelType w:val="multilevel"/>
    <w:tmpl w:val="3650ECEA"/>
    <w:name w:val="Schedul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941B78"/>
    <w:multiLevelType w:val="multilevel"/>
    <w:tmpl w:val="904EA4D2"/>
    <w:name w:val="Part"/>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FD6BC0"/>
    <w:multiLevelType w:val="multilevel"/>
    <w:tmpl w:val="AF0AC594"/>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552"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F7F02F2"/>
    <w:multiLevelType w:val="hybridMultilevel"/>
    <w:tmpl w:val="489ABAF2"/>
    <w:lvl w:ilvl="0" w:tplc="8BCC8B04">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274A6C09"/>
    <w:multiLevelType w:val="multilevel"/>
    <w:tmpl w:val="2E528D2A"/>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283"/>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92269D"/>
    <w:multiLevelType w:val="multilevel"/>
    <w:tmpl w:val="FAD8ED8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BB5FBE"/>
    <w:multiLevelType w:val="multilevel"/>
    <w:tmpl w:val="93FE0BF6"/>
    <w:name w:val="Appendix"/>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8F96FE3"/>
    <w:multiLevelType w:val="multilevel"/>
    <w:tmpl w:val="DEEEF714"/>
    <w:name w:val="Exhibit"/>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055996"/>
    <w:multiLevelType w:val="multilevel"/>
    <w:tmpl w:val="3EA809C4"/>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7D03AF3"/>
    <w:multiLevelType w:val="multilevel"/>
    <w:tmpl w:val="30C6A42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6E670E2"/>
    <w:multiLevelType w:val="multilevel"/>
    <w:tmpl w:val="89806C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49F7B69"/>
    <w:multiLevelType w:val="hybridMultilevel"/>
    <w:tmpl w:val="92D0D682"/>
    <w:lvl w:ilvl="0" w:tplc="8BCC8B04">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68F558E0"/>
    <w:multiLevelType w:val="multilevel"/>
    <w:tmpl w:val="0BCCCE9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suff w:val="nothing"/>
      <w:lvlText w:val="(%5)"/>
      <w:lvlJc w:val="left"/>
      <w:pPr>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3C2384B"/>
    <w:multiLevelType w:val="multilevel"/>
    <w:tmpl w:val="B680C11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52B37AC"/>
    <w:multiLevelType w:val="multilevel"/>
    <w:tmpl w:val="4442EDA6"/>
    <w:name w:val="Simmons&amp;Simmons"/>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none"/>
      <w:pStyle w:val="Heading7"/>
      <w:suff w:val="nothing"/>
      <w:lvlText w:val=""/>
      <w:lvlJc w:val="left"/>
      <w:pPr>
        <w:ind w:left="0" w:firstLine="0"/>
      </w:pPr>
      <w:rPr>
        <w:rFonts w:hint="default"/>
      </w:rPr>
    </w:lvl>
    <w:lvl w:ilvl="8">
      <w:start w:val="1"/>
      <w:numFmt w:val="none"/>
      <w:pStyle w:val="Heading8"/>
      <w:suff w:val="nothing"/>
      <w:lvlText w:val=""/>
      <w:lvlJc w:val="left"/>
      <w:pPr>
        <w:ind w:left="0" w:firstLine="0"/>
      </w:pPr>
      <w:rPr>
        <w:rFonts w:hint="default"/>
      </w:rPr>
    </w:lvl>
  </w:abstractNum>
  <w:abstractNum w:abstractNumId="29" w15:restartNumberingAfterBreak="0">
    <w:nsid w:val="7B6B16F3"/>
    <w:multiLevelType w:val="multilevel"/>
    <w:tmpl w:val="E1EC99DE"/>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F540CB0"/>
    <w:multiLevelType w:val="multilevel"/>
    <w:tmpl w:val="B2FA9ED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8"/>
  </w:num>
  <w:num w:numId="2">
    <w:abstractNumId w:val="17"/>
  </w:num>
  <w:num w:numId="3">
    <w:abstractNumId w:val="23"/>
  </w:num>
  <w:num w:numId="4">
    <w:abstractNumId w:val="15"/>
  </w:num>
  <w:num w:numId="5">
    <w:abstractNumId w:val="20"/>
  </w:num>
  <w:num w:numId="6">
    <w:abstractNumId w:val="26"/>
  </w:num>
  <w:num w:numId="7">
    <w:abstractNumId w:val="27"/>
  </w:num>
  <w:num w:numId="8">
    <w:abstractNumId w:val="24"/>
  </w:num>
  <w:num w:numId="9">
    <w:abstractNumId w:val="12"/>
  </w:num>
  <w:num w:numId="10">
    <w:abstractNumId w:val="29"/>
  </w:num>
  <w:num w:numId="11">
    <w:abstractNumId w:val="14"/>
  </w:num>
  <w:num w:numId="12">
    <w:abstractNumId w:val="30"/>
  </w:num>
  <w:num w:numId="13">
    <w:abstractNumId w:val="11"/>
  </w:num>
  <w:num w:numId="14">
    <w:abstractNumId w:val="10"/>
  </w:num>
  <w:num w:numId="15">
    <w:abstractNumId w:val="21"/>
  </w:num>
  <w:num w:numId="16">
    <w:abstractNumId w:val="19"/>
  </w:num>
  <w:num w:numId="17">
    <w:abstractNumId w:val="16"/>
  </w:num>
  <w:num w:numId="18">
    <w:abstractNumId w:val="22"/>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0"/>
  </w:num>
  <w:num w:numId="26">
    <w:abstractNumId w:val="1"/>
  </w:num>
  <w:num w:numId="27">
    <w:abstractNumId w:val="2"/>
  </w:num>
  <w:num w:numId="28">
    <w:abstractNumId w:val="3"/>
  </w:num>
  <w:num w:numId="29">
    <w:abstractNumId w:val="8"/>
  </w:num>
  <w:num w:numId="30">
    <w:abstractNumId w:val="2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A5"/>
    <w:rsid w:val="00022699"/>
    <w:rsid w:val="00022B45"/>
    <w:rsid w:val="000333CA"/>
    <w:rsid w:val="00041690"/>
    <w:rsid w:val="00045351"/>
    <w:rsid w:val="00046822"/>
    <w:rsid w:val="00060ACC"/>
    <w:rsid w:val="00072072"/>
    <w:rsid w:val="0008206C"/>
    <w:rsid w:val="000925EE"/>
    <w:rsid w:val="00094146"/>
    <w:rsid w:val="00095292"/>
    <w:rsid w:val="000B59CC"/>
    <w:rsid w:val="000D63D3"/>
    <w:rsid w:val="000E3EAC"/>
    <w:rsid w:val="000F4286"/>
    <w:rsid w:val="001021A8"/>
    <w:rsid w:val="001153B6"/>
    <w:rsid w:val="00126D51"/>
    <w:rsid w:val="001272FC"/>
    <w:rsid w:val="00173F8A"/>
    <w:rsid w:val="00175581"/>
    <w:rsid w:val="0017715A"/>
    <w:rsid w:val="00181426"/>
    <w:rsid w:val="001955B3"/>
    <w:rsid w:val="001A4D38"/>
    <w:rsid w:val="001B24D8"/>
    <w:rsid w:val="001B6BC3"/>
    <w:rsid w:val="001C5501"/>
    <w:rsid w:val="001C5F40"/>
    <w:rsid w:val="001E43A5"/>
    <w:rsid w:val="001F21EF"/>
    <w:rsid w:val="001F53FC"/>
    <w:rsid w:val="001F5CF4"/>
    <w:rsid w:val="00200B8F"/>
    <w:rsid w:val="00205B2F"/>
    <w:rsid w:val="00213975"/>
    <w:rsid w:val="00220094"/>
    <w:rsid w:val="002335D9"/>
    <w:rsid w:val="00241D7D"/>
    <w:rsid w:val="0024773A"/>
    <w:rsid w:val="002609B4"/>
    <w:rsid w:val="00261742"/>
    <w:rsid w:val="00287422"/>
    <w:rsid w:val="002906AA"/>
    <w:rsid w:val="0029381C"/>
    <w:rsid w:val="002A0639"/>
    <w:rsid w:val="002A6843"/>
    <w:rsid w:val="002B5785"/>
    <w:rsid w:val="002C03A8"/>
    <w:rsid w:val="002C4E4E"/>
    <w:rsid w:val="002C7DC5"/>
    <w:rsid w:val="002D308A"/>
    <w:rsid w:val="002E0806"/>
    <w:rsid w:val="002E4D24"/>
    <w:rsid w:val="002F49E3"/>
    <w:rsid w:val="00301554"/>
    <w:rsid w:val="003108D2"/>
    <w:rsid w:val="00311015"/>
    <w:rsid w:val="003252CD"/>
    <w:rsid w:val="003524CD"/>
    <w:rsid w:val="00381DDC"/>
    <w:rsid w:val="003831D6"/>
    <w:rsid w:val="00390328"/>
    <w:rsid w:val="003C310D"/>
    <w:rsid w:val="003D7B98"/>
    <w:rsid w:val="003E16E2"/>
    <w:rsid w:val="003F2EB0"/>
    <w:rsid w:val="004049C2"/>
    <w:rsid w:val="00430897"/>
    <w:rsid w:val="004372D7"/>
    <w:rsid w:val="0044328B"/>
    <w:rsid w:val="0045696D"/>
    <w:rsid w:val="004A538F"/>
    <w:rsid w:val="004C7C3F"/>
    <w:rsid w:val="00501CE1"/>
    <w:rsid w:val="00502393"/>
    <w:rsid w:val="0053267F"/>
    <w:rsid w:val="00541FCE"/>
    <w:rsid w:val="005553A6"/>
    <w:rsid w:val="0056687A"/>
    <w:rsid w:val="00585F97"/>
    <w:rsid w:val="00590CE6"/>
    <w:rsid w:val="00597BFF"/>
    <w:rsid w:val="005A5A62"/>
    <w:rsid w:val="005B296B"/>
    <w:rsid w:val="005D2797"/>
    <w:rsid w:val="005E2A7F"/>
    <w:rsid w:val="00615AF8"/>
    <w:rsid w:val="0062234B"/>
    <w:rsid w:val="0064577C"/>
    <w:rsid w:val="00654FA5"/>
    <w:rsid w:val="006577B4"/>
    <w:rsid w:val="00680E86"/>
    <w:rsid w:val="00691021"/>
    <w:rsid w:val="006950F0"/>
    <w:rsid w:val="00695E51"/>
    <w:rsid w:val="006D0B5E"/>
    <w:rsid w:val="006E7FB2"/>
    <w:rsid w:val="006F53FC"/>
    <w:rsid w:val="007636C5"/>
    <w:rsid w:val="00767452"/>
    <w:rsid w:val="00772C74"/>
    <w:rsid w:val="00776B18"/>
    <w:rsid w:val="0079146D"/>
    <w:rsid w:val="00793253"/>
    <w:rsid w:val="00795B25"/>
    <w:rsid w:val="007A7E9F"/>
    <w:rsid w:val="007D16CC"/>
    <w:rsid w:val="007D1C49"/>
    <w:rsid w:val="007F4BD1"/>
    <w:rsid w:val="00815CF5"/>
    <w:rsid w:val="00822DBB"/>
    <w:rsid w:val="00825D1F"/>
    <w:rsid w:val="008269A4"/>
    <w:rsid w:val="00831BE3"/>
    <w:rsid w:val="008862E7"/>
    <w:rsid w:val="00890D7D"/>
    <w:rsid w:val="008A3338"/>
    <w:rsid w:val="008A4CA7"/>
    <w:rsid w:val="008A4EB4"/>
    <w:rsid w:val="008B309A"/>
    <w:rsid w:val="008D3A9A"/>
    <w:rsid w:val="0096097B"/>
    <w:rsid w:val="00977143"/>
    <w:rsid w:val="00980174"/>
    <w:rsid w:val="009A2615"/>
    <w:rsid w:val="009B0A35"/>
    <w:rsid w:val="009C7A8A"/>
    <w:rsid w:val="009D74E2"/>
    <w:rsid w:val="009E2CE1"/>
    <w:rsid w:val="00A03D1A"/>
    <w:rsid w:val="00A466E1"/>
    <w:rsid w:val="00A52E33"/>
    <w:rsid w:val="00A54902"/>
    <w:rsid w:val="00A7460B"/>
    <w:rsid w:val="00AA24F3"/>
    <w:rsid w:val="00AA4A76"/>
    <w:rsid w:val="00AB25E2"/>
    <w:rsid w:val="00AC41A4"/>
    <w:rsid w:val="00AD698D"/>
    <w:rsid w:val="00AE07E3"/>
    <w:rsid w:val="00AE132F"/>
    <w:rsid w:val="00AE6F9C"/>
    <w:rsid w:val="00AF5BA0"/>
    <w:rsid w:val="00B05DBA"/>
    <w:rsid w:val="00B14584"/>
    <w:rsid w:val="00B2076D"/>
    <w:rsid w:val="00B25346"/>
    <w:rsid w:val="00B6235F"/>
    <w:rsid w:val="00B86B45"/>
    <w:rsid w:val="00BB285E"/>
    <w:rsid w:val="00BC2C28"/>
    <w:rsid w:val="00BD70D6"/>
    <w:rsid w:val="00BD7939"/>
    <w:rsid w:val="00BD7D3A"/>
    <w:rsid w:val="00BE251D"/>
    <w:rsid w:val="00C01F40"/>
    <w:rsid w:val="00C04072"/>
    <w:rsid w:val="00C15223"/>
    <w:rsid w:val="00C27680"/>
    <w:rsid w:val="00C3590F"/>
    <w:rsid w:val="00C76618"/>
    <w:rsid w:val="00C94BBB"/>
    <w:rsid w:val="00CA7274"/>
    <w:rsid w:val="00CB058A"/>
    <w:rsid w:val="00CD61BA"/>
    <w:rsid w:val="00CD7A99"/>
    <w:rsid w:val="00CF17D5"/>
    <w:rsid w:val="00D04773"/>
    <w:rsid w:val="00D102A6"/>
    <w:rsid w:val="00D16FA1"/>
    <w:rsid w:val="00D5114B"/>
    <w:rsid w:val="00D641AA"/>
    <w:rsid w:val="00D66A9D"/>
    <w:rsid w:val="00D709E5"/>
    <w:rsid w:val="00D74945"/>
    <w:rsid w:val="00D804FC"/>
    <w:rsid w:val="00D812DA"/>
    <w:rsid w:val="00D845E5"/>
    <w:rsid w:val="00D9537A"/>
    <w:rsid w:val="00DA6A15"/>
    <w:rsid w:val="00DB1BD6"/>
    <w:rsid w:val="00DB1C4C"/>
    <w:rsid w:val="00DB665C"/>
    <w:rsid w:val="00DC0BB4"/>
    <w:rsid w:val="00DD060C"/>
    <w:rsid w:val="00DD3D11"/>
    <w:rsid w:val="00E36456"/>
    <w:rsid w:val="00E72948"/>
    <w:rsid w:val="00E74DB4"/>
    <w:rsid w:val="00E76A7F"/>
    <w:rsid w:val="00E85801"/>
    <w:rsid w:val="00E85E2E"/>
    <w:rsid w:val="00E96683"/>
    <w:rsid w:val="00EB2152"/>
    <w:rsid w:val="00EB6C5A"/>
    <w:rsid w:val="00EC02AB"/>
    <w:rsid w:val="00EC237A"/>
    <w:rsid w:val="00ED6E33"/>
    <w:rsid w:val="00EE7F4F"/>
    <w:rsid w:val="00EF5631"/>
    <w:rsid w:val="00F05910"/>
    <w:rsid w:val="00F0672D"/>
    <w:rsid w:val="00F06B7A"/>
    <w:rsid w:val="00F07D5C"/>
    <w:rsid w:val="00F12CB0"/>
    <w:rsid w:val="00F13CBE"/>
    <w:rsid w:val="00F2199C"/>
    <w:rsid w:val="00F32C2B"/>
    <w:rsid w:val="00F33815"/>
    <w:rsid w:val="00F57CA3"/>
    <w:rsid w:val="00F629FE"/>
    <w:rsid w:val="00F652D1"/>
    <w:rsid w:val="00F66402"/>
    <w:rsid w:val="00F748EB"/>
    <w:rsid w:val="00F947CA"/>
    <w:rsid w:val="00F975FA"/>
    <w:rsid w:val="00FA6C25"/>
    <w:rsid w:val="00FB2994"/>
    <w:rsid w:val="00FC3F86"/>
    <w:rsid w:val="00FD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619544-B385-446A-8792-B61953C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35D9"/>
    <w:pPr>
      <w:jc w:val="both"/>
    </w:pPr>
    <w:rPr>
      <w:rFonts w:ascii="Arial" w:hAnsi="Arial"/>
      <w:szCs w:val="22"/>
      <w:lang w:eastAsia="zh-CN"/>
    </w:rPr>
  </w:style>
  <w:style w:type="paragraph" w:styleId="Heading1">
    <w:name w:val="heading 1"/>
    <w:basedOn w:val="Normal"/>
    <w:next w:val="ssPara1"/>
    <w:qFormat/>
    <w:rsid w:val="00CA65D2"/>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qFormat/>
    <w:rsid w:val="00CA65D2"/>
    <w:pPr>
      <w:keepNext/>
      <w:widowControl w:val="0"/>
      <w:numPr>
        <w:ilvl w:val="2"/>
        <w:numId w:val="1"/>
      </w:numPr>
      <w:spacing w:after="260"/>
      <w:outlineLvl w:val="1"/>
    </w:pPr>
    <w:rPr>
      <w:rFonts w:cs="Arial"/>
      <w:b/>
      <w:bCs/>
      <w:iCs/>
    </w:rPr>
  </w:style>
  <w:style w:type="paragraph" w:styleId="Heading3">
    <w:name w:val="heading 3"/>
    <w:basedOn w:val="Normal"/>
    <w:next w:val="ssPara3"/>
    <w:qFormat/>
    <w:rsid w:val="00CA65D2"/>
    <w:pPr>
      <w:keepNext/>
      <w:widowControl w:val="0"/>
      <w:numPr>
        <w:ilvl w:val="3"/>
        <w:numId w:val="1"/>
      </w:numPr>
      <w:spacing w:after="260"/>
      <w:outlineLvl w:val="2"/>
    </w:pPr>
    <w:rPr>
      <w:rFonts w:cs="Arial"/>
      <w:b/>
      <w:bCs/>
      <w:szCs w:val="26"/>
    </w:rPr>
  </w:style>
  <w:style w:type="paragraph" w:styleId="Heading4">
    <w:name w:val="heading 4"/>
    <w:basedOn w:val="Normal"/>
    <w:next w:val="ssPara4"/>
    <w:qFormat/>
    <w:rsid w:val="00CA65D2"/>
    <w:pPr>
      <w:keepNext/>
      <w:widowControl w:val="0"/>
      <w:numPr>
        <w:ilvl w:val="4"/>
        <w:numId w:val="1"/>
      </w:numPr>
      <w:spacing w:after="260"/>
      <w:outlineLvl w:val="3"/>
    </w:pPr>
    <w:rPr>
      <w:b/>
      <w:bCs/>
      <w:szCs w:val="28"/>
    </w:rPr>
  </w:style>
  <w:style w:type="paragraph" w:styleId="Heading5">
    <w:name w:val="heading 5"/>
    <w:basedOn w:val="Normal"/>
    <w:next w:val="ssPara5"/>
    <w:qFormat/>
    <w:rsid w:val="00CA65D2"/>
    <w:pPr>
      <w:keepNext/>
      <w:widowControl w:val="0"/>
      <w:numPr>
        <w:ilvl w:val="5"/>
        <w:numId w:val="1"/>
      </w:numPr>
      <w:spacing w:after="260"/>
      <w:outlineLvl w:val="4"/>
    </w:pPr>
    <w:rPr>
      <w:b/>
      <w:bCs/>
      <w:iCs/>
    </w:rPr>
  </w:style>
  <w:style w:type="paragraph" w:styleId="Heading6">
    <w:name w:val="heading 6"/>
    <w:basedOn w:val="Normal"/>
    <w:next w:val="ssPara6"/>
    <w:qFormat/>
    <w:rsid w:val="00CA65D2"/>
    <w:pPr>
      <w:keepNext/>
      <w:widowControl w:val="0"/>
      <w:numPr>
        <w:ilvl w:val="6"/>
        <w:numId w:val="1"/>
      </w:numPr>
      <w:spacing w:after="260"/>
      <w:outlineLvl w:val="5"/>
    </w:pPr>
    <w:rPr>
      <w:b/>
      <w:bCs/>
    </w:rPr>
  </w:style>
  <w:style w:type="paragraph" w:styleId="Heading7">
    <w:name w:val="heading 7"/>
    <w:basedOn w:val="Normal"/>
    <w:next w:val="Normal"/>
    <w:qFormat/>
    <w:rsid w:val="00CA65D2"/>
    <w:pPr>
      <w:numPr>
        <w:ilvl w:val="7"/>
        <w:numId w:val="1"/>
      </w:numPr>
      <w:outlineLvl w:val="6"/>
    </w:pPr>
    <w:rPr>
      <w:szCs w:val="24"/>
    </w:rPr>
  </w:style>
  <w:style w:type="paragraph" w:styleId="Heading8">
    <w:name w:val="heading 8"/>
    <w:basedOn w:val="Normal"/>
    <w:next w:val="Normal"/>
    <w:qFormat/>
    <w:rsid w:val="00CA65D2"/>
    <w:pPr>
      <w:numPr>
        <w:ilvl w:val="8"/>
        <w:numId w:val="1"/>
      </w:numPr>
      <w:outlineLvl w:val="7"/>
    </w:pPr>
    <w:rPr>
      <w:iCs/>
      <w:szCs w:val="24"/>
    </w:rPr>
  </w:style>
  <w:style w:type="paragraph" w:styleId="Heading9">
    <w:name w:val="heading 9"/>
    <w:basedOn w:val="Normal"/>
    <w:next w:val="Normal"/>
    <w:qFormat/>
    <w:rsid w:val="00367A2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rsid w:val="0060762C"/>
    <w:pPr>
      <w:spacing w:after="260"/>
    </w:pPr>
  </w:style>
  <w:style w:type="paragraph" w:customStyle="1" w:styleId="ssPara2">
    <w:name w:val="ssPara2"/>
    <w:basedOn w:val="Normal"/>
    <w:rsid w:val="0060762C"/>
    <w:pPr>
      <w:spacing w:after="260"/>
      <w:ind w:left="709"/>
    </w:pPr>
  </w:style>
  <w:style w:type="paragraph" w:customStyle="1" w:styleId="ssPara3">
    <w:name w:val="ssPara3"/>
    <w:basedOn w:val="Normal"/>
    <w:rsid w:val="0060762C"/>
    <w:pPr>
      <w:spacing w:after="260"/>
      <w:ind w:left="1418"/>
    </w:pPr>
  </w:style>
  <w:style w:type="paragraph" w:customStyle="1" w:styleId="ssPara4">
    <w:name w:val="ssPara4"/>
    <w:basedOn w:val="Normal"/>
    <w:rsid w:val="0060762C"/>
    <w:pPr>
      <w:spacing w:after="260"/>
      <w:ind w:left="1985"/>
    </w:pPr>
  </w:style>
  <w:style w:type="paragraph" w:customStyle="1" w:styleId="ssPara5">
    <w:name w:val="ssPara5"/>
    <w:basedOn w:val="Normal"/>
    <w:rsid w:val="0060762C"/>
    <w:pPr>
      <w:spacing w:after="260"/>
      <w:ind w:left="2552"/>
    </w:pPr>
  </w:style>
  <w:style w:type="paragraph" w:customStyle="1" w:styleId="ssPara6">
    <w:name w:val="ssPara6"/>
    <w:basedOn w:val="Normal"/>
    <w:rsid w:val="0060762C"/>
    <w:pPr>
      <w:spacing w:after="260"/>
      <w:ind w:left="3119"/>
    </w:pPr>
  </w:style>
  <w:style w:type="paragraph" w:customStyle="1" w:styleId="ssNoHeading1">
    <w:name w:val="ssNoHeading1"/>
    <w:basedOn w:val="Heading1"/>
    <w:rsid w:val="00B060B8"/>
    <w:pPr>
      <w:keepNext w:val="0"/>
      <w:widowControl/>
    </w:pPr>
    <w:rPr>
      <w:b w:val="0"/>
      <w:szCs w:val="22"/>
      <w:u w:val="none"/>
    </w:rPr>
  </w:style>
  <w:style w:type="paragraph" w:customStyle="1" w:styleId="ssNoHeading2">
    <w:name w:val="ssNoHeading2"/>
    <w:basedOn w:val="Heading2"/>
    <w:rsid w:val="00B060B8"/>
    <w:pPr>
      <w:keepNext w:val="0"/>
      <w:widowControl/>
    </w:pPr>
    <w:rPr>
      <w:b w:val="0"/>
    </w:rPr>
  </w:style>
  <w:style w:type="paragraph" w:customStyle="1" w:styleId="ssNoHeading3">
    <w:name w:val="ssNoHeading3"/>
    <w:basedOn w:val="Heading3"/>
    <w:rsid w:val="00B060B8"/>
    <w:pPr>
      <w:keepNext w:val="0"/>
      <w:widowControl/>
    </w:pPr>
    <w:rPr>
      <w:b w:val="0"/>
    </w:rPr>
  </w:style>
  <w:style w:type="paragraph" w:customStyle="1" w:styleId="ssNoHeading4">
    <w:name w:val="ssNoHeading4"/>
    <w:basedOn w:val="Heading4"/>
    <w:rsid w:val="00B060B8"/>
    <w:pPr>
      <w:keepNext w:val="0"/>
      <w:widowControl/>
    </w:pPr>
    <w:rPr>
      <w:b w:val="0"/>
    </w:rPr>
  </w:style>
  <w:style w:type="paragraph" w:customStyle="1" w:styleId="ssNoHeading5">
    <w:name w:val="ssNoHeading5"/>
    <w:basedOn w:val="Heading5"/>
    <w:rsid w:val="00B060B8"/>
    <w:pPr>
      <w:keepNext w:val="0"/>
      <w:widowControl/>
    </w:pPr>
    <w:rPr>
      <w:b w:val="0"/>
    </w:rPr>
  </w:style>
  <w:style w:type="paragraph" w:customStyle="1" w:styleId="ssNoHeading6">
    <w:name w:val="ssNoHeading6"/>
    <w:basedOn w:val="Heading6"/>
    <w:rsid w:val="00B060B8"/>
    <w:pPr>
      <w:keepNext w:val="0"/>
      <w:widowControl/>
    </w:pPr>
    <w:rPr>
      <w:b w:val="0"/>
    </w:rPr>
  </w:style>
  <w:style w:type="paragraph" w:customStyle="1" w:styleId="ssRestartNumber">
    <w:name w:val="ssRestartNumber"/>
    <w:basedOn w:val="Normal"/>
    <w:next w:val="ssPara1"/>
    <w:rsid w:val="00CA65D2"/>
    <w:pPr>
      <w:numPr>
        <w:numId w:val="1"/>
      </w:numPr>
    </w:pPr>
    <w:rPr>
      <w:color w:val="FF0000"/>
    </w:rPr>
  </w:style>
  <w:style w:type="paragraph" w:customStyle="1" w:styleId="ssqPart">
    <w:name w:val="ssqPart"/>
    <w:basedOn w:val="Normal"/>
    <w:next w:val="ssPara1"/>
    <w:rsid w:val="00DB29D9"/>
    <w:pPr>
      <w:numPr>
        <w:ilvl w:val="1"/>
        <w:numId w:val="13"/>
      </w:numPr>
      <w:spacing w:after="260"/>
      <w:jc w:val="center"/>
    </w:pPr>
    <w:rPr>
      <w:b/>
      <w:caps/>
    </w:rPr>
  </w:style>
  <w:style w:type="paragraph" w:customStyle="1" w:styleId="ssRestartPart">
    <w:name w:val="ssRestartPart"/>
    <w:basedOn w:val="Normal"/>
    <w:next w:val="ssPara1"/>
    <w:rsid w:val="00DB29D9"/>
    <w:pPr>
      <w:numPr>
        <w:numId w:val="13"/>
      </w:numPr>
    </w:pPr>
    <w:rPr>
      <w:color w:val="FF0000"/>
    </w:rPr>
  </w:style>
  <w:style w:type="paragraph" w:customStyle="1" w:styleId="ssRestartSchedule">
    <w:name w:val="ssRestartSchedule"/>
    <w:basedOn w:val="Normal"/>
    <w:next w:val="ssPara1"/>
    <w:rsid w:val="008B5DC3"/>
    <w:pPr>
      <w:numPr>
        <w:numId w:val="14"/>
      </w:numPr>
    </w:pPr>
    <w:rPr>
      <w:color w:val="FF0000"/>
    </w:rPr>
  </w:style>
  <w:style w:type="paragraph" w:customStyle="1" w:styleId="ssqSchedule">
    <w:name w:val="ssqSchedule"/>
    <w:basedOn w:val="Normal"/>
    <w:next w:val="ssPara1"/>
    <w:rsid w:val="008B5DC3"/>
    <w:pPr>
      <w:numPr>
        <w:ilvl w:val="1"/>
        <w:numId w:val="14"/>
      </w:numPr>
      <w:spacing w:after="260"/>
      <w:jc w:val="center"/>
    </w:pPr>
    <w:rPr>
      <w:b/>
      <w:caps/>
    </w:rPr>
  </w:style>
  <w:style w:type="paragraph" w:customStyle="1" w:styleId="ssqExhibit">
    <w:name w:val="ssqExhibit"/>
    <w:basedOn w:val="Normal"/>
    <w:next w:val="ssPara1"/>
    <w:rsid w:val="002468A8"/>
    <w:pPr>
      <w:numPr>
        <w:ilvl w:val="1"/>
        <w:numId w:val="16"/>
      </w:numPr>
      <w:spacing w:after="260"/>
      <w:jc w:val="center"/>
    </w:pPr>
    <w:rPr>
      <w:b/>
      <w:caps/>
    </w:rPr>
  </w:style>
  <w:style w:type="paragraph" w:customStyle="1" w:styleId="ssRestartExhibit">
    <w:name w:val="ssRestartExhibit"/>
    <w:basedOn w:val="Normal"/>
    <w:next w:val="ssPara1"/>
    <w:rsid w:val="002468A8"/>
    <w:pPr>
      <w:numPr>
        <w:numId w:val="16"/>
      </w:numPr>
    </w:pPr>
    <w:rPr>
      <w:color w:val="FF0000"/>
    </w:rPr>
  </w:style>
  <w:style w:type="paragraph" w:customStyle="1" w:styleId="ssqToCAdd">
    <w:name w:val="ssqToCAdd"/>
    <w:basedOn w:val="ssPara1"/>
    <w:next w:val="ssPara1"/>
    <w:rsid w:val="0034673E"/>
  </w:style>
  <w:style w:type="paragraph" w:customStyle="1" w:styleId="ssqAppendix">
    <w:name w:val="ssqAppendix"/>
    <w:basedOn w:val="Normal"/>
    <w:next w:val="ssPara1"/>
    <w:rsid w:val="00CB7D04"/>
    <w:pPr>
      <w:numPr>
        <w:ilvl w:val="1"/>
        <w:numId w:val="19"/>
      </w:numPr>
      <w:spacing w:after="260"/>
      <w:jc w:val="center"/>
    </w:pPr>
    <w:rPr>
      <w:b/>
      <w:caps/>
    </w:rPr>
  </w:style>
  <w:style w:type="paragraph" w:customStyle="1" w:styleId="ssRestartAppendix">
    <w:name w:val="ssRestartAppendix"/>
    <w:basedOn w:val="Normal"/>
    <w:next w:val="ssPara1"/>
    <w:rsid w:val="004108F5"/>
    <w:pPr>
      <w:numPr>
        <w:numId w:val="19"/>
      </w:numPr>
    </w:pPr>
    <w:rPr>
      <w:color w:val="FF0000"/>
    </w:rPr>
  </w:style>
  <w:style w:type="paragraph" w:styleId="TOC1">
    <w:name w:val="toc 1"/>
    <w:basedOn w:val="Normal"/>
    <w:next w:val="Normal"/>
    <w:autoRedefine/>
    <w:rsid w:val="00800C13"/>
    <w:pPr>
      <w:tabs>
        <w:tab w:val="right" w:leader="dot" w:pos="9497"/>
      </w:tabs>
      <w:spacing w:before="220"/>
      <w:ind w:left="709" w:right="595" w:hanging="709"/>
    </w:pPr>
  </w:style>
  <w:style w:type="paragraph" w:styleId="TOC2">
    <w:name w:val="toc 2"/>
    <w:basedOn w:val="Normal"/>
    <w:next w:val="Normal"/>
    <w:autoRedefine/>
    <w:rsid w:val="0098314B"/>
    <w:pPr>
      <w:tabs>
        <w:tab w:val="right" w:leader="dot" w:pos="9497"/>
      </w:tabs>
      <w:ind w:left="1418" w:right="595" w:hanging="709"/>
    </w:pPr>
  </w:style>
  <w:style w:type="paragraph" w:styleId="TOC3">
    <w:name w:val="toc 3"/>
    <w:basedOn w:val="Normal"/>
    <w:next w:val="Normal"/>
    <w:autoRedefine/>
    <w:rsid w:val="00D33221"/>
    <w:pPr>
      <w:tabs>
        <w:tab w:val="right" w:leader="dot" w:pos="9497"/>
      </w:tabs>
      <w:ind w:left="2127" w:right="595" w:hanging="709"/>
    </w:pPr>
  </w:style>
  <w:style w:type="paragraph" w:styleId="TOC4">
    <w:name w:val="toc 4"/>
    <w:basedOn w:val="Normal"/>
    <w:next w:val="Normal"/>
    <w:autoRedefine/>
    <w:rsid w:val="00D33221"/>
    <w:pPr>
      <w:tabs>
        <w:tab w:val="right" w:leader="dot" w:pos="9497"/>
      </w:tabs>
      <w:ind w:left="2694" w:right="595" w:hanging="709"/>
    </w:pPr>
  </w:style>
  <w:style w:type="paragraph" w:styleId="BodyText">
    <w:name w:val="Body Text"/>
    <w:basedOn w:val="Normal"/>
    <w:link w:val="BodyTextChar"/>
    <w:rsid w:val="00D04C79"/>
    <w:pPr>
      <w:spacing w:after="120"/>
    </w:pPr>
  </w:style>
  <w:style w:type="character" w:customStyle="1" w:styleId="BodyTextChar">
    <w:name w:val="Body Text Char"/>
    <w:link w:val="BodyText"/>
    <w:rsid w:val="00D04C79"/>
    <w:rPr>
      <w:rFonts w:ascii="Arial" w:hAnsi="Arial"/>
      <w:sz w:val="22"/>
      <w:szCs w:val="22"/>
      <w:lang w:eastAsia="zh-CN"/>
    </w:rPr>
  </w:style>
  <w:style w:type="character" w:styleId="Hyperlink">
    <w:name w:val="Hyperlink"/>
    <w:basedOn w:val="DefaultParagraphFont"/>
    <w:rsid w:val="002335D9"/>
    <w:rPr>
      <w:color w:val="0000FF" w:themeColor="hyperlink"/>
      <w:u w:val="single"/>
    </w:rPr>
  </w:style>
  <w:style w:type="paragraph" w:styleId="Header">
    <w:name w:val="header"/>
    <w:basedOn w:val="Normal"/>
    <w:link w:val="HeaderChar"/>
    <w:rsid w:val="00AE132F"/>
    <w:pPr>
      <w:tabs>
        <w:tab w:val="center" w:pos="4513"/>
        <w:tab w:val="right" w:pos="9026"/>
      </w:tabs>
    </w:pPr>
  </w:style>
  <w:style w:type="character" w:customStyle="1" w:styleId="HeaderChar">
    <w:name w:val="Header Char"/>
    <w:basedOn w:val="DefaultParagraphFont"/>
    <w:link w:val="Header"/>
    <w:rsid w:val="00AE132F"/>
    <w:rPr>
      <w:rFonts w:ascii="Arial" w:hAnsi="Arial"/>
      <w:szCs w:val="22"/>
      <w:lang w:eastAsia="zh-CN"/>
    </w:rPr>
  </w:style>
  <w:style w:type="paragraph" w:styleId="Footer">
    <w:name w:val="footer"/>
    <w:basedOn w:val="Normal"/>
    <w:link w:val="FooterChar"/>
    <w:rsid w:val="00AE132F"/>
    <w:pPr>
      <w:tabs>
        <w:tab w:val="center" w:pos="4513"/>
        <w:tab w:val="right" w:pos="9026"/>
      </w:tabs>
    </w:pPr>
  </w:style>
  <w:style w:type="character" w:customStyle="1" w:styleId="FooterChar">
    <w:name w:val="Footer Char"/>
    <w:basedOn w:val="DefaultParagraphFont"/>
    <w:link w:val="Footer"/>
    <w:rsid w:val="00AE132F"/>
    <w:rPr>
      <w:rFonts w:ascii="Arial" w:hAnsi="Arial"/>
      <w:szCs w:val="22"/>
      <w:lang w:eastAsia="zh-CN"/>
    </w:rPr>
  </w:style>
  <w:style w:type="paragraph" w:styleId="BalloonText">
    <w:name w:val="Balloon Text"/>
    <w:basedOn w:val="Normal"/>
    <w:link w:val="BalloonTextChar"/>
    <w:rsid w:val="00CD61BA"/>
    <w:rPr>
      <w:rFonts w:ascii="Tahoma" w:hAnsi="Tahoma" w:cs="Tahoma"/>
      <w:sz w:val="16"/>
      <w:szCs w:val="16"/>
    </w:rPr>
  </w:style>
  <w:style w:type="character" w:customStyle="1" w:styleId="BalloonTextChar">
    <w:name w:val="Balloon Text Char"/>
    <w:basedOn w:val="DefaultParagraphFont"/>
    <w:link w:val="BalloonText"/>
    <w:rsid w:val="00CD61BA"/>
    <w:rPr>
      <w:rFonts w:ascii="Tahoma" w:hAnsi="Tahoma" w:cs="Tahoma"/>
      <w:sz w:val="16"/>
      <w:szCs w:val="16"/>
      <w:lang w:eastAsia="zh-CN"/>
    </w:rPr>
  </w:style>
  <w:style w:type="table" w:styleId="TableGrid">
    <w:name w:val="Table Grid"/>
    <w:basedOn w:val="TableNormal"/>
    <w:uiPriority w:val="59"/>
    <w:rsid w:val="00F975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2015/11/2014-1569_final_report_-_esmas_technical_advice_to_the_commission_on_mifid_ii_and_mifir.pdf"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ec.europa.eu/transparency/regdoc/rep/3/2016/EN/3-2016-2398-EN-F1-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ur-lex.europa.eu/LexUriServ/LexUriServ.do?uri=OJ:L:2006:241:0026:0058:EN:PDF"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rclays">
      <a:majorFont>
        <a:latin typeface="Expert Sans Regular"/>
        <a:ea typeface=""/>
        <a:cs typeface=""/>
      </a:majorFont>
      <a:minorFont>
        <a:latin typeface="Expert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B22C-E6CC-43CB-976B-676BE426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miloshju</dc:creator>
  <cp:keywords/>
  <dc:description/>
  <cp:lastModifiedBy>Sally Anderson</cp:lastModifiedBy>
  <cp:revision>2</cp:revision>
  <cp:lastPrinted>2016-05-09T08:58:00Z</cp:lastPrinted>
  <dcterms:created xsi:type="dcterms:W3CDTF">2019-10-13T19:25:00Z</dcterms:created>
  <dcterms:modified xsi:type="dcterms:W3CDTF">2019-10-13T19:25:00Z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62127973 V1 -  - UK1</vt:lpwstr>
  </property>
</Properties>
</file>