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930" w:rsidRDefault="00200930" w:rsidP="00200930">
      <w:pPr>
        <w:spacing w:line="265" w:lineRule="exact"/>
        <w:textAlignment w:val="baseline"/>
        <w:rPr>
          <w:rFonts w:eastAsia="Times New Roman"/>
          <w:b/>
          <w:color w:val="6177A8"/>
          <w:spacing w:val="10"/>
          <w:sz w:val="20"/>
        </w:rPr>
      </w:pPr>
      <w:r>
        <w:rPr>
          <w:rFonts w:ascii="Garamond" w:eastAsia="Garamond" w:hAnsi="Garamond"/>
          <w:color w:val="000000"/>
          <w:spacing w:val="-4"/>
          <w:sz w:val="25"/>
        </w:rPr>
        <w:t>28 September 2015 I ESMA/2015/1464</w:t>
      </w:r>
      <w:r>
        <w:rPr>
          <w:noProof/>
        </w:rPr>
        <mc:AlternateContent>
          <mc:Choice Requires="wps">
            <w:drawing>
              <wp:anchor distT="0" distB="0" distL="0" distR="0" simplePos="0" relativeHeight="251703296" behindDoc="1" locked="0" layoutInCell="1" allowOverlap="1" wp14:anchorId="6F873D6C" wp14:editId="324C4DCC">
                <wp:simplePos x="0" y="0"/>
                <wp:positionH relativeFrom="page">
                  <wp:posOffset>851535</wp:posOffset>
                </wp:positionH>
                <wp:positionV relativeFrom="page">
                  <wp:posOffset>9995535</wp:posOffset>
                </wp:positionV>
                <wp:extent cx="168275" cy="172720"/>
                <wp:effectExtent l="0" t="0" r="3175" b="17780"/>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930" w:rsidRDefault="00200930" w:rsidP="00200930">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" filled="f" stroked="f">
                <v:textbox inset="0,0,0,0">
                  <w:txbxContent>
                    <w:p w:rsidR="00200930" w:rsidRDefault="00200930" w:rsidP="00200930">
                      <w:pPr>
                        <w:spacing w:line="271" w:lineRule="exact"/>
                        <w:textAlignment w:val="baseline"/>
                        <w:rPr>
                          <w:rFonts w:eastAsia="Times New Roman"/>
                          <w:color w:val="000000"/>
                          <w:sz w:val="24"/>
                        </w:rPr>
                      </w:pPr>
                    </w:p>
                  </w:txbxContent>
                </v:textbox>
                <w10:wrap type="square" anchorx="page" anchory="page"/>
              </v:shape>
            </w:pict>
          </mc:Fallback>
        </mc:AlternateContent>
      </w:r>
      <w:r>
        <w:rPr>
          <w:rFonts w:eastAsia="Times New Roman"/>
          <w:b/>
          <w:color w:val="6177A8"/>
          <w:spacing w:val="10"/>
          <w:sz w:val="20"/>
        </w:rPr>
        <w:t>* * *</w:t>
      </w:r>
    </w:p>
    <w:p w:rsidR="00200930" w:rsidRDefault="00200930" w:rsidP="00262D92">
      <w:pPr>
        <w:spacing w:line="388" w:lineRule="exact"/>
        <w:ind w:left="144" w:right="144"/>
        <w:textAlignment w:val="baseline"/>
        <w:rPr>
          <w:rFonts w:ascii="Times New Roman" w:eastAsia="Times New Roman" w:hAnsi="Times New Roman"/>
          <w:b/>
          <w:color w:val="000000"/>
          <w:sz w:val="32"/>
          <w:lang w:val="en-US" w:eastAsia="en-US"/>
        </w:rPr>
      </w:pPr>
    </w:p>
    <w:p w:rsidR="00262D92" w:rsidRPr="00262D92" w:rsidRDefault="00262D92" w:rsidP="00262D92">
      <w:pPr>
        <w:spacing w:line="388" w:lineRule="exact"/>
        <w:ind w:left="144" w:right="144"/>
        <w:textAlignment w:val="baseline"/>
        <w:rPr>
          <w:rFonts w:ascii="Times New Roman" w:eastAsia="Times New Roman" w:hAnsi="Times New Roman"/>
          <w:b/>
          <w:color w:val="000000"/>
          <w:sz w:val="32"/>
          <w:lang w:val="en-US" w:eastAsia="en-US"/>
        </w:rPr>
      </w:pPr>
      <w:r w:rsidRPr="00262D92">
        <w:rPr>
          <w:rFonts w:ascii="Times New Roman" w:eastAsia="Times New Roman" w:hAnsi="Times New Roman"/>
          <w:b/>
          <w:color w:val="000000"/>
          <w:sz w:val="32"/>
          <w:lang w:val="en-US" w:eastAsia="en-US"/>
        </w:rPr>
        <w:t>CHAPTER 5: REQUIREMENTS APPLYING ON AND TO TRADING VENUES</w:t>
      </w:r>
    </w:p>
    <w:p w:rsidR="00262D92" w:rsidRPr="00262D92" w:rsidRDefault="00262D92" w:rsidP="00262D92">
      <w:pPr>
        <w:spacing w:before="249" w:after="2055" w:line="406" w:lineRule="exact"/>
        <w:ind w:left="144" w:right="144"/>
        <w:textAlignment w:val="baseline"/>
        <w:rPr>
          <w:rFonts w:ascii="Times New Roman" w:eastAsia="Times New Roman" w:hAnsi="Times New Roman"/>
          <w:b/>
          <w:color w:val="000000"/>
          <w:sz w:val="32"/>
          <w:lang w:val="en-US" w:eastAsia="en-US"/>
        </w:rPr>
      </w:pPr>
      <w:r w:rsidRPr="00262D92">
        <w:rPr>
          <w:rFonts w:ascii="Times New Roman" w:eastAsia="Times New Roman" w:hAnsi="Times New Roman"/>
          <w:b/>
          <w:color w:val="000000"/>
          <w:sz w:val="32"/>
          <w:lang w:val="en-US" w:eastAsia="en-US"/>
        </w:rPr>
        <w:t>RTS 17: Draft regulatory technical standards on the admission of financial instruments to trading on regulated markets</w:t>
      </w:r>
    </w:p>
    <w:p w:rsidR="00262D92" w:rsidRPr="00262D92" w:rsidRDefault="00262D92" w:rsidP="00262D92">
      <w:pPr>
        <w:spacing w:before="8" w:line="268" w:lineRule="exact"/>
        <w:ind w:left="5256"/>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72576" behindDoc="0" locked="0" layoutInCell="1" allowOverlap="1" wp14:anchorId="19C91B8E" wp14:editId="5332C531">
                <wp:simplePos x="0" y="0"/>
                <wp:positionH relativeFrom="page">
                  <wp:posOffset>807720</wp:posOffset>
                </wp:positionH>
                <wp:positionV relativeFrom="page">
                  <wp:posOffset>9831070</wp:posOffset>
                </wp:positionV>
                <wp:extent cx="556895" cy="342900"/>
                <wp:effectExtent l="0" t="1270" r="0" b="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D92" w:rsidRDefault="00262D92" w:rsidP="00262D92">
                            <w:pPr>
                              <w:spacing w:line="530" w:lineRule="exact"/>
                              <w:ind w:left="72"/>
                              <w:textAlignment w:val="baseline"/>
                              <w:rPr>
                                <w:rFonts w:ascii="Arial" w:eastAsia="Arial" w:hAnsi="Arial"/>
                                <w:b/>
                                <w:color w:val="000000"/>
                                <w:spacing w:val="4"/>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7" type="#_x0000_t202" style="position:absolute;left:0;text-align:left;margin-left:63.6pt;margin-top:774.1pt;width:43.85pt;height:27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EyswIAALE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" filled="f" stroked="f">
                <v:textbox inset="0,0,0,0">
                  <w:txbxContent>
                    <w:p w:rsidR="00262D92" w:rsidRDefault="00262D92" w:rsidP="00262D92">
                      <w:pPr>
                        <w:spacing w:line="530" w:lineRule="exact"/>
                        <w:ind w:left="72"/>
                        <w:textAlignment w:val="baseline"/>
                        <w:rPr>
                          <w:rFonts w:ascii="Arial" w:eastAsia="Arial" w:hAnsi="Arial"/>
                          <w:b/>
                          <w:color w:val="000000"/>
                          <w:spacing w:val="4"/>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3600" behindDoc="0" locked="0" layoutInCell="1" allowOverlap="1" wp14:anchorId="5DC3C1E4" wp14:editId="39F2208B">
                <wp:simplePos x="0" y="0"/>
                <wp:positionH relativeFrom="page">
                  <wp:posOffset>3609975</wp:posOffset>
                </wp:positionH>
                <wp:positionV relativeFrom="page">
                  <wp:posOffset>9968230</wp:posOffset>
                </wp:positionV>
                <wp:extent cx="342265" cy="172085"/>
                <wp:effectExtent l="0" t="0" r="635" b="3810"/>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D92" w:rsidRDefault="00262D92" w:rsidP="00262D92">
                            <w:pPr>
                              <w:spacing w:before="3" w:line="254" w:lineRule="exact"/>
                              <w:textAlignment w:val="baseline"/>
                              <w:rPr>
                                <w:rFonts w:eastAsia="Times New Roman"/>
                                <w:color w:val="000000"/>
                                <w:spacing w:val="16"/>
                                <w:sz w:val="24"/>
                              </w:rPr>
                            </w:pPr>
                            <w:r>
                              <w:rPr>
                                <w:rFonts w:eastAsia="Times New Roman"/>
                                <w:color w:val="000000"/>
                                <w:spacing w:val="16"/>
                                <w:sz w:val="24"/>
                              </w:rPr>
                              <w:t>369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9" type="#_x0000_t202" style="position:absolute;left:0;text-align:left;margin-left:284.25pt;margin-top:784.9pt;width:26.95pt;height:13.5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RGsQIAALE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" filled="f" stroked="f">
                <v:textbox inset="0,0,0,0">
                  <w:txbxContent>
                    <w:p w:rsidR="00262D92" w:rsidRDefault="00262D92" w:rsidP="00262D92">
                      <w:pPr>
                        <w:spacing w:before="3" w:line="254" w:lineRule="exact"/>
                        <w:textAlignment w:val="baseline"/>
                        <w:rPr>
                          <w:rFonts w:eastAsia="Times New Roman"/>
                          <w:color w:val="000000"/>
                          <w:spacing w:val="16"/>
                          <w:sz w:val="24"/>
                        </w:rPr>
                      </w:pPr>
                      <w:r>
                        <w:rPr>
                          <w:rFonts w:eastAsia="Times New Roman"/>
                          <w:color w:val="000000"/>
                          <w:spacing w:val="16"/>
                          <w:sz w:val="24"/>
                        </w:rPr>
                        <w:t>369</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4624" behindDoc="0" locked="0" layoutInCell="1" allowOverlap="1" wp14:anchorId="18D750BC" wp14:editId="174106C7">
                <wp:simplePos x="0" y="0"/>
                <wp:positionH relativeFrom="page">
                  <wp:posOffset>6194425</wp:posOffset>
                </wp:positionH>
                <wp:positionV relativeFrom="page">
                  <wp:posOffset>9831070</wp:posOffset>
                </wp:positionV>
                <wp:extent cx="506730" cy="342900"/>
                <wp:effectExtent l="3175" t="1270" r="4445" b="0"/>
                <wp:wrapSquare wrapText="bothSides"/>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D92" w:rsidRDefault="00262D92" w:rsidP="00262D92">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9" type="#_x0000_t202" style="position:absolute;left:0;text-align:left;margin-left:487.75pt;margin-top:774.1pt;width:39.9pt;height:27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tRkbaLICAACx&#10;BQAADgAAAAAAAAAAAAAAAAAuAgAAZHJzL2Uyb0RvYy54bWxQSwECLQAUAAYACAAAACEA028a8eIA&#10;AAAOAQAADwAAAAAAAAAAAAAAAAAMBQAAZHJzL2Rvd25yZXYueG1sUEsFBgAAAAAEAAQA8wAAABsG&#10;AAAAAA==&#10;" filled="f" stroked="f">
                <v:textbox inset="0,0,0,0">
                  <w:txbxContent>
                    <w:p w:rsidR="00262D92" w:rsidRDefault="00262D92" w:rsidP="00262D92">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Pr="00262D92">
        <w:rPr>
          <w:rFonts w:ascii="Times New Roman" w:eastAsia="Times New Roman" w:hAnsi="Times New Roman"/>
          <w:color w:val="000000"/>
          <w:sz w:val="24"/>
          <w:lang w:val="en-US" w:eastAsia="en-US"/>
        </w:rPr>
        <w:t>Brussels,</w:t>
      </w:r>
      <w:r w:rsidRPr="00262D92">
        <w:rPr>
          <w:rFonts w:ascii="Times New Roman" w:eastAsia="Times New Roman" w:hAnsi="Times New Roman"/>
          <w:color w:val="FF0000"/>
          <w:sz w:val="24"/>
          <w:lang w:val="en-US" w:eastAsia="en-US"/>
        </w:rPr>
        <w:t xml:space="preserve"> XXX</w:t>
      </w:r>
    </w:p>
    <w:p w:rsidR="00262D92" w:rsidRPr="00262D92" w:rsidRDefault="00262D92" w:rsidP="00262D92">
      <w:pPr>
        <w:spacing w:before="12" w:line="268" w:lineRule="exact"/>
        <w:ind w:left="5256"/>
        <w:jc w:val="left"/>
        <w:textAlignment w:val="baseline"/>
        <w:rPr>
          <w:rFonts w:ascii="Times New Roman" w:eastAsia="Times New Roman" w:hAnsi="Times New Roman"/>
          <w:color w:val="FF0000"/>
          <w:sz w:val="24"/>
          <w:lang w:val="en-US" w:eastAsia="en-US"/>
        </w:rPr>
      </w:pPr>
      <w:r w:rsidRPr="00262D92">
        <w:rPr>
          <w:rFonts w:ascii="Times New Roman" w:eastAsia="Times New Roman" w:hAnsi="Times New Roman"/>
          <w:color w:val="FF0000"/>
          <w:sz w:val="24"/>
          <w:lang w:val="en-US" w:eastAsia="en-US"/>
        </w:rPr>
        <w:t>[..</w:t>
      </w:r>
      <w:r w:rsidRPr="00262D92">
        <w:rPr>
          <w:rFonts w:ascii="Times New Roman" w:eastAsia="Times New Roman" w:hAnsi="Times New Roman"/>
          <w:color w:val="000000"/>
          <w:sz w:val="24"/>
          <w:lang w:val="en-US" w:eastAsia="en-US"/>
        </w:rPr>
        <w:t xml:space="preserve"> .](2012)</w:t>
      </w:r>
      <w:r w:rsidRPr="00262D92">
        <w:rPr>
          <w:rFonts w:ascii="Times New Roman" w:eastAsia="Times New Roman" w:hAnsi="Times New Roman"/>
          <w:color w:val="FF0000"/>
          <w:sz w:val="24"/>
          <w:lang w:val="en-US" w:eastAsia="en-US"/>
        </w:rPr>
        <w:t xml:space="preserve"> XXX</w:t>
      </w:r>
      <w:r w:rsidRPr="00262D92">
        <w:rPr>
          <w:rFonts w:ascii="Times New Roman" w:eastAsia="Times New Roman" w:hAnsi="Times New Roman"/>
          <w:color w:val="000000"/>
          <w:sz w:val="24"/>
          <w:lang w:val="en-US" w:eastAsia="en-US"/>
        </w:rPr>
        <w:t xml:space="preserve"> draft</w:t>
      </w:r>
    </w:p>
    <w:p w:rsidR="00262D92" w:rsidRPr="00262D92" w:rsidRDefault="001D07B3" w:rsidP="00262D92">
      <w:pPr>
        <w:spacing w:before="1464" w:line="269" w:lineRule="exact"/>
        <w:jc w:val="center"/>
        <w:textAlignment w:val="baseline"/>
        <w:rPr>
          <w:rFonts w:ascii="Times New Roman" w:eastAsia="Times New Roman" w:hAnsi="Times New Roman"/>
          <w:b/>
          <w:color w:val="000000"/>
          <w:sz w:val="24"/>
          <w:lang w:val="en-US" w:eastAsia="en-US"/>
        </w:rPr>
      </w:pPr>
      <w:r>
        <w:rPr>
          <w:rFonts w:ascii="Times New Roman" w:eastAsia="PMingLiU" w:hAnsi="Times New Roman"/>
          <w:noProof/>
        </w:rPr>
        <mc:AlternateContent>
          <mc:Choice Requires="wps">
            <w:drawing>
              <wp:anchor distT="0" distB="0" distL="0" distR="0" simplePos="0" relativeHeight="251671552" behindDoc="0" locked="0" layoutInCell="1" allowOverlap="1" wp14:anchorId="2E5037B8" wp14:editId="56766BCE">
                <wp:simplePos x="0" y="0"/>
                <wp:positionH relativeFrom="column">
                  <wp:posOffset>1351280</wp:posOffset>
                </wp:positionH>
                <wp:positionV relativeFrom="paragraph">
                  <wp:posOffset>195580</wp:posOffset>
                </wp:positionV>
                <wp:extent cx="3017520" cy="641350"/>
                <wp:effectExtent l="0" t="0" r="11430" b="63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64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7"/>
                              <w:gridCol w:w="3245"/>
                            </w:tblGrid>
                            <w:tr w:rsidR="00262D92">
                              <w:trPr>
                                <w:trHeight w:hRule="exact" w:val="1010"/>
                              </w:trPr>
                              <w:tc>
                                <w:tcPr>
                                  <w:tcW w:w="1507" w:type="dxa"/>
                                  <w:tcBorders>
                                    <w:top w:val="none" w:sz="0" w:space="0" w:color="000000"/>
                                    <w:left w:val="none" w:sz="0" w:space="0" w:color="000000"/>
                                    <w:bottom w:val="none" w:sz="0" w:space="0" w:color="000000"/>
                                    <w:right w:val="none" w:sz="0" w:space="0" w:color="000000"/>
                                  </w:tcBorders>
                                </w:tcPr>
                                <w:p w:rsidR="00262D92" w:rsidRDefault="00262D92">
                                  <w:pPr>
                                    <w:spacing w:before="6"/>
                                    <w:jc w:val="center"/>
                                    <w:textAlignment w:val="baseline"/>
                                  </w:pPr>
                                  <w:r>
                                    <w:rPr>
                                      <w:noProof/>
                                    </w:rPr>
                                    <w:drawing>
                                      <wp:inline distT="0" distB="0" distL="0" distR="0" wp14:anchorId="76249487" wp14:editId="7462FA26">
                                        <wp:extent cx="956945" cy="637540"/>
                                        <wp:effectExtent l="0" t="0" r="0" b="0"/>
                                        <wp:docPr id="4" name="pic"/>
                                        <wp:cNvGraphicFramePr/>
                                        <a:graphic xmlns:a="http://schemas.openxmlformats.org/drawingml/2006/main">
                                          <a:graphicData uri="http://schemas.openxmlformats.org/drawingml/2006/picture">
                                            <pic:pic xmlns:pic="http://schemas.openxmlformats.org/drawingml/2006/picture">
                                              <pic:nvPicPr>
                                                <pic:cNvPr id="204" name="test1"/>
                                                <pic:cNvPicPr preferRelativeResize="0"/>
                                              </pic:nvPicPr>
                                              <pic:blipFill>
                                                <a:blip r:embed="rId9"/>
                                                <a:stretch>
                                                  <a:fillRect/>
                                                </a:stretch>
                                              </pic:blipFill>
                                              <pic:spPr>
                                                <a:xfrm>
                                                  <a:off x="0" y="0"/>
                                                  <a:ext cx="956945" cy="637540"/>
                                                </a:xfrm>
                                                <a:prstGeom prst="rect">
                                                  <a:avLst/>
                                                </a:prstGeom>
                                              </pic:spPr>
                                            </pic:pic>
                                          </a:graphicData>
                                        </a:graphic>
                                      </wp:inline>
                                    </w:drawing>
                                  </w:r>
                                </w:p>
                              </w:tc>
                              <w:tc>
                                <w:tcPr>
                                  <w:tcW w:w="3245" w:type="dxa"/>
                                  <w:tcBorders>
                                    <w:top w:val="none" w:sz="0" w:space="0" w:color="000000"/>
                                    <w:left w:val="none" w:sz="0" w:space="0" w:color="000000"/>
                                    <w:bottom w:val="none" w:sz="0" w:space="0" w:color="000000"/>
                                    <w:right w:val="none" w:sz="0" w:space="0" w:color="000000"/>
                                  </w:tcBorders>
                                </w:tcPr>
                                <w:p w:rsidR="00262D92" w:rsidRDefault="00262D92">
                                  <w:pPr>
                                    <w:spacing w:after="744" w:line="261" w:lineRule="exact"/>
                                    <w:ind w:right="5"/>
                                    <w:jc w:val="right"/>
                                    <w:textAlignment w:val="baseline"/>
                                    <w:rPr>
                                      <w:rFonts w:ascii="Arial" w:eastAsia="Arial" w:hAnsi="Arial"/>
                                      <w:b/>
                                      <w:color w:val="000000"/>
                                      <w:sz w:val="23"/>
                                    </w:rPr>
                                  </w:pPr>
                                  <w:r>
                                    <w:rPr>
                                      <w:rFonts w:ascii="Arial" w:eastAsia="Arial" w:hAnsi="Arial"/>
                                      <w:b/>
                                      <w:color w:val="000000"/>
                                      <w:sz w:val="23"/>
                                    </w:rPr>
                                    <w:t>EUROPEAN COMMISSION</w:t>
                                  </w:r>
                                </w:p>
                              </w:tc>
                            </w:tr>
                          </w:tbl>
                          <w:p w:rsidR="00262D92" w:rsidRDefault="00262D92" w:rsidP="00262D9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0" type="#_x0000_t202" style="position:absolute;left:0;text-align:left;margin-left:106.4pt;margin-top:15.4pt;width:237.6pt;height:50.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7"/>
                        <w:gridCol w:w="3245"/>
                      </w:tblGrid>
                      <w:tr w:rsidR="00262D92">
                        <w:trPr>
                          <w:trHeight w:hRule="exact" w:val="1010"/>
                        </w:trPr>
                        <w:tc>
                          <w:tcPr>
                            <w:tcW w:w="1507" w:type="dxa"/>
                            <w:tcBorders>
                              <w:top w:val="none" w:sz="0" w:space="0" w:color="000000"/>
                              <w:left w:val="none" w:sz="0" w:space="0" w:color="000000"/>
                              <w:bottom w:val="none" w:sz="0" w:space="0" w:color="000000"/>
                              <w:right w:val="none" w:sz="0" w:space="0" w:color="000000"/>
                            </w:tcBorders>
                          </w:tcPr>
                          <w:p w:rsidR="00262D92" w:rsidRDefault="00262D92">
                            <w:pPr>
                              <w:spacing w:before="6"/>
                              <w:jc w:val="center"/>
                              <w:textAlignment w:val="baseline"/>
                            </w:pPr>
                            <w:r>
                              <w:rPr>
                                <w:noProof/>
                              </w:rPr>
                              <w:drawing>
                                <wp:inline distT="0" distB="0" distL="0" distR="0" wp14:anchorId="76249487" wp14:editId="7462FA26">
                                  <wp:extent cx="956945" cy="637540"/>
                                  <wp:effectExtent l="0" t="0" r="0" b="0"/>
                                  <wp:docPr id="4" name="pic"/>
                                  <wp:cNvGraphicFramePr/>
                                  <a:graphic xmlns:a="http://schemas.openxmlformats.org/drawingml/2006/main">
                                    <a:graphicData uri="http://schemas.openxmlformats.org/drawingml/2006/picture">
                                      <pic:pic xmlns:pic="http://schemas.openxmlformats.org/drawingml/2006/picture">
                                        <pic:nvPicPr>
                                          <pic:cNvPr id="204" name="test1"/>
                                          <pic:cNvPicPr preferRelativeResize="0"/>
                                        </pic:nvPicPr>
                                        <pic:blipFill>
                                          <a:blip r:embed="rId9"/>
                                          <a:stretch>
                                            <a:fillRect/>
                                          </a:stretch>
                                        </pic:blipFill>
                                        <pic:spPr>
                                          <a:xfrm>
                                            <a:off x="0" y="0"/>
                                            <a:ext cx="956945" cy="637540"/>
                                          </a:xfrm>
                                          <a:prstGeom prst="rect">
                                            <a:avLst/>
                                          </a:prstGeom>
                                        </pic:spPr>
                                      </pic:pic>
                                    </a:graphicData>
                                  </a:graphic>
                                </wp:inline>
                              </w:drawing>
                            </w:r>
                          </w:p>
                        </w:tc>
                        <w:tc>
                          <w:tcPr>
                            <w:tcW w:w="3245" w:type="dxa"/>
                            <w:tcBorders>
                              <w:top w:val="none" w:sz="0" w:space="0" w:color="000000"/>
                              <w:left w:val="none" w:sz="0" w:space="0" w:color="000000"/>
                              <w:bottom w:val="none" w:sz="0" w:space="0" w:color="000000"/>
                              <w:right w:val="none" w:sz="0" w:space="0" w:color="000000"/>
                            </w:tcBorders>
                          </w:tcPr>
                          <w:p w:rsidR="00262D92" w:rsidRDefault="00262D92">
                            <w:pPr>
                              <w:spacing w:after="744" w:line="261" w:lineRule="exact"/>
                              <w:ind w:right="5"/>
                              <w:jc w:val="right"/>
                              <w:textAlignment w:val="baseline"/>
                              <w:rPr>
                                <w:rFonts w:ascii="Arial" w:eastAsia="Arial" w:hAnsi="Arial"/>
                                <w:b/>
                                <w:color w:val="000000"/>
                                <w:sz w:val="23"/>
                              </w:rPr>
                            </w:pPr>
                            <w:r>
                              <w:rPr>
                                <w:rFonts w:ascii="Arial" w:eastAsia="Arial" w:hAnsi="Arial"/>
                                <w:b/>
                                <w:color w:val="000000"/>
                                <w:sz w:val="23"/>
                              </w:rPr>
                              <w:t>EUROPEAN COMMISSION</w:t>
                            </w:r>
                          </w:p>
                        </w:tc>
                      </w:tr>
                    </w:tbl>
                    <w:p w:rsidR="00262D92" w:rsidRDefault="00262D92" w:rsidP="00262D92"/>
                  </w:txbxContent>
                </v:textbox>
              </v:shape>
            </w:pict>
          </mc:Fallback>
        </mc:AlternateContent>
      </w:r>
      <w:r w:rsidR="00262D92" w:rsidRPr="00262D92">
        <w:rPr>
          <w:rFonts w:ascii="Times New Roman" w:eastAsia="Times New Roman" w:hAnsi="Times New Roman"/>
          <w:b/>
          <w:color w:val="000000"/>
          <w:sz w:val="24"/>
          <w:lang w:val="en-US" w:eastAsia="en-US"/>
        </w:rPr>
        <w:t>COMMISSION DELEGATED REGULATION (EU) No .../..</w:t>
      </w:r>
    </w:p>
    <w:p w:rsidR="00262D92" w:rsidRPr="00262D92" w:rsidRDefault="00262D92" w:rsidP="00262D92">
      <w:pPr>
        <w:spacing w:before="369" w:line="273" w:lineRule="exact"/>
        <w:jc w:val="center"/>
        <w:textAlignment w:val="baseline"/>
        <w:rPr>
          <w:rFonts w:ascii="Times New Roman" w:eastAsia="Times New Roman" w:hAnsi="Times New Roman"/>
          <w:b/>
          <w:color w:val="000000"/>
          <w:spacing w:val="10"/>
          <w:sz w:val="24"/>
          <w:lang w:val="en-US" w:eastAsia="en-US"/>
        </w:rPr>
      </w:pPr>
      <w:r w:rsidRPr="00262D92">
        <w:rPr>
          <w:rFonts w:ascii="Times New Roman" w:eastAsia="Times New Roman" w:hAnsi="Times New Roman"/>
          <w:b/>
          <w:color w:val="000000"/>
          <w:spacing w:val="10"/>
          <w:sz w:val="24"/>
          <w:lang w:val="en-US" w:eastAsia="en-US"/>
        </w:rPr>
        <w:t>of</w:t>
      </w:r>
      <w:r w:rsidRPr="00262D92">
        <w:rPr>
          <w:rFonts w:ascii="Times New Roman" w:eastAsia="Times New Roman" w:hAnsi="Times New Roman"/>
          <w:i/>
          <w:color w:val="FF0000"/>
          <w:spacing w:val="10"/>
          <w:sz w:val="24"/>
          <w:lang w:val="en-US" w:eastAsia="en-US"/>
        </w:rPr>
        <w:t xml:space="preserve"> XXX</w:t>
      </w:r>
    </w:p>
    <w:p w:rsidR="00262D92" w:rsidRPr="00262D92" w:rsidRDefault="00262D92" w:rsidP="00262D92">
      <w:pPr>
        <w:spacing w:before="408" w:line="274" w:lineRule="exact"/>
        <w:jc w:val="center"/>
        <w:textAlignment w:val="baseline"/>
        <w:rPr>
          <w:rFonts w:ascii="Times New Roman" w:eastAsia="Times New Roman" w:hAnsi="Times New Roman"/>
          <w:i/>
          <w:color w:val="0000FF"/>
          <w:spacing w:val="-23"/>
          <w:sz w:val="24"/>
          <w:lang w:val="en-US" w:eastAsia="en-US"/>
        </w:rPr>
      </w:pPr>
      <w:r w:rsidRPr="00262D92">
        <w:rPr>
          <w:rFonts w:ascii="Times New Roman" w:eastAsia="Times New Roman" w:hAnsi="Times New Roman"/>
          <w:i/>
          <w:color w:val="0000FF"/>
          <w:spacing w:val="-23"/>
          <w:sz w:val="24"/>
          <w:lang w:val="en-US" w:eastAsia="en-US"/>
        </w:rPr>
        <w:t>[• • .]</w:t>
      </w:r>
    </w:p>
    <w:p w:rsidR="00262D92" w:rsidRPr="00262D92" w:rsidRDefault="00262D92" w:rsidP="00262D92">
      <w:pPr>
        <w:jc w:val="left"/>
        <w:rPr>
          <w:rFonts w:ascii="Times New Roman" w:eastAsia="PMingLiU" w:hAnsi="Times New Roman"/>
          <w:lang w:val="en-US" w:eastAsia="en-US"/>
        </w:rPr>
        <w:sectPr w:rsidR="00262D92" w:rsidRPr="00262D92" w:rsidSect="00200930">
          <w:pgSz w:w="11909" w:h="16838"/>
          <w:pgMar w:top="720" w:right="1237" w:bottom="960" w:left="1272" w:header="720" w:footer="720" w:gutter="0"/>
          <w:cols w:space="720"/>
        </w:sectPr>
      </w:pPr>
    </w:p>
    <w:p w:rsidR="00200930" w:rsidRDefault="00200930" w:rsidP="00262D92">
      <w:pPr>
        <w:spacing w:before="284" w:line="271" w:lineRule="exact"/>
        <w:jc w:val="center"/>
        <w:textAlignment w:val="baseline"/>
        <w:rPr>
          <w:rFonts w:ascii="Times New Roman" w:eastAsia="Times New Roman" w:hAnsi="Times New Roman"/>
          <w:b/>
          <w:color w:val="000000"/>
          <w:sz w:val="24"/>
          <w:lang w:val="en-US" w:eastAsia="en-US"/>
        </w:rPr>
      </w:pPr>
    </w:p>
    <w:p w:rsidR="00262D92" w:rsidRPr="00262D92" w:rsidRDefault="00262D92" w:rsidP="00262D92">
      <w:pPr>
        <w:spacing w:before="284" w:line="271" w:lineRule="exact"/>
        <w:jc w:val="center"/>
        <w:textAlignment w:val="baseline"/>
        <w:rPr>
          <w:rFonts w:ascii="Times New Roman" w:eastAsia="Times New Roman" w:hAnsi="Times New Roman"/>
          <w:b/>
          <w:color w:val="000000"/>
          <w:sz w:val="24"/>
          <w:lang w:val="en-US" w:eastAsia="en-US"/>
        </w:rPr>
      </w:pPr>
      <w:r w:rsidRPr="00262D92">
        <w:rPr>
          <w:rFonts w:ascii="Times New Roman" w:eastAsia="Times New Roman" w:hAnsi="Times New Roman"/>
          <w:b/>
          <w:color w:val="000000"/>
          <w:sz w:val="24"/>
          <w:lang w:val="en-US" w:eastAsia="en-US"/>
        </w:rPr>
        <w:t>COMMISSION DELEGATED REGULATION (EU) No .../..</w:t>
      </w:r>
    </w:p>
    <w:p w:rsidR="00262D92" w:rsidRPr="00262D92" w:rsidRDefault="00262D92" w:rsidP="00262D92">
      <w:pPr>
        <w:spacing w:before="156" w:line="271" w:lineRule="exact"/>
        <w:jc w:val="center"/>
        <w:textAlignment w:val="baseline"/>
        <w:rPr>
          <w:rFonts w:ascii="Times New Roman" w:eastAsia="Times New Roman" w:hAnsi="Times New Roman"/>
          <w:b/>
          <w:color w:val="000000"/>
          <w:spacing w:val="-2"/>
          <w:sz w:val="24"/>
          <w:lang w:val="en-US" w:eastAsia="en-US"/>
        </w:rPr>
      </w:pPr>
      <w:r w:rsidRPr="00262D92">
        <w:rPr>
          <w:rFonts w:ascii="Times New Roman" w:eastAsia="Times New Roman" w:hAnsi="Times New Roman"/>
          <w:b/>
          <w:color w:val="000000"/>
          <w:spacing w:val="-2"/>
          <w:sz w:val="24"/>
          <w:lang w:val="en-US" w:eastAsia="en-US"/>
        </w:rPr>
        <w:t>of [date]</w:t>
      </w:r>
    </w:p>
    <w:p w:rsidR="00262D92" w:rsidRPr="00262D92" w:rsidRDefault="00262D92" w:rsidP="00262D92">
      <w:pPr>
        <w:spacing w:before="119" w:line="354" w:lineRule="exact"/>
        <w:jc w:val="center"/>
        <w:textAlignment w:val="baseline"/>
        <w:rPr>
          <w:rFonts w:ascii="Times New Roman" w:eastAsia="Times New Roman" w:hAnsi="Times New Roman"/>
          <w:b/>
          <w:color w:val="000000"/>
          <w:sz w:val="28"/>
          <w:lang w:val="en-US" w:eastAsia="en-US"/>
        </w:rPr>
      </w:pPr>
      <w:r w:rsidRPr="00262D92">
        <w:rPr>
          <w:rFonts w:ascii="Times New Roman" w:eastAsia="Times New Roman" w:hAnsi="Times New Roman"/>
          <w:b/>
          <w:color w:val="000000"/>
          <w:sz w:val="28"/>
          <w:lang w:val="en-US" w:eastAsia="en-US"/>
        </w:rPr>
        <w:t xml:space="preserve">supplementing Directive 2014/65/EU of the European Parliament and of the </w:t>
      </w:r>
      <w:r w:rsidRPr="00262D92">
        <w:rPr>
          <w:rFonts w:ascii="Times New Roman" w:eastAsia="Times New Roman" w:hAnsi="Times New Roman"/>
          <w:b/>
          <w:color w:val="000000"/>
          <w:sz w:val="28"/>
          <w:lang w:val="en-US" w:eastAsia="en-US"/>
        </w:rPr>
        <w:br/>
        <w:t xml:space="preserve">Council with regard to regulatory technical standards for the admission of </w:t>
      </w:r>
      <w:r w:rsidRPr="00262D92">
        <w:rPr>
          <w:rFonts w:ascii="Times New Roman" w:eastAsia="Times New Roman" w:hAnsi="Times New Roman"/>
          <w:b/>
          <w:color w:val="000000"/>
          <w:sz w:val="28"/>
          <w:lang w:val="en-US" w:eastAsia="en-US"/>
        </w:rPr>
        <w:br/>
        <w:t>financial instruments to trading on regulated markets</w:t>
      </w:r>
    </w:p>
    <w:p w:rsidR="00262D92" w:rsidRPr="00262D92" w:rsidRDefault="00262D92" w:rsidP="00262D92">
      <w:pPr>
        <w:spacing w:before="284" w:line="315" w:lineRule="exact"/>
        <w:jc w:val="center"/>
        <w:textAlignment w:val="baseline"/>
        <w:rPr>
          <w:rFonts w:ascii="Times New Roman" w:eastAsia="Times New Roman" w:hAnsi="Times New Roman"/>
          <w:b/>
          <w:color w:val="000000"/>
          <w:spacing w:val="-1"/>
          <w:sz w:val="28"/>
          <w:lang w:val="en-US" w:eastAsia="en-US"/>
        </w:rPr>
      </w:pPr>
      <w:r w:rsidRPr="00262D92">
        <w:rPr>
          <w:rFonts w:ascii="Times New Roman" w:eastAsia="Times New Roman" w:hAnsi="Times New Roman"/>
          <w:b/>
          <w:color w:val="000000"/>
          <w:spacing w:val="-1"/>
          <w:sz w:val="28"/>
          <w:lang w:val="en-US" w:eastAsia="en-US"/>
        </w:rPr>
        <w:t>(Text with EEA relevance)</w:t>
      </w:r>
    </w:p>
    <w:p w:rsidR="00262D92" w:rsidRPr="00262D92" w:rsidRDefault="00262D92" w:rsidP="00262D92">
      <w:pPr>
        <w:spacing w:before="835" w:line="273" w:lineRule="exact"/>
        <w:ind w:lef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THE EUROPEAN COMMISSION,</w:t>
      </w:r>
    </w:p>
    <w:p w:rsidR="00262D92" w:rsidRPr="00262D92" w:rsidRDefault="00262D92" w:rsidP="00262D92">
      <w:pPr>
        <w:spacing w:before="281" w:line="273" w:lineRule="exact"/>
        <w:ind w:lef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Having regard to the Treaty on the Functioning of the European Union,</w:t>
      </w:r>
    </w:p>
    <w:p w:rsidR="00262D92" w:rsidRPr="00262D92" w:rsidRDefault="00262D92" w:rsidP="00262D92">
      <w:pPr>
        <w:spacing w:before="258" w:line="300" w:lineRule="exact"/>
        <w:ind w:left="144" w:right="144"/>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Having regard to Directive 2014/65/EU of the European Parliament and of the Council of 15 May 2014 on markets in financial instruments and amending Directive 2002/92/EC and Directive 2011/61/EU</w:t>
      </w:r>
      <w:r w:rsidRPr="00262D92">
        <w:rPr>
          <w:rFonts w:ascii="Times New Roman" w:eastAsia="Times New Roman" w:hAnsi="Times New Roman"/>
          <w:color w:val="000000"/>
          <w:sz w:val="24"/>
          <w:vertAlign w:val="superscript"/>
          <w:lang w:val="en-US" w:eastAsia="en-US"/>
        </w:rPr>
        <w:t>1</w:t>
      </w:r>
      <w:r w:rsidRPr="00262D92">
        <w:rPr>
          <w:rFonts w:ascii="Times New Roman" w:eastAsia="Times New Roman" w:hAnsi="Times New Roman"/>
          <w:color w:val="000000"/>
          <w:sz w:val="24"/>
          <w:lang w:val="en-US" w:eastAsia="en-US"/>
        </w:rPr>
        <w:t>, and in particular the third subparagraph of Article 51(6) thereof,</w:t>
      </w:r>
    </w:p>
    <w:p w:rsidR="00262D92" w:rsidRPr="00262D92" w:rsidRDefault="00262D92" w:rsidP="00262D92">
      <w:pPr>
        <w:spacing w:before="283" w:line="273" w:lineRule="exact"/>
        <w:ind w:left="144"/>
        <w:jc w:val="left"/>
        <w:textAlignment w:val="baseline"/>
        <w:rPr>
          <w:rFonts w:ascii="Times New Roman" w:eastAsia="Times New Roman" w:hAnsi="Times New Roman"/>
          <w:color w:val="000000"/>
          <w:spacing w:val="-1"/>
          <w:sz w:val="24"/>
          <w:lang w:val="en-US" w:eastAsia="en-US"/>
        </w:rPr>
      </w:pPr>
      <w:r w:rsidRPr="00262D92">
        <w:rPr>
          <w:rFonts w:ascii="Times New Roman" w:eastAsia="Times New Roman" w:hAnsi="Times New Roman"/>
          <w:color w:val="000000"/>
          <w:spacing w:val="-1"/>
          <w:sz w:val="24"/>
          <w:lang w:val="en-US" w:eastAsia="en-US"/>
        </w:rPr>
        <w:t>Whereas:</w:t>
      </w:r>
    </w:p>
    <w:p w:rsidR="00262D92" w:rsidRPr="00262D92" w:rsidRDefault="00262D92" w:rsidP="001D07B3">
      <w:pPr>
        <w:numPr>
          <w:ilvl w:val="0"/>
          <w:numId w:val="27"/>
        </w:numPr>
        <w:tabs>
          <w:tab w:val="clear" w:pos="792"/>
        </w:tabs>
        <w:spacing w:before="258" w:line="301" w:lineRule="exact"/>
        <w:ind w:left="142" w:right="144"/>
        <w:jc w:val="left"/>
        <w:textAlignment w:val="baseline"/>
        <w:rPr>
          <w:rFonts w:ascii="Times New Roman" w:eastAsia="Times New Roman" w:hAnsi="Times New Roman"/>
          <w:color w:val="000000"/>
          <w:spacing w:val="-2"/>
          <w:sz w:val="24"/>
          <w:lang w:val="en-US" w:eastAsia="en-US"/>
        </w:rPr>
      </w:pPr>
      <w:r w:rsidRPr="00262D92">
        <w:rPr>
          <w:rFonts w:ascii="Times New Roman" w:eastAsia="Times New Roman" w:hAnsi="Times New Roman"/>
          <w:color w:val="000000"/>
          <w:spacing w:val="-2"/>
          <w:sz w:val="24"/>
          <w:lang w:val="en-US" w:eastAsia="en-US"/>
        </w:rPr>
        <w:t xml:space="preserve">Transferable securities should only be considered freely negotiable if before admission </w:t>
      </w:r>
      <w:r w:rsidRPr="00262D92">
        <w:rPr>
          <w:rFonts w:ascii="Times New Roman" w:eastAsia="Times New Roman" w:hAnsi="Times New Roman"/>
          <w:color w:val="000000"/>
          <w:spacing w:val="-2"/>
          <w:sz w:val="24"/>
          <w:lang w:val="en-US" w:eastAsia="en-US"/>
        </w:rPr>
        <w:br/>
        <w:t>to trading no restrictions exist which prevent the transfer of those securities in a way that would disturb creating a fair, orderly and efficient market.</w:t>
      </w:r>
    </w:p>
    <w:p w:rsidR="00262D92" w:rsidRPr="00262D92" w:rsidRDefault="00262D92" w:rsidP="001D07B3">
      <w:pPr>
        <w:numPr>
          <w:ilvl w:val="0"/>
          <w:numId w:val="27"/>
        </w:numPr>
        <w:tabs>
          <w:tab w:val="clear" w:pos="792"/>
        </w:tabs>
        <w:spacing w:before="261" w:line="302" w:lineRule="exact"/>
        <w:ind w:left="142" w:right="144"/>
        <w:jc w:val="left"/>
        <w:textAlignment w:val="baseline"/>
        <w:rPr>
          <w:rFonts w:ascii="Times New Roman" w:eastAsia="Times New Roman" w:hAnsi="Times New Roman"/>
          <w:color w:val="000000"/>
          <w:spacing w:val="-1"/>
          <w:sz w:val="24"/>
          <w:lang w:val="en-US" w:eastAsia="en-US"/>
        </w:rPr>
      </w:pPr>
      <w:r w:rsidRPr="00262D92">
        <w:rPr>
          <w:rFonts w:ascii="Times New Roman" w:eastAsia="Times New Roman" w:hAnsi="Times New Roman"/>
          <w:color w:val="000000"/>
          <w:spacing w:val="-1"/>
          <w:sz w:val="24"/>
          <w:lang w:val="en-US" w:eastAsia="en-US"/>
        </w:rPr>
        <w:t xml:space="preserve">For the admission to trading on a regulated market of a transferable security as defined </w:t>
      </w:r>
      <w:r w:rsidRPr="00262D92">
        <w:rPr>
          <w:rFonts w:ascii="Times New Roman" w:eastAsia="Times New Roman" w:hAnsi="Times New Roman"/>
          <w:color w:val="000000"/>
          <w:spacing w:val="-1"/>
          <w:sz w:val="24"/>
          <w:lang w:val="en-US" w:eastAsia="en-US"/>
        </w:rPr>
        <w:br/>
        <w:t xml:space="preserve">in Directive 2014/65/EU, in the case of a security within the meaning of Directive 2003/71/EC of the European Parliament and of the Council </w:t>
      </w:r>
      <w:r w:rsidRPr="00262D92">
        <w:rPr>
          <w:rFonts w:ascii="Times New Roman" w:eastAsia="Times New Roman" w:hAnsi="Times New Roman"/>
          <w:color w:val="000000"/>
          <w:spacing w:val="-1"/>
          <w:sz w:val="24"/>
          <w:vertAlign w:val="superscript"/>
          <w:lang w:val="en-US" w:eastAsia="en-US"/>
        </w:rPr>
        <w:t>2</w:t>
      </w:r>
      <w:r w:rsidRPr="00262D92">
        <w:rPr>
          <w:rFonts w:ascii="Times New Roman" w:eastAsia="Times New Roman" w:hAnsi="Times New Roman"/>
          <w:color w:val="000000"/>
          <w:spacing w:val="-1"/>
          <w:sz w:val="24"/>
          <w:lang w:val="en-US" w:eastAsia="en-US"/>
        </w:rPr>
        <w:t>, there needs to be sufficient information publicly available so as to enable to value that financial instrument for it to be traded in a fair, orderly and efficient manner. In addition, in the case of shares an adequate number should be available for distribution to the public and for securitised derivatives suitable settlement and delivery arrangements should be in place.</w:t>
      </w:r>
    </w:p>
    <w:p w:rsidR="00262D92" w:rsidRDefault="00262D92" w:rsidP="001D07B3">
      <w:pPr>
        <w:numPr>
          <w:ilvl w:val="0"/>
          <w:numId w:val="27"/>
        </w:numPr>
        <w:tabs>
          <w:tab w:val="clear" w:pos="792"/>
        </w:tabs>
        <w:spacing w:before="254" w:after="386" w:line="303" w:lineRule="exact"/>
        <w:ind w:left="142" w:right="144"/>
        <w:jc w:val="left"/>
        <w:textAlignment w:val="baseline"/>
        <w:rPr>
          <w:rFonts w:ascii="Times New Roman" w:eastAsia="Times New Roman" w:hAnsi="Times New Roman"/>
          <w:color w:val="000000"/>
          <w:spacing w:val="-1"/>
          <w:sz w:val="24"/>
          <w:lang w:val="en-US" w:eastAsia="en-US"/>
        </w:rPr>
      </w:pPr>
      <w:r w:rsidRPr="00262D92">
        <w:rPr>
          <w:rFonts w:ascii="Times New Roman" w:eastAsia="Times New Roman" w:hAnsi="Times New Roman"/>
          <w:color w:val="000000"/>
          <w:spacing w:val="-1"/>
          <w:sz w:val="24"/>
          <w:lang w:val="en-US" w:eastAsia="en-US"/>
        </w:rPr>
        <w:t xml:space="preserve">Transferable securities which fulfil the requirements for admission to an official list in </w:t>
      </w:r>
      <w:r w:rsidRPr="00262D92">
        <w:rPr>
          <w:rFonts w:ascii="Times New Roman" w:eastAsia="Times New Roman" w:hAnsi="Times New Roman"/>
          <w:color w:val="000000"/>
          <w:spacing w:val="-1"/>
          <w:sz w:val="24"/>
          <w:lang w:val="en-US" w:eastAsia="en-US"/>
        </w:rPr>
        <w:br/>
        <w:t>accordance with Directive 2001/34/EC should be considered freely negotiable and capable of being traded in a fair, orderly and efficient manner</w:t>
      </w:r>
      <w:r w:rsidRPr="00262D92">
        <w:rPr>
          <w:rFonts w:ascii="Times New Roman" w:eastAsia="Times New Roman" w:hAnsi="Times New Roman"/>
          <w:color w:val="000000"/>
          <w:spacing w:val="-1"/>
          <w:sz w:val="24"/>
          <w:vertAlign w:val="superscript"/>
          <w:lang w:val="en-US" w:eastAsia="en-US"/>
        </w:rPr>
        <w:t>3</w:t>
      </w:r>
      <w:r w:rsidRPr="00262D92">
        <w:rPr>
          <w:rFonts w:ascii="Times New Roman" w:eastAsia="Times New Roman" w:hAnsi="Times New Roman"/>
          <w:color w:val="000000"/>
          <w:spacing w:val="-1"/>
          <w:sz w:val="24"/>
          <w:lang w:val="en-US" w:eastAsia="en-US"/>
        </w:rPr>
        <w:t>.</w:t>
      </w:r>
    </w:p>
    <w:p w:rsidR="001D07B3" w:rsidRDefault="001D07B3" w:rsidP="001D07B3">
      <w:pPr>
        <w:spacing w:before="254" w:after="386" w:line="303" w:lineRule="exact"/>
        <w:ind w:right="144"/>
        <w:jc w:val="left"/>
        <w:textAlignment w:val="baseline"/>
        <w:rPr>
          <w:rFonts w:ascii="Times New Roman" w:eastAsia="Times New Roman" w:hAnsi="Times New Roman"/>
          <w:color w:val="000000"/>
          <w:spacing w:val="-1"/>
          <w:sz w:val="24"/>
          <w:lang w:val="en-US" w:eastAsia="en-US"/>
        </w:rPr>
      </w:pPr>
    </w:p>
    <w:p w:rsidR="001D07B3" w:rsidRPr="00262D92" w:rsidRDefault="001D07B3" w:rsidP="001D07B3">
      <w:pPr>
        <w:spacing w:before="254" w:after="386" w:line="303" w:lineRule="exact"/>
        <w:ind w:right="144"/>
        <w:jc w:val="left"/>
        <w:textAlignment w:val="baseline"/>
        <w:rPr>
          <w:rFonts w:ascii="Times New Roman" w:eastAsia="Times New Roman" w:hAnsi="Times New Roman"/>
          <w:color w:val="000000"/>
          <w:spacing w:val="-1"/>
          <w:sz w:val="24"/>
          <w:lang w:val="en-US" w:eastAsia="en-US"/>
        </w:rPr>
      </w:pPr>
    </w:p>
    <w:p w:rsidR="00262D92" w:rsidRPr="00262D92" w:rsidRDefault="00262D92" w:rsidP="00262D92">
      <w:pPr>
        <w:spacing w:before="273" w:line="229" w:lineRule="exact"/>
        <w:ind w:left="144"/>
        <w:jc w:val="left"/>
        <w:textAlignment w:val="baseline"/>
        <w:rPr>
          <w:rFonts w:ascii="Times New Roman" w:eastAsia="Times New Roman" w:hAnsi="Times New Roman"/>
          <w:color w:val="000000"/>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1312" behindDoc="0" locked="0" layoutInCell="1" allowOverlap="1">
                <wp:simplePos x="0" y="0"/>
                <wp:positionH relativeFrom="page">
                  <wp:posOffset>899160</wp:posOffset>
                </wp:positionH>
                <wp:positionV relativeFrom="page">
                  <wp:posOffset>8357870</wp:posOffset>
                </wp:positionV>
                <wp:extent cx="1832610" cy="0"/>
                <wp:effectExtent l="13335" t="13970" r="11430" b="508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58.1pt" to="215.1pt,6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WPgHgIAADgEAAAOAAAAZHJzL2Uyb0RvYy54bWysU8GO2jAQvVfqP1i+QxLIUo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" strokeweight=".7pt">
                <w10:wrap anchorx="page" anchory="page"/>
              </v:line>
            </w:pict>
          </mc:Fallback>
        </mc:AlternateContent>
      </w:r>
      <w:r w:rsidRPr="00262D92">
        <w:rPr>
          <w:rFonts w:ascii="Times New Roman" w:eastAsia="Times New Roman" w:hAnsi="Times New Roman"/>
          <w:color w:val="000000"/>
          <w:sz w:val="13"/>
          <w:vertAlign w:val="superscript"/>
          <w:lang w:val="en-US" w:eastAsia="en-US"/>
        </w:rPr>
        <w:t>1</w:t>
      </w:r>
      <w:r w:rsidRPr="00262D92">
        <w:rPr>
          <w:rFonts w:ascii="Times New Roman" w:eastAsia="Times New Roman" w:hAnsi="Times New Roman"/>
          <w:color w:val="000000"/>
          <w:sz w:val="20"/>
          <w:lang w:val="en-US" w:eastAsia="en-US"/>
        </w:rPr>
        <w:t>0J L 173, 12.06.2014, p. 349.</w:t>
      </w:r>
    </w:p>
    <w:p w:rsidR="00262D92" w:rsidRPr="00262D92" w:rsidRDefault="00262D92" w:rsidP="00262D92">
      <w:pPr>
        <w:spacing w:line="229" w:lineRule="exact"/>
        <w:ind w:left="144" w:right="144"/>
        <w:textAlignment w:val="baseline"/>
        <w:rPr>
          <w:rFonts w:ascii="Times New Roman" w:eastAsia="Times New Roman" w:hAnsi="Times New Roman"/>
          <w:color w:val="000000"/>
          <w:sz w:val="13"/>
          <w:vertAlign w:val="superscript"/>
          <w:lang w:val="en-US" w:eastAsia="en-US"/>
        </w:rPr>
      </w:pPr>
      <w:r w:rsidRPr="00262D92">
        <w:rPr>
          <w:rFonts w:ascii="Times New Roman" w:eastAsia="Times New Roman" w:hAnsi="Times New Roman"/>
          <w:color w:val="000000"/>
          <w:sz w:val="13"/>
          <w:vertAlign w:val="superscript"/>
          <w:lang w:val="en-US" w:eastAsia="en-US"/>
        </w:rPr>
        <w:t>2</w:t>
      </w:r>
      <w:r w:rsidRPr="00262D92">
        <w:rPr>
          <w:rFonts w:ascii="Times New Roman" w:eastAsia="Times New Roman" w:hAnsi="Times New Roman"/>
          <w:color w:val="000000"/>
          <w:sz w:val="20"/>
          <w:lang w:val="en-US" w:eastAsia="en-US"/>
        </w:rPr>
        <w:t xml:space="preserve"> Directive 2003/71/EC of the European Parliament and of the Council of 4 November 2003 on the prospectus to be published when securities are offered to the public or admitted to trading and amending Directive 2001/34/EC (OJ L 345, 31.12.2003, p. 64).</w:t>
      </w:r>
    </w:p>
    <w:p w:rsidR="00262D92" w:rsidRPr="00262D92" w:rsidRDefault="00262D92" w:rsidP="00262D92">
      <w:pPr>
        <w:spacing w:before="3" w:line="229" w:lineRule="exact"/>
        <w:ind w:left="144" w:right="144"/>
        <w:textAlignment w:val="baseline"/>
        <w:rPr>
          <w:rFonts w:ascii="Times New Roman" w:eastAsia="Times New Roman" w:hAnsi="Times New Roman"/>
          <w:color w:val="000000"/>
          <w:sz w:val="13"/>
          <w:vertAlign w:val="superscript"/>
          <w:lang w:val="en-US" w:eastAsia="en-US"/>
        </w:rPr>
      </w:pPr>
      <w:r w:rsidRPr="00262D92">
        <w:rPr>
          <w:rFonts w:ascii="Times New Roman" w:eastAsia="Times New Roman" w:hAnsi="Times New Roman"/>
          <w:color w:val="000000"/>
          <w:sz w:val="13"/>
          <w:vertAlign w:val="superscript"/>
          <w:lang w:val="en-US" w:eastAsia="en-US"/>
        </w:rPr>
        <w:t>3</w:t>
      </w:r>
      <w:r w:rsidRPr="00262D92">
        <w:rPr>
          <w:rFonts w:ascii="Times New Roman" w:eastAsia="Times New Roman" w:hAnsi="Times New Roman"/>
          <w:color w:val="000000"/>
          <w:sz w:val="20"/>
          <w:lang w:val="en-US" w:eastAsia="en-US"/>
        </w:rPr>
        <w:t xml:space="preserve"> Directive 2001/34/EC of the European Parliament and of the Council of 28 May 2001 on the admission of securities to official stock exchange listing and on information to be published on those securities (OJ L 184, 6.7.2001, p.1).</w:t>
      </w:r>
    </w:p>
    <w:p w:rsidR="00262D92" w:rsidRPr="00262D92" w:rsidRDefault="00262D92" w:rsidP="00262D92">
      <w:pPr>
        <w:jc w:val="left"/>
        <w:rPr>
          <w:rFonts w:ascii="Times New Roman" w:eastAsia="PMingLiU" w:hAnsi="Times New Roman"/>
          <w:lang w:val="en-US" w:eastAsia="en-US"/>
        </w:rPr>
        <w:sectPr w:rsidR="00262D92" w:rsidRPr="00262D92">
          <w:pgSz w:w="11909" w:h="16838"/>
          <w:pgMar w:top="500" w:right="1247" w:bottom="960" w:left="1262" w:header="720" w:footer="720" w:gutter="0"/>
          <w:cols w:space="720"/>
        </w:sectPr>
      </w:pPr>
    </w:p>
    <w:p w:rsidR="00262D92" w:rsidRPr="00262D92" w:rsidRDefault="00262D92" w:rsidP="00262D92">
      <w:pPr>
        <w:spacing w:before="272" w:after="245" w:line="303" w:lineRule="exact"/>
        <w:ind w:right="144"/>
        <w:textAlignment w:val="baseline"/>
        <w:rPr>
          <w:rFonts w:ascii="Times New Roman" w:eastAsia="Times New Roman" w:hAnsi="Times New Roman"/>
          <w:color w:val="000000"/>
          <w:sz w:val="24"/>
          <w:lang w:val="en-US" w:eastAsia="en-US"/>
        </w:rPr>
      </w:pPr>
      <w:r w:rsidRPr="00262D92">
        <w:rPr>
          <w:rFonts w:ascii="Times New Roman" w:eastAsia="PMingLiU" w:hAnsi="Times New Roman"/>
          <w:noProof/>
        </w:rPr>
        <w:lastRenderedPageBreak/>
        <w:drawing>
          <wp:anchor distT="0" distB="0" distL="0" distR="0" simplePos="0" relativeHeight="251700224" behindDoc="0" locked="0" layoutInCell="1" allowOverlap="1" wp14:anchorId="304BD6D0" wp14:editId="687CC3D9">
            <wp:simplePos x="0" y="0"/>
            <wp:positionH relativeFrom="page">
              <wp:posOffset>804545</wp:posOffset>
            </wp:positionH>
            <wp:positionV relativeFrom="page">
              <wp:posOffset>445135</wp:posOffset>
            </wp:positionV>
            <wp:extent cx="563880" cy="935355"/>
            <wp:effectExtent l="0" t="0" r="0" b="0"/>
            <wp:wrapThrough wrapText="bothSides">
              <wp:wrapPolygon edited="0">
                <wp:start x="0" y="0"/>
                <wp:lineTo x="0" y="21661"/>
                <wp:lineTo x="16829" y="21661"/>
                <wp:lineTo x="16829" y="18000"/>
                <wp:lineTo x="21627" y="18000"/>
                <wp:lineTo x="21627" y="0"/>
                <wp:lineTo x="0" y="0"/>
              </wp:wrapPolygon>
            </wp:wrapThrough>
            <wp:docPr id="1" name="Picture"/>
            <wp:cNvGraphicFramePr/>
            <a:graphic xmlns:a="http://schemas.openxmlformats.org/drawingml/2006/main">
              <a:graphicData uri="http://schemas.openxmlformats.org/drawingml/2006/picture">
                <pic:pic xmlns:pic="http://schemas.openxmlformats.org/drawingml/2006/picture">
                  <pic:nvPicPr>
                    <pic:cNvPr id="206" name="Picture"/>
                    <pic:cNvPicPr preferRelativeResize="0"/>
                  </pic:nvPicPr>
                  <pic:blipFill>
                    <a:blip r:embed="rId10"/>
                    <a:stretch>
                      <a:fillRect/>
                    </a:stretch>
                  </pic:blipFill>
                  <pic:spPr>
                    <a:xfrm>
                      <a:off x="0" y="0"/>
                      <a:ext cx="563880" cy="935355"/>
                    </a:xfrm>
                    <a:prstGeom prst="rect">
                      <a:avLst/>
                    </a:prstGeom>
                  </pic:spPr>
                </pic:pic>
              </a:graphicData>
            </a:graphic>
          </wp:anchor>
        </w:drawing>
      </w:r>
      <w:r>
        <w:rPr>
          <w:rFonts w:ascii="Times New Roman" w:eastAsia="PMingLiU" w:hAnsi="Times New Roman"/>
          <w:noProof/>
        </w:rPr>
        <mc:AlternateContent>
          <mc:Choice Requires="wps">
            <w:drawing>
              <wp:anchor distT="0" distB="0" distL="0" distR="0" simplePos="0" relativeHeight="251678720" behindDoc="0" locked="0" layoutInCell="1" allowOverlap="1" wp14:anchorId="15725751" wp14:editId="5E8C7F16">
                <wp:simplePos x="0" y="0"/>
                <wp:positionH relativeFrom="page">
                  <wp:posOffset>857885</wp:posOffset>
                </wp:positionH>
                <wp:positionV relativeFrom="page">
                  <wp:posOffset>9831070</wp:posOffset>
                </wp:positionV>
                <wp:extent cx="506730" cy="342900"/>
                <wp:effectExtent l="635" t="1270" r="0" b="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D92" w:rsidRDefault="00262D92" w:rsidP="00262D92">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1" type="#_x0000_t202" style="position:absolute;left:0;text-align:left;margin-left:67.55pt;margin-top:774.1pt;width:39.9pt;height:27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dosJLrICAACx&#10;BQAADgAAAAAAAAAAAAAAAAAuAgAAZHJzL2Uyb0RvYy54bWxQSwECLQAUAAYACAAAACEAPpXU6OIA&#10;AAANAQAADwAAAAAAAAAAAAAAAAAMBQAAZHJzL2Rvd25yZXYueG1sUEsFBgAAAAAEAAQA8wAAABsG&#10;AAAAAA==&#10;" filled="f" stroked="f">
                <v:textbox inset="0,0,0,0">
                  <w:txbxContent>
                    <w:p w:rsidR="00262D92" w:rsidRDefault="00262D92" w:rsidP="00262D92">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9744" behindDoc="0" locked="0" layoutInCell="1" allowOverlap="1" wp14:anchorId="4EF465D4" wp14:editId="10F35301">
                <wp:simplePos x="0" y="0"/>
                <wp:positionH relativeFrom="page">
                  <wp:posOffset>3609975</wp:posOffset>
                </wp:positionH>
                <wp:positionV relativeFrom="page">
                  <wp:posOffset>9948545</wp:posOffset>
                </wp:positionV>
                <wp:extent cx="330200" cy="192405"/>
                <wp:effectExtent l="0" t="4445" r="3175" b="3175"/>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D92" w:rsidRDefault="00262D92" w:rsidP="00262D92">
                            <w:pPr>
                              <w:spacing w:before="29" w:line="273" w:lineRule="exact"/>
                              <w:textAlignment w:val="baseline"/>
                              <w:rPr>
                                <w:rFonts w:eastAsia="Times New Roman"/>
                                <w:color w:val="000000"/>
                                <w:spacing w:val="11"/>
                                <w:sz w:val="24"/>
                              </w:rPr>
                            </w:pPr>
                            <w:r>
                              <w:rPr>
                                <w:rFonts w:eastAsia="Times New Roman"/>
                                <w:color w:val="000000"/>
                                <w:spacing w:val="11"/>
                                <w:sz w:val="24"/>
                              </w:rPr>
                              <w:t>371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2" type="#_x0000_t202" style="position:absolute;left:0;text-align:left;margin-left:284.25pt;margin-top:783.35pt;width:26pt;height:15.1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" filled="f" stroked="f">
                <v:textbox inset="0,0,0,0">
                  <w:txbxContent>
                    <w:p w:rsidR="00262D92" w:rsidRDefault="00262D92" w:rsidP="00262D92">
                      <w:pPr>
                        <w:spacing w:before="29" w:line="273" w:lineRule="exact"/>
                        <w:textAlignment w:val="baseline"/>
                        <w:rPr>
                          <w:rFonts w:eastAsia="Times New Roman"/>
                          <w:color w:val="000000"/>
                          <w:spacing w:val="11"/>
                          <w:sz w:val="24"/>
                        </w:rPr>
                      </w:pPr>
                      <w:r>
                        <w:rPr>
                          <w:rFonts w:eastAsia="Times New Roman"/>
                          <w:color w:val="000000"/>
                          <w:spacing w:val="11"/>
                          <w:sz w:val="24"/>
                        </w:rPr>
                        <w:t>371</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0768" behindDoc="0" locked="0" layoutInCell="1" allowOverlap="1" wp14:anchorId="61C410CC" wp14:editId="39C54E3B">
                <wp:simplePos x="0" y="0"/>
                <wp:positionH relativeFrom="page">
                  <wp:posOffset>6194425</wp:posOffset>
                </wp:positionH>
                <wp:positionV relativeFrom="page">
                  <wp:posOffset>9831070</wp:posOffset>
                </wp:positionV>
                <wp:extent cx="506730" cy="342900"/>
                <wp:effectExtent l="3175" t="1270" r="4445" b="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D92" w:rsidRDefault="00262D92" w:rsidP="00262D92">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3" type="#_x0000_t202" style="position:absolute;left:0;text-align:left;margin-left:487.75pt;margin-top:774.1pt;width:39.9pt;height:27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NuuAWrICAACx&#10;BQAADgAAAAAAAAAAAAAAAAAuAgAAZHJzL2Uyb0RvYy54bWxQSwECLQAUAAYACAAAACEA028a8eIA&#10;AAAOAQAADwAAAAAAAAAAAAAAAAAMBQAAZHJzL2Rvd25yZXYueG1sUEsFBgAAAAAEAAQA8wAAABsG&#10;AAAAAA==&#10;" filled="f" stroked="f">
                <v:textbox inset="0,0,0,0">
                  <w:txbxContent>
                    <w:p w:rsidR="00262D92" w:rsidRDefault="00262D92" w:rsidP="00262D92">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2336" behindDoc="0" locked="0" layoutInCell="1" allowOverlap="1" wp14:anchorId="61570B64" wp14:editId="635CF2FD">
                <wp:simplePos x="0" y="0"/>
                <wp:positionH relativeFrom="page">
                  <wp:posOffset>1591310</wp:posOffset>
                </wp:positionH>
                <wp:positionV relativeFrom="page">
                  <wp:posOffset>460375</wp:posOffset>
                </wp:positionV>
                <wp:extent cx="0" cy="561340"/>
                <wp:effectExtent l="10160" t="12700" r="8890" b="698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" strokecolor="#283583" strokeweight=".95pt">
                <w10:wrap anchorx="page" anchory="page"/>
              </v:line>
            </w:pict>
          </mc:Fallback>
        </mc:AlternateContent>
      </w:r>
      <w:r w:rsidRPr="00262D92">
        <w:rPr>
          <w:rFonts w:ascii="Times New Roman" w:eastAsia="Times New Roman" w:hAnsi="Times New Roman"/>
          <w:color w:val="000000"/>
          <w:sz w:val="24"/>
          <w:lang w:val="en-US" w:eastAsia="en-US"/>
        </w:rPr>
        <w:t>The admission to trading on a regulated market of units issued by undertakings for collective investment in transferable securities or alternative investment funds should not allow the avoidance of the relevant provisions of Directive 2009/65/EC of the European Parliament and of the Council</w:t>
      </w:r>
      <w:r w:rsidRPr="00262D92">
        <w:rPr>
          <w:rFonts w:ascii="Times New Roman" w:eastAsia="Times New Roman" w:hAnsi="Times New Roman"/>
          <w:color w:val="000000"/>
          <w:sz w:val="24"/>
          <w:vertAlign w:val="superscript"/>
          <w:lang w:val="en-US" w:eastAsia="en-US"/>
        </w:rPr>
        <w:t>4</w:t>
      </w:r>
      <w:r w:rsidRPr="00262D92">
        <w:rPr>
          <w:rFonts w:ascii="Times New Roman" w:eastAsia="Times New Roman" w:hAnsi="Times New Roman"/>
          <w:color w:val="000000"/>
          <w:sz w:val="24"/>
          <w:lang w:val="en-US" w:eastAsia="en-US"/>
        </w:rPr>
        <w:t xml:space="preserve"> or of Directive 2011/61/EU of the European Parliament and of the Council</w:t>
      </w:r>
      <w:r w:rsidRPr="00262D92">
        <w:rPr>
          <w:rFonts w:ascii="Times New Roman" w:eastAsia="Times New Roman" w:hAnsi="Times New Roman"/>
          <w:color w:val="000000"/>
          <w:sz w:val="24"/>
          <w:vertAlign w:val="superscript"/>
          <w:lang w:val="en-US" w:eastAsia="en-US"/>
        </w:rPr>
        <w:t>s</w:t>
      </w:r>
      <w:r w:rsidRPr="00262D92">
        <w:rPr>
          <w:rFonts w:ascii="Times New Roman" w:eastAsia="Times New Roman" w:hAnsi="Times New Roman"/>
          <w:color w:val="000000"/>
          <w:sz w:val="24"/>
          <w:lang w:val="en-US" w:eastAsia="en-US"/>
        </w:rPr>
        <w:t>. Therefore, it is necessary for an operator of a regulated market to verify that the units it admits to trading stem from a collective investment scheme that complies with the relevant sectoral legislation. In the case of exchange-traded funds, it is necessary for the operator of a regulated market to ensure that adequate redemption arrangements for investors are in place at all times.</w:t>
      </w:r>
    </w:p>
    <w:p w:rsidR="00262D92" w:rsidRPr="00262D92" w:rsidRDefault="00262D92" w:rsidP="00200930">
      <w:pPr>
        <w:numPr>
          <w:ilvl w:val="0"/>
          <w:numId w:val="28"/>
        </w:numPr>
        <w:tabs>
          <w:tab w:val="clear" w:pos="648"/>
        </w:tabs>
        <w:spacing w:before="3" w:line="303" w:lineRule="exact"/>
        <w:ind w:left="0"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 xml:space="preserve">The admission to trading on a regulated market of derivative instruments referred to in </w:t>
      </w:r>
      <w:r w:rsidRPr="00262D92">
        <w:rPr>
          <w:rFonts w:ascii="Times New Roman" w:eastAsia="Times New Roman" w:hAnsi="Times New Roman"/>
          <w:color w:val="000000"/>
          <w:sz w:val="24"/>
          <w:lang w:val="en-US" w:eastAsia="en-US"/>
        </w:rPr>
        <w:br/>
        <w:t>points (4) to (10) of Sections C of Annex Ito Directive 2014/65/EU should take into account whether there is sufficient information available for the pricing of the derivative as well as the underlying, and in the case of physically settled contracts, the existence of appropriate settlement and delivery procedures.</w:t>
      </w:r>
    </w:p>
    <w:p w:rsidR="00262D92" w:rsidRPr="00262D92" w:rsidRDefault="00262D92" w:rsidP="00200930">
      <w:pPr>
        <w:numPr>
          <w:ilvl w:val="0"/>
          <w:numId w:val="28"/>
        </w:numPr>
        <w:tabs>
          <w:tab w:val="clear" w:pos="648"/>
        </w:tabs>
        <w:spacing w:before="255" w:line="303" w:lineRule="exact"/>
        <w:ind w:left="0"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 xml:space="preserve">Any emission allowance within the meaning of point (11) of Section C of Annex Ito </w:t>
      </w:r>
      <w:r w:rsidRPr="00262D92">
        <w:rPr>
          <w:rFonts w:ascii="Times New Roman" w:eastAsia="Times New Roman" w:hAnsi="Times New Roman"/>
          <w:color w:val="000000"/>
          <w:sz w:val="24"/>
          <w:lang w:val="en-US" w:eastAsia="en-US"/>
        </w:rPr>
        <w:br/>
        <w:t>Directive 2014/65/EU recognised for compliance with the requirements of Directive 2003/87/EC of the European Parliament and of the Council</w:t>
      </w:r>
      <w:r w:rsidRPr="00262D92">
        <w:rPr>
          <w:rFonts w:ascii="Times New Roman" w:eastAsia="Times New Roman" w:hAnsi="Times New Roman"/>
          <w:color w:val="000000"/>
          <w:sz w:val="24"/>
          <w:vertAlign w:val="superscript"/>
          <w:lang w:val="en-US" w:eastAsia="en-US"/>
        </w:rPr>
        <w:t>6</w:t>
      </w:r>
      <w:r w:rsidRPr="00262D92">
        <w:rPr>
          <w:rFonts w:ascii="Times New Roman" w:eastAsia="Times New Roman" w:hAnsi="Times New Roman"/>
          <w:color w:val="000000"/>
          <w:sz w:val="24"/>
          <w:lang w:val="en-US" w:eastAsia="en-US"/>
        </w:rPr>
        <w:t xml:space="preserve"> should be eligible for admission to trading on a regulated market and no further requirements should be imposed in this Regulation</w:t>
      </w:r>
    </w:p>
    <w:p w:rsidR="00262D92" w:rsidRDefault="00262D92" w:rsidP="00200930">
      <w:pPr>
        <w:numPr>
          <w:ilvl w:val="0"/>
          <w:numId w:val="28"/>
        </w:numPr>
        <w:tabs>
          <w:tab w:val="clear" w:pos="648"/>
        </w:tabs>
        <w:spacing w:before="251" w:after="787" w:line="303" w:lineRule="exact"/>
        <w:ind w:left="0"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 xml:space="preserve">Arrangements by regulated markets in relation to verifying the compliance of issuers </w:t>
      </w:r>
      <w:r w:rsidRPr="00262D92">
        <w:rPr>
          <w:rFonts w:ascii="Times New Roman" w:eastAsia="Times New Roman" w:hAnsi="Times New Roman"/>
          <w:color w:val="000000"/>
          <w:sz w:val="24"/>
          <w:lang w:val="en-US" w:eastAsia="en-US"/>
        </w:rPr>
        <w:br/>
        <w:t>with obligations under Union law and in relation to facilitating access to information which has been made public under Union law should cover the obligations in Regulation (EU) No 596/2014 of the European Parliament and of the Council, Directive 2003/71/EC and Directive 2004/109/EC of the European Parliament and of the Council</w:t>
      </w:r>
      <w:r w:rsidRPr="00262D92">
        <w:rPr>
          <w:rFonts w:ascii="Times New Roman" w:eastAsia="Times New Roman" w:hAnsi="Times New Roman"/>
          <w:color w:val="000000"/>
          <w:sz w:val="24"/>
          <w:vertAlign w:val="superscript"/>
          <w:lang w:val="en-US" w:eastAsia="en-US"/>
        </w:rPr>
        <w:t>s</w:t>
      </w:r>
      <w:r w:rsidRPr="00262D92">
        <w:rPr>
          <w:rFonts w:ascii="Times New Roman" w:eastAsia="Times New Roman" w:hAnsi="Times New Roman"/>
          <w:color w:val="000000"/>
          <w:sz w:val="24"/>
          <w:lang w:val="en-US" w:eastAsia="en-US"/>
        </w:rPr>
        <w:t xml:space="preserve"> as these pieces of legislation contain the core and most important obligation for issuers after the initial admission to trading on a regulated market.</w:t>
      </w:r>
    </w:p>
    <w:p w:rsidR="00200930" w:rsidRDefault="00200930" w:rsidP="00262D92">
      <w:pPr>
        <w:spacing w:before="275" w:line="230" w:lineRule="exact"/>
        <w:ind w:left="144" w:right="144"/>
        <w:textAlignment w:val="baseline"/>
        <w:rPr>
          <w:rFonts w:ascii="Times New Roman" w:eastAsia="Times New Roman" w:hAnsi="Times New Roman"/>
          <w:color w:val="000000"/>
          <w:sz w:val="20"/>
          <w:lang w:val="en-US" w:eastAsia="en-US"/>
        </w:rPr>
      </w:pPr>
    </w:p>
    <w:p w:rsidR="00200930" w:rsidRDefault="00200930" w:rsidP="00262D92">
      <w:pPr>
        <w:spacing w:before="275" w:line="230" w:lineRule="exact"/>
        <w:ind w:left="144" w:right="144"/>
        <w:textAlignment w:val="baseline"/>
        <w:rPr>
          <w:rFonts w:ascii="Times New Roman" w:eastAsia="Times New Roman" w:hAnsi="Times New Roman"/>
          <w:color w:val="000000"/>
          <w:sz w:val="20"/>
          <w:lang w:val="en-US" w:eastAsia="en-US"/>
        </w:rPr>
      </w:pPr>
    </w:p>
    <w:p w:rsidR="00262D92" w:rsidRPr="00262D92" w:rsidRDefault="00262D92" w:rsidP="00262D92">
      <w:pPr>
        <w:spacing w:before="275" w:line="230" w:lineRule="exact"/>
        <w:ind w:left="144" w:right="144"/>
        <w:textAlignment w:val="baseline"/>
        <w:rPr>
          <w:rFonts w:ascii="Times New Roman" w:eastAsia="Times New Roman" w:hAnsi="Times New Roman"/>
          <w:color w:val="000000"/>
          <w:sz w:val="20"/>
          <w:lang w:val="en-US" w:eastAsia="en-US"/>
        </w:rPr>
      </w:pPr>
      <w:r>
        <w:rPr>
          <w:rFonts w:ascii="Times New Roman" w:eastAsia="PMingLiU" w:hAnsi="Times New Roman"/>
          <w:noProof/>
        </w:rPr>
        <mc:AlternateContent>
          <mc:Choice Requires="wps">
            <w:drawing>
              <wp:anchor distT="0" distB="0" distL="114300" distR="114300" simplePos="0" relativeHeight="251663360" behindDoc="0" locked="0" layoutInCell="1" allowOverlap="1">
                <wp:simplePos x="0" y="0"/>
                <wp:positionH relativeFrom="page">
                  <wp:posOffset>899160</wp:posOffset>
                </wp:positionH>
                <wp:positionV relativeFrom="page">
                  <wp:posOffset>7186930</wp:posOffset>
                </wp:positionV>
                <wp:extent cx="1832610" cy="0"/>
                <wp:effectExtent l="13335" t="14605" r="11430" b="1397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565.9pt" to="215.1pt,5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" strokeweight=".95pt">
                <w10:wrap anchorx="page" anchory="page"/>
              </v:line>
            </w:pict>
          </mc:Fallback>
        </mc:AlternateContent>
      </w:r>
      <w:r w:rsidRPr="00262D92">
        <w:rPr>
          <w:rFonts w:ascii="Times New Roman" w:eastAsia="Times New Roman" w:hAnsi="Times New Roman"/>
          <w:color w:val="000000"/>
          <w:sz w:val="20"/>
          <w:lang w:val="en-US" w:eastAsia="en-US"/>
        </w:rPr>
        <w:t>Directive 2009/65/EC of the European Parliament and of the Council of 13 July 2009 on the coordination of laws, regulations and administrative provisions relating to undertakings for collective investment in transferable securities (OJ L 302, 17.11.2009, p. 32).</w:t>
      </w:r>
    </w:p>
    <w:p w:rsidR="00262D92" w:rsidRPr="00262D92" w:rsidRDefault="00262D92" w:rsidP="00262D92">
      <w:pPr>
        <w:spacing w:before="2" w:line="230" w:lineRule="exact"/>
        <w:ind w:left="144" w:right="144"/>
        <w:textAlignment w:val="baseline"/>
        <w:rPr>
          <w:rFonts w:ascii="Times New Roman" w:eastAsia="Times New Roman" w:hAnsi="Times New Roman"/>
          <w:color w:val="000000"/>
          <w:sz w:val="20"/>
          <w:lang w:val="en-US" w:eastAsia="en-US"/>
        </w:rPr>
      </w:pPr>
      <w:r w:rsidRPr="00262D92">
        <w:rPr>
          <w:rFonts w:ascii="Times New Roman" w:eastAsia="Times New Roman" w:hAnsi="Times New Roman"/>
          <w:color w:val="000000"/>
          <w:sz w:val="20"/>
          <w:lang w:val="en-US" w:eastAsia="en-US"/>
        </w:rPr>
        <w:t>Directive 2011/61/EU of the European Parliament and of the Council of 8 June 2011 on Alternative Investment Fund Managers and amending Directives 2003/41/EC and 2009/65/EC and Regulations (EC) No 1060/2009 and (EU) No 1095/2010 (OJ L 174, 1.7.2011, p. 1).</w:t>
      </w:r>
    </w:p>
    <w:p w:rsidR="00262D92" w:rsidRPr="00262D92" w:rsidRDefault="00262D92" w:rsidP="00262D92">
      <w:pPr>
        <w:spacing w:before="4" w:line="230" w:lineRule="exact"/>
        <w:ind w:left="144" w:right="144"/>
        <w:textAlignment w:val="baseline"/>
        <w:rPr>
          <w:rFonts w:ascii="Times New Roman" w:eastAsia="Times New Roman" w:hAnsi="Times New Roman"/>
          <w:color w:val="000000"/>
          <w:sz w:val="13"/>
          <w:vertAlign w:val="superscript"/>
          <w:lang w:val="en-US" w:eastAsia="en-US"/>
        </w:rPr>
      </w:pPr>
      <w:r w:rsidRPr="00262D92">
        <w:rPr>
          <w:rFonts w:ascii="Times New Roman" w:eastAsia="Times New Roman" w:hAnsi="Times New Roman"/>
          <w:color w:val="000000"/>
          <w:sz w:val="13"/>
          <w:vertAlign w:val="superscript"/>
          <w:lang w:val="en-US" w:eastAsia="en-US"/>
        </w:rPr>
        <w:t>6</w:t>
      </w:r>
      <w:r w:rsidRPr="00262D92">
        <w:rPr>
          <w:rFonts w:ascii="Times New Roman" w:eastAsia="Times New Roman" w:hAnsi="Times New Roman"/>
          <w:color w:val="000000"/>
          <w:sz w:val="20"/>
          <w:lang w:val="en-US" w:eastAsia="en-US"/>
        </w:rPr>
        <w:t xml:space="preserve"> Directive 2003/87/EC of the European Parliament and of the Council of 13 October 2003 establishing a scheme for greenhouse gas emission allowance trading within the Community and amending Council Directive 96/61/EC (OJ L 275, 25.10.2003, p. 32).</w:t>
      </w:r>
    </w:p>
    <w:p w:rsidR="00262D92" w:rsidRPr="00262D92" w:rsidRDefault="00262D92" w:rsidP="00262D92">
      <w:pPr>
        <w:spacing w:line="228" w:lineRule="exact"/>
        <w:ind w:left="144" w:right="144"/>
        <w:textAlignment w:val="baseline"/>
        <w:rPr>
          <w:rFonts w:ascii="Times New Roman" w:eastAsia="Times New Roman" w:hAnsi="Times New Roman"/>
          <w:color w:val="000000"/>
          <w:sz w:val="20"/>
          <w:lang w:val="en-US" w:eastAsia="en-US"/>
        </w:rPr>
      </w:pPr>
      <w:r w:rsidRPr="00262D92">
        <w:rPr>
          <w:rFonts w:ascii="Times New Roman" w:eastAsia="Times New Roman" w:hAnsi="Times New Roman"/>
          <w:color w:val="000000"/>
          <w:sz w:val="20"/>
          <w:lang w:val="en-US" w:eastAsia="en-US"/>
        </w:rPr>
        <w:t>Regulation (EU) No 596/2014 of the European Parliament and of the Council of 16 April 2014 on market abuse (market abuse regulation) and repealing Directive 2003/6/EC of the European Parliament and of the Council and Commission Directives 2003/124/EC, 2003/125/EC and 2004/72/EC (OJ L 173, 12.06.2014, p.1).</w:t>
      </w:r>
    </w:p>
    <w:p w:rsidR="00262D92" w:rsidRPr="00262D92" w:rsidRDefault="00262D92" w:rsidP="00262D92">
      <w:pPr>
        <w:spacing w:before="1" w:line="230" w:lineRule="exact"/>
        <w:ind w:left="144" w:right="144"/>
        <w:textAlignment w:val="baseline"/>
        <w:rPr>
          <w:rFonts w:ascii="Times New Roman" w:eastAsia="Times New Roman" w:hAnsi="Times New Roman"/>
          <w:color w:val="000000"/>
          <w:sz w:val="13"/>
          <w:vertAlign w:val="superscript"/>
          <w:lang w:val="en-US" w:eastAsia="en-US"/>
        </w:rPr>
      </w:pPr>
      <w:r w:rsidRPr="00262D92">
        <w:rPr>
          <w:rFonts w:ascii="Times New Roman" w:eastAsia="Times New Roman" w:hAnsi="Times New Roman"/>
          <w:color w:val="000000"/>
          <w:sz w:val="13"/>
          <w:vertAlign w:val="superscript"/>
          <w:lang w:val="en-US" w:eastAsia="en-US"/>
        </w:rPr>
        <w:t>8</w:t>
      </w:r>
      <w:r w:rsidRPr="00262D92">
        <w:rPr>
          <w:rFonts w:ascii="Times New Roman" w:eastAsia="Times New Roman" w:hAnsi="Times New Roman"/>
          <w:color w:val="000000"/>
          <w:sz w:val="20"/>
          <w:lang w:val="en-US" w:eastAsia="en-US"/>
        </w:rPr>
        <w:t xml:space="preserve"> Directive 2004/109/EC of the European Parliament and of the Council of 15 December 2014 on the harmonisation of transparency requirements in relation to information about issuers whose securities are admitted to trading on a regulated market amending Directive 2001/34/EC (OJ L 390, 31.12.2004, p.38).</w:t>
      </w:r>
    </w:p>
    <w:p w:rsidR="00262D92" w:rsidRPr="00262D92" w:rsidRDefault="00262D92" w:rsidP="00262D92">
      <w:pPr>
        <w:jc w:val="left"/>
        <w:rPr>
          <w:rFonts w:ascii="Times New Roman" w:eastAsia="PMingLiU" w:hAnsi="Times New Roman"/>
          <w:lang w:val="en-US" w:eastAsia="en-US"/>
        </w:rPr>
        <w:sectPr w:rsidR="00262D92" w:rsidRPr="00262D92">
          <w:pgSz w:w="11909" w:h="16838"/>
          <w:pgMar w:top="1608" w:right="1242" w:bottom="960" w:left="1267" w:header="720" w:footer="720" w:gutter="0"/>
          <w:cols w:space="720"/>
        </w:sectPr>
      </w:pPr>
    </w:p>
    <w:p w:rsidR="00262D92" w:rsidRPr="00262D92" w:rsidRDefault="00262D92" w:rsidP="00262D92">
      <w:pPr>
        <w:spacing w:before="273" w:after="237" w:line="302" w:lineRule="exact"/>
        <w:ind w:right="144"/>
        <w:textAlignment w:val="baseline"/>
        <w:rPr>
          <w:rFonts w:ascii="Times New Roman" w:eastAsia="Times New Roman" w:hAnsi="Times New Roman"/>
          <w:color w:val="000000"/>
          <w:spacing w:val="1"/>
          <w:sz w:val="24"/>
          <w:lang w:val="en-US" w:eastAsia="en-US"/>
        </w:rPr>
      </w:pPr>
      <w:r w:rsidRPr="00262D92">
        <w:rPr>
          <w:rFonts w:ascii="Times New Roman" w:eastAsia="PMingLiU" w:hAnsi="Times New Roman"/>
          <w:noProof/>
        </w:rPr>
        <w:lastRenderedPageBreak/>
        <w:drawing>
          <wp:anchor distT="0" distB="0" distL="0" distR="0" simplePos="0" relativeHeight="251701248" behindDoc="0" locked="0" layoutInCell="1" allowOverlap="1" wp14:anchorId="5B03F6EF" wp14:editId="42250B70">
            <wp:simplePos x="0" y="0"/>
            <wp:positionH relativeFrom="page">
              <wp:posOffset>801370</wp:posOffset>
            </wp:positionH>
            <wp:positionV relativeFrom="page">
              <wp:posOffset>445135</wp:posOffset>
            </wp:positionV>
            <wp:extent cx="563880" cy="935355"/>
            <wp:effectExtent l="0" t="0" r="0" b="0"/>
            <wp:wrapThrough wrapText="bothSides">
              <wp:wrapPolygon edited="0">
                <wp:start x="0" y="0"/>
                <wp:lineTo x="0" y="21661"/>
                <wp:lineTo x="16829" y="21661"/>
                <wp:lineTo x="16829" y="18000"/>
                <wp:lineTo x="21627" y="18000"/>
                <wp:lineTo x="21627" y="0"/>
                <wp:lineTo x="0" y="0"/>
              </wp:wrapPolygon>
            </wp:wrapThrough>
            <wp:docPr id="2" name="Picture"/>
            <wp:cNvGraphicFramePr/>
            <a:graphic xmlns:a="http://schemas.openxmlformats.org/drawingml/2006/main">
              <a:graphicData uri="http://schemas.openxmlformats.org/drawingml/2006/picture">
                <pic:pic xmlns:pic="http://schemas.openxmlformats.org/drawingml/2006/picture">
                  <pic:nvPicPr>
                    <pic:cNvPr id="208" name="Picture"/>
                    <pic:cNvPicPr preferRelativeResize="0"/>
                  </pic:nvPicPr>
                  <pic:blipFill>
                    <a:blip r:embed="rId11"/>
                    <a:stretch>
                      <a:fillRect/>
                    </a:stretch>
                  </pic:blipFill>
                  <pic:spPr>
                    <a:xfrm>
                      <a:off x="0" y="0"/>
                      <a:ext cx="563880" cy="935355"/>
                    </a:xfrm>
                    <a:prstGeom prst="rect">
                      <a:avLst/>
                    </a:prstGeom>
                  </pic:spPr>
                </pic:pic>
              </a:graphicData>
            </a:graphic>
          </wp:anchor>
        </w:drawing>
      </w:r>
      <w:r>
        <w:rPr>
          <w:rFonts w:ascii="Times New Roman" w:eastAsia="PMingLiU" w:hAnsi="Times New Roman"/>
          <w:noProof/>
        </w:rPr>
        <mc:AlternateContent>
          <mc:Choice Requires="wps">
            <w:drawing>
              <wp:anchor distT="0" distB="0" distL="0" distR="0" simplePos="0" relativeHeight="251681792" behindDoc="0" locked="0" layoutInCell="1" allowOverlap="1" wp14:anchorId="22348EA6" wp14:editId="55512A4E">
                <wp:simplePos x="0" y="0"/>
                <wp:positionH relativeFrom="page">
                  <wp:posOffset>857885</wp:posOffset>
                </wp:positionH>
                <wp:positionV relativeFrom="page">
                  <wp:posOffset>9831070</wp:posOffset>
                </wp:positionV>
                <wp:extent cx="506730" cy="342900"/>
                <wp:effectExtent l="635" t="1270" r="0" b="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D92" w:rsidRDefault="00262D92" w:rsidP="00262D92">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4" type="#_x0000_t202" style="position:absolute;left:0;text-align:left;margin-left:67.55pt;margin-top:774.1pt;width:39.9pt;height:27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hQswIAALEFAAAOAAAAZHJzL2Uyb0RvYy54bWysVFtvmzAUfp+0/2D5nXIpSQC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PsDCFCzAgAA&#10;sQUAAA4AAAAAAAAAAAAAAAAALgIAAGRycy9lMm9Eb2MueG1sUEsBAi0AFAAGAAgAAAAhAD6V1Oji&#10;AAAADQEAAA8AAAAAAAAAAAAAAAAADQUAAGRycy9kb3ducmV2LnhtbFBLBQYAAAAABAAEAPMAAAAc&#10;BgAAAAA=&#10;" filled="f" stroked="f">
                <v:textbox inset="0,0,0,0">
                  <w:txbxContent>
                    <w:p w:rsidR="00262D92" w:rsidRDefault="00262D92" w:rsidP="00262D92">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2816" behindDoc="0" locked="0" layoutInCell="1" allowOverlap="1" wp14:anchorId="25D0CE6D" wp14:editId="568BE823">
                <wp:simplePos x="0" y="0"/>
                <wp:positionH relativeFrom="page">
                  <wp:posOffset>3609975</wp:posOffset>
                </wp:positionH>
                <wp:positionV relativeFrom="page">
                  <wp:posOffset>9968230</wp:posOffset>
                </wp:positionV>
                <wp:extent cx="342265" cy="172720"/>
                <wp:effectExtent l="0" t="0" r="635" b="317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D92" w:rsidRDefault="00262D92" w:rsidP="00262D92">
                            <w:pPr>
                              <w:spacing w:line="271" w:lineRule="exact"/>
                              <w:textAlignment w:val="baseline"/>
                              <w:rPr>
                                <w:rFonts w:eastAsia="Times New Roman"/>
                                <w:color w:val="000000"/>
                                <w:spacing w:val="16"/>
                                <w:sz w:val="24"/>
                              </w:rPr>
                            </w:pPr>
                            <w:r>
                              <w:rPr>
                                <w:rFonts w:eastAsia="Times New Roman"/>
                                <w:color w:val="000000"/>
                                <w:spacing w:val="16"/>
                                <w:sz w:val="24"/>
                              </w:rPr>
                              <w:t>372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5" type="#_x0000_t202" style="position:absolute;left:0;text-align:left;margin-left:284.25pt;margin-top:784.9pt;width:26.95pt;height:13.6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jZasgIAALI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" filled="f" stroked="f">
                <v:textbox inset="0,0,0,0">
                  <w:txbxContent>
                    <w:p w:rsidR="00262D92" w:rsidRDefault="00262D92" w:rsidP="00262D92">
                      <w:pPr>
                        <w:spacing w:line="271" w:lineRule="exact"/>
                        <w:textAlignment w:val="baseline"/>
                        <w:rPr>
                          <w:rFonts w:eastAsia="Times New Roman"/>
                          <w:color w:val="000000"/>
                          <w:spacing w:val="16"/>
                          <w:sz w:val="24"/>
                        </w:rPr>
                      </w:pPr>
                      <w:r>
                        <w:rPr>
                          <w:rFonts w:eastAsia="Times New Roman"/>
                          <w:color w:val="000000"/>
                          <w:spacing w:val="16"/>
                          <w:sz w:val="24"/>
                        </w:rPr>
                        <w:t>372</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3840" behindDoc="0" locked="0" layoutInCell="1" allowOverlap="1" wp14:anchorId="50557DED" wp14:editId="7ACCC68F">
                <wp:simplePos x="0" y="0"/>
                <wp:positionH relativeFrom="page">
                  <wp:posOffset>6194425</wp:posOffset>
                </wp:positionH>
                <wp:positionV relativeFrom="page">
                  <wp:posOffset>9831070</wp:posOffset>
                </wp:positionV>
                <wp:extent cx="506730" cy="342900"/>
                <wp:effectExtent l="3175" t="1270" r="4445" b="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D92" w:rsidRDefault="00262D92" w:rsidP="00262D92">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6" type="#_x0000_t202" style="position:absolute;left:0;text-align:left;margin-left:487.75pt;margin-top:774.1pt;width:39.9pt;height:27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98Req7ICAACy&#10;BQAADgAAAAAAAAAAAAAAAAAuAgAAZHJzL2Uyb0RvYy54bWxQSwECLQAUAAYACAAAACEA028a8eIA&#10;AAAOAQAADwAAAAAAAAAAAAAAAAAMBQAAZHJzL2Rvd25yZXYueG1sUEsFBgAAAAAEAAQA8wAAABsG&#10;AAAAAA==&#10;" filled="f" stroked="f">
                <v:textbox inset="0,0,0,0">
                  <w:txbxContent>
                    <w:p w:rsidR="00262D92" w:rsidRDefault="00262D92" w:rsidP="00262D92">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4384" behindDoc="0" locked="0" layoutInCell="1" allowOverlap="1" wp14:anchorId="1CEA5782" wp14:editId="652BDDEE">
                <wp:simplePos x="0" y="0"/>
                <wp:positionH relativeFrom="page">
                  <wp:posOffset>1591310</wp:posOffset>
                </wp:positionH>
                <wp:positionV relativeFrom="page">
                  <wp:posOffset>460375</wp:posOffset>
                </wp:positionV>
                <wp:extent cx="0" cy="561340"/>
                <wp:effectExtent l="10160" t="12700" r="8890" b="698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&#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Aps/8D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262D92">
        <w:rPr>
          <w:rFonts w:ascii="Times New Roman" w:eastAsia="Times New Roman" w:hAnsi="Times New Roman"/>
          <w:color w:val="000000"/>
          <w:spacing w:val="1"/>
          <w:sz w:val="24"/>
          <w:lang w:val="en-US" w:eastAsia="en-US"/>
        </w:rPr>
        <w:t>Regulated markets should have a policy for verifying the compliance of issuers of transferable securities with obligations under Union law which should be accessible for issuers and the public. The policy should ensure that compliance checks are efficient and issuers should be made aware of their obligations by the regulated market.</w:t>
      </w:r>
    </w:p>
    <w:p w:rsidR="00262D92" w:rsidRPr="00262D92" w:rsidRDefault="00262D92" w:rsidP="00200930">
      <w:pPr>
        <w:numPr>
          <w:ilvl w:val="0"/>
          <w:numId w:val="29"/>
        </w:numPr>
        <w:tabs>
          <w:tab w:val="clear" w:pos="720"/>
        </w:tabs>
        <w:spacing w:line="304" w:lineRule="exact"/>
        <w:ind w:left="0"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 xml:space="preserve">Regulated markets should facilitate access to information published under the </w:t>
      </w:r>
      <w:r w:rsidRPr="00262D92">
        <w:rPr>
          <w:rFonts w:ascii="Times New Roman" w:eastAsia="Times New Roman" w:hAnsi="Times New Roman"/>
          <w:color w:val="000000"/>
          <w:sz w:val="24"/>
          <w:lang w:val="en-US" w:eastAsia="en-US"/>
        </w:rPr>
        <w:br/>
        <w:t>conditions established by Union law available to members and participants via arrangements that provide for easy, fair and non-discriminatory access for all members and participants.</w:t>
      </w:r>
    </w:p>
    <w:p w:rsidR="00262D92" w:rsidRPr="00262D92" w:rsidRDefault="00262D92" w:rsidP="00200930">
      <w:pPr>
        <w:numPr>
          <w:ilvl w:val="0"/>
          <w:numId w:val="29"/>
        </w:numPr>
        <w:tabs>
          <w:tab w:val="clear" w:pos="720"/>
        </w:tabs>
        <w:spacing w:before="247" w:line="304" w:lineRule="exact"/>
        <w:ind w:left="0"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The new legislation of the European Parliament and of the Council on markets in financial instruments set out in Directive 2014/65/EU and Regulation (EU) No 600/2014</w:t>
      </w:r>
      <w:r w:rsidRPr="00262D92">
        <w:rPr>
          <w:rFonts w:ascii="Times New Roman" w:eastAsia="Times New Roman" w:hAnsi="Times New Roman"/>
          <w:color w:val="000000"/>
          <w:sz w:val="24"/>
          <w:vertAlign w:val="superscript"/>
          <w:lang w:val="en-US" w:eastAsia="en-US"/>
        </w:rPr>
        <w:t>9</w:t>
      </w:r>
      <w:r w:rsidRPr="00262D92">
        <w:rPr>
          <w:rFonts w:ascii="Times New Roman" w:eastAsia="Times New Roman" w:hAnsi="Times New Roman"/>
          <w:color w:val="000000"/>
          <w:sz w:val="24"/>
          <w:lang w:val="en-US" w:eastAsia="en-US"/>
        </w:rPr>
        <w:t xml:space="preserve"> applies from 3 January 2017. To ensure consistency and legal certainty, this Regulation should apply from the same date.</w:t>
      </w:r>
    </w:p>
    <w:p w:rsidR="00262D92" w:rsidRPr="00262D92" w:rsidRDefault="00262D92" w:rsidP="00200930">
      <w:pPr>
        <w:numPr>
          <w:ilvl w:val="0"/>
          <w:numId w:val="29"/>
        </w:numPr>
        <w:tabs>
          <w:tab w:val="clear" w:pos="720"/>
        </w:tabs>
        <w:spacing w:before="246" w:line="306" w:lineRule="exact"/>
        <w:ind w:left="0"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This Regulation is based on the draft regulatory technical standards submitted by the European Securities and Markets Authority (ESMA) to the Commission.</w:t>
      </w:r>
    </w:p>
    <w:p w:rsidR="00262D92" w:rsidRPr="00262D92" w:rsidRDefault="00262D92" w:rsidP="00200930">
      <w:pPr>
        <w:numPr>
          <w:ilvl w:val="0"/>
          <w:numId w:val="29"/>
        </w:numPr>
        <w:tabs>
          <w:tab w:val="clear" w:pos="720"/>
        </w:tabs>
        <w:spacing w:before="255" w:line="303" w:lineRule="exact"/>
        <w:ind w:left="0"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ESMA has conducted open public consultations on the draft regulatory technical standards on which this Regulation is based, analysed the potential related costs and benefits and requested the opinion of the Securities and Markets Stakeholder Group established by Article 37 of Regulation (EU) No 1095/2010 of the European Parliament and of the Council</w:t>
      </w:r>
      <w:r w:rsidRPr="00262D92">
        <w:rPr>
          <w:rFonts w:ascii="Times New Roman" w:eastAsia="Times New Roman" w:hAnsi="Times New Roman"/>
          <w:color w:val="000000"/>
          <w:sz w:val="24"/>
          <w:vertAlign w:val="superscript"/>
          <w:lang w:val="en-US" w:eastAsia="en-US"/>
        </w:rPr>
        <w:t>l°</w:t>
      </w:r>
      <w:r w:rsidRPr="00262D92">
        <w:rPr>
          <w:rFonts w:ascii="Times New Roman" w:eastAsia="Times New Roman" w:hAnsi="Times New Roman"/>
          <w:color w:val="000000"/>
          <w:sz w:val="24"/>
          <w:lang w:val="en-US" w:eastAsia="en-US"/>
        </w:rPr>
        <w:t>.</w:t>
      </w:r>
    </w:p>
    <w:p w:rsidR="00262D92" w:rsidRPr="00262D92" w:rsidRDefault="00262D92" w:rsidP="00262D92">
      <w:pPr>
        <w:spacing w:before="272" w:line="274" w:lineRule="exact"/>
        <w:ind w:lef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HAS ADOPTED THIS REGULATION:</w:t>
      </w:r>
    </w:p>
    <w:p w:rsidR="00262D92" w:rsidRPr="00262D92" w:rsidRDefault="00262D92" w:rsidP="00262D92">
      <w:pPr>
        <w:spacing w:before="710" w:line="278" w:lineRule="exact"/>
        <w:jc w:val="center"/>
        <w:textAlignment w:val="baseline"/>
        <w:rPr>
          <w:rFonts w:ascii="Times New Roman" w:eastAsia="Times New Roman" w:hAnsi="Times New Roman"/>
          <w:i/>
          <w:color w:val="000000"/>
          <w:sz w:val="24"/>
          <w:lang w:val="en-US" w:eastAsia="en-US"/>
        </w:rPr>
      </w:pPr>
      <w:r w:rsidRPr="00262D92">
        <w:rPr>
          <w:rFonts w:ascii="Times New Roman" w:eastAsia="Times New Roman" w:hAnsi="Times New Roman"/>
          <w:i/>
          <w:color w:val="000000"/>
          <w:sz w:val="24"/>
          <w:lang w:val="en-US" w:eastAsia="en-US"/>
        </w:rPr>
        <w:t>Article 1</w:t>
      </w:r>
    </w:p>
    <w:p w:rsidR="00262D92" w:rsidRPr="00262D92" w:rsidRDefault="00262D92" w:rsidP="00262D92">
      <w:pPr>
        <w:spacing w:line="422" w:lineRule="exact"/>
        <w:jc w:val="center"/>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 xml:space="preserve">(Article 51(1) of Directive 2014/65/EU) </w:t>
      </w:r>
      <w:r w:rsidRPr="00262D92">
        <w:rPr>
          <w:rFonts w:ascii="Times New Roman" w:eastAsia="Times New Roman" w:hAnsi="Times New Roman"/>
          <w:color w:val="000000"/>
          <w:sz w:val="24"/>
          <w:lang w:val="en-US" w:eastAsia="en-US"/>
        </w:rPr>
        <w:br/>
      </w:r>
      <w:r w:rsidRPr="00262D92">
        <w:rPr>
          <w:rFonts w:ascii="Times New Roman" w:eastAsia="Times New Roman" w:hAnsi="Times New Roman"/>
          <w:b/>
          <w:color w:val="000000"/>
          <w:sz w:val="24"/>
          <w:lang w:val="en-US" w:eastAsia="en-US"/>
        </w:rPr>
        <w:t>Transferable securities - freely negotiable</w:t>
      </w:r>
    </w:p>
    <w:p w:rsidR="00262D92" w:rsidRDefault="00262D92" w:rsidP="00200930">
      <w:pPr>
        <w:numPr>
          <w:ilvl w:val="0"/>
          <w:numId w:val="37"/>
        </w:numPr>
        <w:spacing w:before="249" w:after="892" w:line="303" w:lineRule="exact"/>
        <w:ind w:right="144"/>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Transferable securities shall be considered freely negotiable if they can be traded between the parties to a transaction, and subsequently transferred without restriction, and if all securities within the same class as the security in question are fungible.</w:t>
      </w:r>
    </w:p>
    <w:p w:rsidR="00200930" w:rsidRPr="00262D92" w:rsidRDefault="00200930" w:rsidP="00200930">
      <w:pPr>
        <w:spacing w:before="249" w:after="892" w:line="303" w:lineRule="exact"/>
        <w:ind w:left="504" w:right="144"/>
        <w:textAlignment w:val="baseline"/>
        <w:rPr>
          <w:rFonts w:ascii="Times New Roman" w:eastAsia="Times New Roman" w:hAnsi="Times New Roman"/>
          <w:color w:val="000000"/>
          <w:sz w:val="24"/>
          <w:lang w:val="en-US" w:eastAsia="en-US"/>
        </w:rPr>
      </w:pPr>
    </w:p>
    <w:p w:rsidR="00262D92" w:rsidRPr="00262D92" w:rsidRDefault="00262D92" w:rsidP="00262D92">
      <w:pPr>
        <w:spacing w:before="272" w:line="228" w:lineRule="exact"/>
        <w:ind w:left="144" w:right="144"/>
        <w:textAlignment w:val="baseline"/>
        <w:rPr>
          <w:rFonts w:ascii="Times New Roman" w:eastAsia="Times New Roman" w:hAnsi="Times New Roman"/>
          <w:color w:val="000000"/>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5408" behindDoc="0" locked="0" layoutInCell="1" allowOverlap="1">
                <wp:simplePos x="0" y="0"/>
                <wp:positionH relativeFrom="page">
                  <wp:posOffset>899160</wp:posOffset>
                </wp:positionH>
                <wp:positionV relativeFrom="page">
                  <wp:posOffset>8503920</wp:posOffset>
                </wp:positionV>
                <wp:extent cx="1832610" cy="0"/>
                <wp:effectExtent l="13335" t="7620" r="11430" b="1143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69.6pt" to="215.1pt,6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RmHgIAADgEAAAOAAAAZHJzL2Uyb0RvYy54bWysU8GO2yAQvVfqPyDuWdvZbOp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" strokeweight=".7pt">
                <w10:wrap anchorx="page" anchory="page"/>
              </v:line>
            </w:pict>
          </mc:Fallback>
        </mc:AlternateContent>
      </w:r>
      <w:r w:rsidRPr="00262D92">
        <w:rPr>
          <w:rFonts w:ascii="Times New Roman" w:eastAsia="Times New Roman" w:hAnsi="Times New Roman"/>
          <w:color w:val="000000"/>
          <w:sz w:val="13"/>
          <w:vertAlign w:val="superscript"/>
          <w:lang w:val="en-US" w:eastAsia="en-US"/>
        </w:rPr>
        <w:t>9</w:t>
      </w:r>
      <w:r w:rsidRPr="00262D92">
        <w:rPr>
          <w:rFonts w:ascii="Times New Roman" w:eastAsia="Times New Roman" w:hAnsi="Times New Roman"/>
          <w:color w:val="000000"/>
          <w:sz w:val="20"/>
          <w:lang w:val="en-US" w:eastAsia="en-US"/>
        </w:rPr>
        <w:t xml:space="preserve"> Regulation (EU) No 600/2014 of the European Parliament and of the Council" with the following footnote: "Regulation (EU) No 600/2014 of the European Parliament and of the Council of 15 May 2014 on markets in financial instruments and amending Regulation (EU) No 648/2012 (OJ L 173, 12.6.2014, p. 84).</w:t>
      </w:r>
    </w:p>
    <w:p w:rsidR="00262D92" w:rsidRPr="00262D92" w:rsidRDefault="00262D92" w:rsidP="00262D92">
      <w:pPr>
        <w:spacing w:before="11" w:line="228" w:lineRule="exact"/>
        <w:ind w:left="144" w:right="144"/>
        <w:textAlignment w:val="baseline"/>
        <w:rPr>
          <w:rFonts w:ascii="Times New Roman" w:eastAsia="Times New Roman" w:hAnsi="Times New Roman"/>
          <w:color w:val="000000"/>
          <w:sz w:val="20"/>
          <w:vertAlign w:val="superscript"/>
          <w:lang w:val="en-US" w:eastAsia="en-US"/>
        </w:rPr>
      </w:pPr>
      <w:r w:rsidRPr="00262D92">
        <w:rPr>
          <w:rFonts w:ascii="Times New Roman" w:eastAsia="Times New Roman" w:hAnsi="Times New Roman"/>
          <w:color w:val="000000"/>
          <w:sz w:val="20"/>
          <w:vertAlign w:val="superscript"/>
          <w:lang w:val="en-US" w:eastAsia="en-US"/>
        </w:rPr>
        <w:t>1°</w:t>
      </w:r>
      <w:r w:rsidRPr="00262D92">
        <w:rPr>
          <w:rFonts w:ascii="Times New Roman" w:eastAsia="Times New Roman" w:hAnsi="Times New Roman"/>
          <w:color w:val="000000"/>
          <w:sz w:val="20"/>
          <w:lang w:val="en-US" w:eastAsia="en-US"/>
        </w:rPr>
        <w:t xml:space="preserve"> 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262D92" w:rsidRPr="00262D92" w:rsidRDefault="00262D92" w:rsidP="00262D92">
      <w:pPr>
        <w:jc w:val="left"/>
        <w:rPr>
          <w:rFonts w:ascii="Times New Roman" w:eastAsia="PMingLiU" w:hAnsi="Times New Roman"/>
          <w:lang w:val="en-US" w:eastAsia="en-US"/>
        </w:rPr>
        <w:sectPr w:rsidR="00262D92" w:rsidRPr="00262D92">
          <w:pgSz w:w="11909" w:h="16838"/>
          <w:pgMar w:top="1608" w:right="1247" w:bottom="960" w:left="1262" w:header="720" w:footer="720" w:gutter="0"/>
          <w:cols w:space="720"/>
        </w:sectPr>
      </w:pPr>
    </w:p>
    <w:p w:rsidR="00200930" w:rsidRDefault="00200930" w:rsidP="00200930">
      <w:pPr>
        <w:tabs>
          <w:tab w:val="left" w:pos="504"/>
          <w:tab w:val="left" w:pos="648"/>
        </w:tabs>
        <w:spacing w:before="293" w:line="302" w:lineRule="exact"/>
        <w:ind w:left="144" w:right="144"/>
        <w:jc w:val="left"/>
        <w:textAlignment w:val="baseline"/>
        <w:rPr>
          <w:rFonts w:ascii="Times New Roman" w:eastAsia="Times New Roman" w:hAnsi="Times New Roman"/>
          <w:color w:val="000000"/>
          <w:sz w:val="24"/>
          <w:lang w:val="en-US" w:eastAsia="en-US"/>
        </w:rPr>
      </w:pPr>
    </w:p>
    <w:p w:rsidR="00262D92" w:rsidRPr="00262D92" w:rsidRDefault="00262D92" w:rsidP="00262D92">
      <w:pPr>
        <w:numPr>
          <w:ilvl w:val="0"/>
          <w:numId w:val="30"/>
        </w:numPr>
        <w:tabs>
          <w:tab w:val="left" w:pos="648"/>
        </w:tabs>
        <w:spacing w:before="293" w:line="302" w:lineRule="exact"/>
        <w:ind w:left="144"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Transferable securities which are subject to a restriction on transfer shall not be considered as freely negotiable unless that restriction is not likely to disturb the market.</w:t>
      </w:r>
    </w:p>
    <w:p w:rsidR="00262D92" w:rsidRPr="00262D92" w:rsidRDefault="00262D92" w:rsidP="00262D92">
      <w:pPr>
        <w:numPr>
          <w:ilvl w:val="0"/>
          <w:numId w:val="30"/>
        </w:numPr>
        <w:tabs>
          <w:tab w:val="left" w:pos="648"/>
        </w:tabs>
        <w:spacing w:before="248" w:line="304" w:lineRule="exact"/>
        <w:ind w:left="144"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Transferable securities that are not fully paid may be considered as freely negotiable if arrangements have been made to ensure that the negotiability of such securities is not restricted and that adequate information concerning the fact that the securities are not fully paid, and the implications of that fact for shareholders, is publicly available.</w:t>
      </w:r>
    </w:p>
    <w:p w:rsidR="00262D92" w:rsidRPr="00262D92" w:rsidRDefault="00262D92" w:rsidP="00262D92">
      <w:pPr>
        <w:spacing w:before="706" w:line="278" w:lineRule="exact"/>
        <w:jc w:val="center"/>
        <w:textAlignment w:val="baseline"/>
        <w:rPr>
          <w:rFonts w:ascii="Times New Roman" w:eastAsia="Times New Roman" w:hAnsi="Times New Roman"/>
          <w:i/>
          <w:color w:val="000000"/>
          <w:spacing w:val="1"/>
          <w:sz w:val="24"/>
          <w:lang w:val="fr-FR" w:eastAsia="en-US"/>
        </w:rPr>
      </w:pPr>
      <w:r w:rsidRPr="00262D92">
        <w:rPr>
          <w:rFonts w:ascii="Times New Roman" w:eastAsia="Times New Roman" w:hAnsi="Times New Roman"/>
          <w:i/>
          <w:color w:val="000000"/>
          <w:spacing w:val="1"/>
          <w:sz w:val="24"/>
          <w:lang w:val="fr-FR" w:eastAsia="en-US"/>
        </w:rPr>
        <w:t>Article 2</w:t>
      </w:r>
    </w:p>
    <w:p w:rsidR="00262D92" w:rsidRPr="00262D92" w:rsidRDefault="00262D92" w:rsidP="00262D92">
      <w:pPr>
        <w:spacing w:before="141" w:line="273" w:lineRule="exact"/>
        <w:jc w:val="center"/>
        <w:textAlignment w:val="baseline"/>
        <w:rPr>
          <w:rFonts w:ascii="Times New Roman" w:eastAsia="Times New Roman" w:hAnsi="Times New Roman"/>
          <w:color w:val="000000"/>
          <w:sz w:val="24"/>
          <w:lang w:val="fr-FR" w:eastAsia="en-US"/>
        </w:rPr>
      </w:pPr>
      <w:r w:rsidRPr="00262D92">
        <w:rPr>
          <w:rFonts w:ascii="Times New Roman" w:eastAsia="Times New Roman" w:hAnsi="Times New Roman"/>
          <w:color w:val="000000"/>
          <w:sz w:val="24"/>
          <w:lang w:val="fr-FR" w:eastAsia="en-US"/>
        </w:rPr>
        <w:t>(Article 51(1) of Directive 2014/65/EU)</w:t>
      </w:r>
    </w:p>
    <w:p w:rsidR="00262D92" w:rsidRPr="00262D92" w:rsidRDefault="00262D92" w:rsidP="00262D92">
      <w:pPr>
        <w:spacing w:before="158" w:line="270" w:lineRule="exact"/>
        <w:jc w:val="center"/>
        <w:textAlignment w:val="baseline"/>
        <w:rPr>
          <w:rFonts w:ascii="Times New Roman" w:eastAsia="Times New Roman" w:hAnsi="Times New Roman"/>
          <w:b/>
          <w:color w:val="000000"/>
          <w:spacing w:val="-2"/>
          <w:sz w:val="24"/>
          <w:lang w:val="en-US" w:eastAsia="en-US"/>
        </w:rPr>
      </w:pPr>
      <w:r w:rsidRPr="00262D92">
        <w:rPr>
          <w:rFonts w:ascii="Times New Roman" w:eastAsia="Times New Roman" w:hAnsi="Times New Roman"/>
          <w:b/>
          <w:color w:val="000000"/>
          <w:spacing w:val="-2"/>
          <w:sz w:val="24"/>
          <w:lang w:val="en-US" w:eastAsia="en-US"/>
        </w:rPr>
        <w:t>Transferable securities — fair, orderly and efficient trading</w:t>
      </w:r>
    </w:p>
    <w:p w:rsidR="00262D92" w:rsidRPr="00262D92" w:rsidRDefault="00262D92" w:rsidP="00262D92">
      <w:pPr>
        <w:spacing w:before="254" w:line="302" w:lineRule="exact"/>
        <w:ind w:left="144" w:right="144"/>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1. When assessing whether a transferable security is capable of being traded in a fair, orderly and efficient manner, a regulated market shall take into account the information required to be prepared under Article 3 of Directive 2003/71/EC, or that is or will be otherwise publicly available such as:</w:t>
      </w:r>
    </w:p>
    <w:p w:rsidR="00262D92" w:rsidRPr="00262D92" w:rsidRDefault="00262D92" w:rsidP="00262D92">
      <w:pPr>
        <w:numPr>
          <w:ilvl w:val="0"/>
          <w:numId w:val="31"/>
        </w:numPr>
        <w:tabs>
          <w:tab w:val="left" w:pos="792"/>
        </w:tabs>
        <w:spacing w:before="280" w:line="273" w:lineRule="exact"/>
        <w:ind w:left="648"/>
        <w:jc w:val="left"/>
        <w:textAlignment w:val="baseline"/>
        <w:rPr>
          <w:rFonts w:ascii="Times New Roman" w:eastAsia="Times New Roman" w:hAnsi="Times New Roman"/>
          <w:color w:val="000000"/>
          <w:spacing w:val="-2"/>
          <w:sz w:val="24"/>
          <w:lang w:val="en-US" w:eastAsia="en-US"/>
        </w:rPr>
      </w:pPr>
      <w:r w:rsidRPr="00262D92">
        <w:rPr>
          <w:rFonts w:ascii="Times New Roman" w:eastAsia="Times New Roman" w:hAnsi="Times New Roman"/>
          <w:color w:val="000000"/>
          <w:spacing w:val="-2"/>
          <w:sz w:val="24"/>
          <w:lang w:val="en-US" w:eastAsia="en-US"/>
        </w:rPr>
        <w:t>historical financial information;</w:t>
      </w:r>
    </w:p>
    <w:p w:rsidR="00262D92" w:rsidRPr="00262D92" w:rsidRDefault="00262D92" w:rsidP="00262D92">
      <w:pPr>
        <w:numPr>
          <w:ilvl w:val="0"/>
          <w:numId w:val="31"/>
        </w:numPr>
        <w:tabs>
          <w:tab w:val="left" w:pos="792"/>
        </w:tabs>
        <w:spacing w:before="280" w:line="273" w:lineRule="exact"/>
        <w:ind w:left="648"/>
        <w:jc w:val="left"/>
        <w:textAlignment w:val="baseline"/>
        <w:rPr>
          <w:rFonts w:ascii="Times New Roman" w:eastAsia="Times New Roman" w:hAnsi="Times New Roman"/>
          <w:color w:val="000000"/>
          <w:spacing w:val="-2"/>
          <w:sz w:val="24"/>
          <w:lang w:val="en-US" w:eastAsia="en-US"/>
        </w:rPr>
      </w:pPr>
      <w:r w:rsidRPr="00262D92">
        <w:rPr>
          <w:rFonts w:ascii="Times New Roman" w:eastAsia="Times New Roman" w:hAnsi="Times New Roman"/>
          <w:color w:val="000000"/>
          <w:spacing w:val="-2"/>
          <w:sz w:val="24"/>
          <w:lang w:val="en-US" w:eastAsia="en-US"/>
        </w:rPr>
        <w:t>information about the issuer;</w:t>
      </w:r>
    </w:p>
    <w:p w:rsidR="00262D92" w:rsidRPr="00262D92" w:rsidRDefault="00262D92" w:rsidP="00262D92">
      <w:pPr>
        <w:numPr>
          <w:ilvl w:val="0"/>
          <w:numId w:val="31"/>
        </w:numPr>
        <w:tabs>
          <w:tab w:val="left" w:pos="792"/>
        </w:tabs>
        <w:spacing w:before="280" w:line="273" w:lineRule="exact"/>
        <w:ind w:left="648"/>
        <w:jc w:val="left"/>
        <w:textAlignment w:val="baseline"/>
        <w:rPr>
          <w:rFonts w:ascii="Times New Roman" w:eastAsia="Times New Roman" w:hAnsi="Times New Roman"/>
          <w:color w:val="000000"/>
          <w:spacing w:val="-2"/>
          <w:sz w:val="24"/>
          <w:lang w:val="en-US" w:eastAsia="en-US"/>
        </w:rPr>
      </w:pPr>
      <w:r w:rsidRPr="00262D92">
        <w:rPr>
          <w:rFonts w:ascii="Times New Roman" w:eastAsia="Times New Roman" w:hAnsi="Times New Roman"/>
          <w:color w:val="000000"/>
          <w:spacing w:val="-2"/>
          <w:sz w:val="24"/>
          <w:lang w:val="en-US" w:eastAsia="en-US"/>
        </w:rPr>
        <w:t>information providing a business overview.</w:t>
      </w:r>
    </w:p>
    <w:p w:rsidR="00262D92" w:rsidRPr="00262D92" w:rsidRDefault="00262D92" w:rsidP="00262D92">
      <w:pPr>
        <w:spacing w:before="257" w:line="302" w:lineRule="exact"/>
        <w:ind w:left="144" w:right="144"/>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2. In addition to paragraph 1, when assessing whether a share is capable of being traded in a fair, orderly and efficient manner a regulated market shall take into account the distribution of those shares to the public.</w:t>
      </w:r>
    </w:p>
    <w:p w:rsidR="00262D92" w:rsidRPr="00262D92" w:rsidRDefault="00262D92" w:rsidP="00262D92">
      <w:pPr>
        <w:spacing w:before="248" w:line="304" w:lineRule="exact"/>
        <w:ind w:left="144" w:right="144"/>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3. When assessing whether a transferable security defined in point (c) of Article 4(1)(44) of Directive 2014/65/EU is capable of being traded in a fair, orderly and efficient manner the regulated market shall take into account, depending on the nature of the security being admitted, whether the following criteria are satisfied:</w:t>
      </w:r>
    </w:p>
    <w:p w:rsidR="00262D92" w:rsidRPr="00262D92" w:rsidRDefault="00262D92" w:rsidP="00262D92">
      <w:pPr>
        <w:numPr>
          <w:ilvl w:val="0"/>
          <w:numId w:val="32"/>
        </w:numPr>
        <w:tabs>
          <w:tab w:val="left" w:pos="792"/>
        </w:tabs>
        <w:spacing w:before="244" w:line="308" w:lineRule="exact"/>
        <w:ind w:left="648"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the terms of the security are clear and unambiguous and allow for a correlation between the price of the security and the price or other value measure of the underlying;</w:t>
      </w:r>
    </w:p>
    <w:p w:rsidR="00262D92" w:rsidRPr="00262D92" w:rsidRDefault="00262D92" w:rsidP="00262D92">
      <w:pPr>
        <w:numPr>
          <w:ilvl w:val="0"/>
          <w:numId w:val="32"/>
        </w:numPr>
        <w:tabs>
          <w:tab w:val="left" w:pos="792"/>
        </w:tabs>
        <w:spacing w:before="279" w:line="273" w:lineRule="exact"/>
        <w:ind w:left="648"/>
        <w:jc w:val="left"/>
        <w:textAlignment w:val="baseline"/>
        <w:rPr>
          <w:rFonts w:ascii="Times New Roman" w:eastAsia="Times New Roman" w:hAnsi="Times New Roman"/>
          <w:color w:val="000000"/>
          <w:spacing w:val="-1"/>
          <w:sz w:val="24"/>
          <w:lang w:val="en-US" w:eastAsia="en-US"/>
        </w:rPr>
      </w:pPr>
      <w:r w:rsidRPr="00262D92">
        <w:rPr>
          <w:rFonts w:ascii="Times New Roman" w:eastAsia="Times New Roman" w:hAnsi="Times New Roman"/>
          <w:color w:val="000000"/>
          <w:spacing w:val="-1"/>
          <w:sz w:val="24"/>
          <w:lang w:val="en-US" w:eastAsia="en-US"/>
        </w:rPr>
        <w:t>the price or other value measure of the underlying is reliable and publicly available;</w:t>
      </w:r>
    </w:p>
    <w:p w:rsidR="00262D92" w:rsidRPr="00262D92" w:rsidRDefault="00262D92" w:rsidP="00262D92">
      <w:pPr>
        <w:numPr>
          <w:ilvl w:val="0"/>
          <w:numId w:val="32"/>
        </w:numPr>
        <w:tabs>
          <w:tab w:val="left" w:pos="792"/>
        </w:tabs>
        <w:spacing w:before="278" w:line="273" w:lineRule="exact"/>
        <w:ind w:left="648"/>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there is sufficient information publicly available of a kind needed to value the security;</w:t>
      </w:r>
    </w:p>
    <w:p w:rsidR="00262D92" w:rsidRPr="00262D92" w:rsidRDefault="00262D92" w:rsidP="00262D92">
      <w:pPr>
        <w:numPr>
          <w:ilvl w:val="0"/>
          <w:numId w:val="32"/>
        </w:numPr>
        <w:tabs>
          <w:tab w:val="left" w:pos="792"/>
        </w:tabs>
        <w:spacing w:before="254" w:line="303" w:lineRule="exact"/>
        <w:ind w:left="648"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the arrangements for determining the settlement price of the security ensure that this price properly reflects the price or other value measures of the underlying;</w:t>
      </w:r>
    </w:p>
    <w:p w:rsidR="00262D92" w:rsidRPr="00262D92" w:rsidRDefault="00262D92" w:rsidP="00262D92">
      <w:pPr>
        <w:numPr>
          <w:ilvl w:val="0"/>
          <w:numId w:val="32"/>
        </w:numPr>
        <w:tabs>
          <w:tab w:val="left" w:pos="792"/>
        </w:tabs>
        <w:spacing w:before="245" w:line="307" w:lineRule="exact"/>
        <w:ind w:left="648"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where the settlement of the security requires or provides for the possibility of the delivery of an underlying security or asset rather than cash settlement, there are</w:t>
      </w:r>
    </w:p>
    <w:p w:rsidR="00262D92" w:rsidRPr="00262D92" w:rsidRDefault="00262D92" w:rsidP="00262D92">
      <w:pPr>
        <w:jc w:val="left"/>
        <w:rPr>
          <w:rFonts w:ascii="Times New Roman" w:eastAsia="PMingLiU" w:hAnsi="Times New Roman"/>
          <w:lang w:val="en-US" w:eastAsia="en-US"/>
        </w:rPr>
        <w:sectPr w:rsidR="00262D92" w:rsidRPr="00262D92">
          <w:pgSz w:w="11909" w:h="16838"/>
          <w:pgMar w:top="540" w:right="1245" w:bottom="960" w:left="1264" w:header="720" w:footer="720" w:gutter="0"/>
          <w:cols w:space="720"/>
        </w:sectPr>
      </w:pPr>
    </w:p>
    <w:p w:rsidR="00200930" w:rsidRDefault="00200930" w:rsidP="00262D92">
      <w:pPr>
        <w:spacing w:before="293" w:line="301" w:lineRule="exact"/>
        <w:ind w:left="792" w:right="144"/>
        <w:textAlignment w:val="baseline"/>
        <w:rPr>
          <w:rFonts w:ascii="Times New Roman" w:eastAsia="Times New Roman" w:hAnsi="Times New Roman"/>
          <w:color w:val="000000"/>
          <w:sz w:val="24"/>
          <w:lang w:val="en-US" w:eastAsia="en-US"/>
        </w:rPr>
      </w:pPr>
    </w:p>
    <w:p w:rsidR="00200930" w:rsidRDefault="00200930" w:rsidP="00262D92">
      <w:pPr>
        <w:spacing w:before="293" w:line="301" w:lineRule="exact"/>
        <w:ind w:left="792" w:right="144"/>
        <w:textAlignment w:val="baseline"/>
        <w:rPr>
          <w:rFonts w:ascii="Times New Roman" w:eastAsia="Times New Roman" w:hAnsi="Times New Roman"/>
          <w:color w:val="000000"/>
          <w:sz w:val="24"/>
          <w:lang w:val="en-US" w:eastAsia="en-US"/>
        </w:rPr>
      </w:pPr>
    </w:p>
    <w:p w:rsidR="00262D92" w:rsidRPr="00262D92" w:rsidRDefault="00262D92" w:rsidP="00262D92">
      <w:pPr>
        <w:spacing w:before="293" w:line="301" w:lineRule="exact"/>
        <w:ind w:left="792" w:right="144"/>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adequate settlement and delivery procedures for those underlying as well as adequate arrangements to obtain relevant information about that underlying.</w:t>
      </w:r>
    </w:p>
    <w:p w:rsidR="00262D92" w:rsidRPr="00262D92" w:rsidRDefault="00262D92" w:rsidP="00262D92">
      <w:pPr>
        <w:spacing w:before="707" w:line="278" w:lineRule="exact"/>
        <w:jc w:val="center"/>
        <w:textAlignment w:val="baseline"/>
        <w:rPr>
          <w:rFonts w:ascii="Times New Roman" w:eastAsia="Times New Roman" w:hAnsi="Times New Roman"/>
          <w:i/>
          <w:color w:val="000000"/>
          <w:sz w:val="24"/>
          <w:lang w:val="en-US" w:eastAsia="en-US"/>
        </w:rPr>
      </w:pPr>
      <w:r w:rsidRPr="00262D92">
        <w:rPr>
          <w:rFonts w:ascii="Times New Roman" w:eastAsia="Times New Roman" w:hAnsi="Times New Roman"/>
          <w:i/>
          <w:color w:val="000000"/>
          <w:sz w:val="24"/>
          <w:lang w:val="en-US" w:eastAsia="en-US"/>
        </w:rPr>
        <w:t xml:space="preserve">Article </w:t>
      </w:r>
      <w:r w:rsidRPr="00262D92">
        <w:rPr>
          <w:rFonts w:ascii="Times New Roman" w:eastAsia="Times New Roman" w:hAnsi="Times New Roman"/>
          <w:color w:val="000000"/>
          <w:sz w:val="24"/>
          <w:lang w:val="en-US" w:eastAsia="en-US"/>
        </w:rPr>
        <w:t>3</w:t>
      </w:r>
    </w:p>
    <w:p w:rsidR="00262D92" w:rsidRPr="00262D92" w:rsidRDefault="00262D92" w:rsidP="00262D92">
      <w:pPr>
        <w:spacing w:line="423" w:lineRule="exact"/>
        <w:jc w:val="center"/>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 xml:space="preserve">(Article 51(1) of Directive 2014/65/EU) </w:t>
      </w:r>
      <w:r w:rsidRPr="00262D92">
        <w:rPr>
          <w:rFonts w:ascii="Times New Roman" w:eastAsia="Times New Roman" w:hAnsi="Times New Roman"/>
          <w:color w:val="000000"/>
          <w:sz w:val="24"/>
          <w:lang w:val="en-US" w:eastAsia="en-US"/>
        </w:rPr>
        <w:br/>
      </w:r>
      <w:r w:rsidRPr="00262D92">
        <w:rPr>
          <w:rFonts w:ascii="Times New Roman" w:eastAsia="Times New Roman" w:hAnsi="Times New Roman"/>
          <w:b/>
          <w:color w:val="000000"/>
          <w:sz w:val="24"/>
          <w:lang w:val="en-US" w:eastAsia="en-US"/>
        </w:rPr>
        <w:t>Transferable securities — official listing</w:t>
      </w:r>
    </w:p>
    <w:p w:rsidR="00262D92" w:rsidRPr="00262D92" w:rsidRDefault="00262D92" w:rsidP="00262D92">
      <w:pPr>
        <w:spacing w:before="242" w:line="304" w:lineRule="exact"/>
        <w:ind w:left="144" w:right="144"/>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A transferable security that is officially listed in accordance with Directive 2001/34/EC, and the listing of which is not suspended, shall be deemed to be freely negotiable and capable of being traded in a fair, orderly and efficient manner.</w:t>
      </w:r>
    </w:p>
    <w:p w:rsidR="00262D92" w:rsidRPr="00262D92" w:rsidRDefault="00262D92" w:rsidP="00262D92">
      <w:pPr>
        <w:spacing w:before="708" w:line="278" w:lineRule="exact"/>
        <w:jc w:val="center"/>
        <w:textAlignment w:val="baseline"/>
        <w:rPr>
          <w:rFonts w:ascii="Times New Roman" w:eastAsia="Times New Roman" w:hAnsi="Times New Roman"/>
          <w:i/>
          <w:color w:val="000000"/>
          <w:spacing w:val="1"/>
          <w:sz w:val="24"/>
          <w:lang w:val="fr-FR" w:eastAsia="en-US"/>
        </w:rPr>
      </w:pPr>
      <w:r w:rsidRPr="00262D92">
        <w:rPr>
          <w:rFonts w:ascii="Times New Roman" w:eastAsia="Times New Roman" w:hAnsi="Times New Roman"/>
          <w:i/>
          <w:color w:val="000000"/>
          <w:spacing w:val="1"/>
          <w:sz w:val="24"/>
          <w:lang w:val="fr-FR" w:eastAsia="en-US"/>
        </w:rPr>
        <w:t>Article 4</w:t>
      </w:r>
    </w:p>
    <w:p w:rsidR="00262D92" w:rsidRPr="00262D92" w:rsidRDefault="00262D92" w:rsidP="00262D92">
      <w:pPr>
        <w:spacing w:before="141" w:line="272" w:lineRule="exact"/>
        <w:jc w:val="center"/>
        <w:textAlignment w:val="baseline"/>
        <w:rPr>
          <w:rFonts w:ascii="Times New Roman" w:eastAsia="Times New Roman" w:hAnsi="Times New Roman"/>
          <w:color w:val="000000"/>
          <w:sz w:val="24"/>
          <w:lang w:val="fr-FR" w:eastAsia="en-US"/>
        </w:rPr>
      </w:pPr>
      <w:r w:rsidRPr="00262D92">
        <w:rPr>
          <w:rFonts w:ascii="Times New Roman" w:eastAsia="Times New Roman" w:hAnsi="Times New Roman"/>
          <w:color w:val="000000"/>
          <w:sz w:val="24"/>
          <w:lang w:val="fr-FR" w:eastAsia="en-US"/>
        </w:rPr>
        <w:t>(Article 51(1) of Directive 2014/65/EU)</w:t>
      </w:r>
    </w:p>
    <w:p w:rsidR="00262D92" w:rsidRPr="00262D92" w:rsidRDefault="00262D92" w:rsidP="00262D92">
      <w:pPr>
        <w:spacing w:before="159" w:line="276" w:lineRule="exact"/>
        <w:jc w:val="center"/>
        <w:textAlignment w:val="baseline"/>
        <w:rPr>
          <w:rFonts w:ascii="Times New Roman" w:eastAsia="Times New Roman" w:hAnsi="Times New Roman"/>
          <w:b/>
          <w:color w:val="000000"/>
          <w:sz w:val="24"/>
          <w:lang w:val="en-US" w:eastAsia="en-US"/>
        </w:rPr>
      </w:pPr>
      <w:r w:rsidRPr="00262D92">
        <w:rPr>
          <w:rFonts w:ascii="Times New Roman" w:eastAsia="Times New Roman" w:hAnsi="Times New Roman"/>
          <w:b/>
          <w:color w:val="000000"/>
          <w:sz w:val="24"/>
          <w:lang w:val="en-US" w:eastAsia="en-US"/>
        </w:rPr>
        <w:t>Units and shares in collective investment undertakings</w:t>
      </w:r>
    </w:p>
    <w:p w:rsidR="00262D92" w:rsidRPr="00262D92" w:rsidRDefault="00262D92" w:rsidP="00262D92">
      <w:pPr>
        <w:spacing w:before="238" w:line="305" w:lineRule="exact"/>
        <w:ind w:left="144" w:right="144"/>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1. A regulated market shall, when admitting units or shares of a collective investment undertaking to trading, ensure that these units or shares are permitted to be marketed in the Member State of the regulated market.</w:t>
      </w:r>
    </w:p>
    <w:p w:rsidR="00262D92" w:rsidRPr="00262D92" w:rsidRDefault="00262D92" w:rsidP="00262D92">
      <w:pPr>
        <w:spacing w:before="247" w:line="305" w:lineRule="exact"/>
        <w:ind w:left="144" w:right="144"/>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2. When assessing whether units or shares in an open-ended collective investment undertaking are capable of being traded in a fair, orderly and efficient manner, a regulated market shall take into account the following:</w:t>
      </w:r>
    </w:p>
    <w:p w:rsidR="00262D92" w:rsidRPr="00262D92" w:rsidRDefault="00262D92" w:rsidP="00262D92">
      <w:pPr>
        <w:numPr>
          <w:ilvl w:val="0"/>
          <w:numId w:val="33"/>
        </w:numPr>
        <w:tabs>
          <w:tab w:val="left" w:pos="792"/>
        </w:tabs>
        <w:spacing w:before="280" w:line="272" w:lineRule="exact"/>
        <w:ind w:left="648"/>
        <w:jc w:val="left"/>
        <w:textAlignment w:val="baseline"/>
        <w:rPr>
          <w:rFonts w:ascii="Times New Roman" w:eastAsia="Times New Roman" w:hAnsi="Times New Roman"/>
          <w:color w:val="000000"/>
          <w:spacing w:val="-1"/>
          <w:sz w:val="24"/>
          <w:lang w:val="en-US" w:eastAsia="en-US"/>
        </w:rPr>
      </w:pPr>
      <w:r w:rsidRPr="00262D92">
        <w:rPr>
          <w:rFonts w:ascii="Times New Roman" w:eastAsia="Times New Roman" w:hAnsi="Times New Roman"/>
          <w:color w:val="000000"/>
          <w:spacing w:val="-1"/>
          <w:sz w:val="24"/>
          <w:lang w:val="en-US" w:eastAsia="en-US"/>
        </w:rPr>
        <w:t>the distribution of those units or shares to the public;</w:t>
      </w:r>
    </w:p>
    <w:p w:rsidR="00262D92" w:rsidRPr="00262D92" w:rsidRDefault="00262D92" w:rsidP="00262D92">
      <w:pPr>
        <w:numPr>
          <w:ilvl w:val="0"/>
          <w:numId w:val="33"/>
        </w:numPr>
        <w:tabs>
          <w:tab w:val="left" w:pos="792"/>
        </w:tabs>
        <w:spacing w:before="246" w:line="305" w:lineRule="exact"/>
        <w:ind w:left="648"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whether there are appropriate market-making arrangements, or whether the management company of the scheme provides appropriate alternative arrangements for investors to redeem the units or shares;</w:t>
      </w:r>
    </w:p>
    <w:p w:rsidR="00262D92" w:rsidRPr="00262D92" w:rsidRDefault="00262D92" w:rsidP="00262D92">
      <w:pPr>
        <w:numPr>
          <w:ilvl w:val="0"/>
          <w:numId w:val="33"/>
        </w:numPr>
        <w:tabs>
          <w:tab w:val="left" w:pos="792"/>
        </w:tabs>
        <w:spacing w:before="248" w:line="304" w:lineRule="exact"/>
        <w:ind w:left="648"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in the case of exchange-traded funds, whether in addition to market making arrangements appropriate alternative arrangements for investors to redeem units or shares are provided at least in cases where the value of the units or shares significantly varies from the net asset value;</w:t>
      </w:r>
    </w:p>
    <w:p w:rsidR="00262D92" w:rsidRPr="00262D92" w:rsidRDefault="00262D92" w:rsidP="00262D92">
      <w:pPr>
        <w:numPr>
          <w:ilvl w:val="0"/>
          <w:numId w:val="33"/>
        </w:numPr>
        <w:tabs>
          <w:tab w:val="left" w:pos="792"/>
        </w:tabs>
        <w:spacing w:before="243" w:line="308" w:lineRule="exact"/>
        <w:ind w:left="648"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whether the value of the units or shares is made sufficiently transparent to investors by means of the periodic publication of the net asset value.</w:t>
      </w:r>
    </w:p>
    <w:p w:rsidR="00262D92" w:rsidRPr="00262D92" w:rsidRDefault="00262D92" w:rsidP="00262D92">
      <w:pPr>
        <w:spacing w:before="253" w:line="301" w:lineRule="exact"/>
        <w:ind w:left="144" w:right="144"/>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3. When assessing whether units or shares in a closed-end collective investment undertaking are capable of being traded in a fair, orderly and efficient manner, a regulated market shall take into account the following:</w:t>
      </w:r>
    </w:p>
    <w:p w:rsidR="00262D92" w:rsidRPr="00262D92" w:rsidRDefault="00262D92" w:rsidP="00262D92">
      <w:pPr>
        <w:spacing w:before="286" w:line="272" w:lineRule="exact"/>
        <w:ind w:left="360"/>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(a) the distribution of those units or shares to the public;</w:t>
      </w:r>
    </w:p>
    <w:p w:rsidR="00262D92" w:rsidRPr="00262D92" w:rsidRDefault="00262D92" w:rsidP="00262D92">
      <w:pPr>
        <w:jc w:val="left"/>
        <w:rPr>
          <w:rFonts w:ascii="Times New Roman" w:eastAsia="PMingLiU" w:hAnsi="Times New Roman"/>
          <w:lang w:val="en-US" w:eastAsia="en-US"/>
        </w:rPr>
        <w:sectPr w:rsidR="00262D92" w:rsidRPr="00262D92">
          <w:pgSz w:w="11909" w:h="16838"/>
          <w:pgMar w:top="540" w:right="1247" w:bottom="960" w:left="1262" w:header="720" w:footer="720" w:gutter="0"/>
          <w:cols w:space="720"/>
        </w:sectPr>
      </w:pPr>
    </w:p>
    <w:p w:rsidR="00262D92" w:rsidRPr="00262D92" w:rsidRDefault="00262D92" w:rsidP="00262D92">
      <w:pPr>
        <w:spacing w:before="1" w:after="319"/>
        <w:ind w:left="147" w:right="8365"/>
        <w:jc w:val="left"/>
        <w:textAlignment w:val="baseline"/>
        <w:rPr>
          <w:rFonts w:ascii="Times New Roman" w:eastAsia="PMingLiU" w:hAnsi="Times New Roman"/>
          <w:lang w:val="en-US" w:eastAsia="en-US"/>
        </w:rPr>
      </w:pPr>
      <w:r w:rsidRPr="00262D92">
        <w:rPr>
          <w:rFonts w:ascii="Times New Roman" w:eastAsia="PMingLiU" w:hAnsi="Times New Roman"/>
          <w:noProof/>
        </w:rPr>
        <w:lastRenderedPageBreak/>
        <w:drawing>
          <wp:inline distT="0" distB="0" distL="0" distR="0" wp14:anchorId="06B85A8E" wp14:editId="6976BCB8">
            <wp:extent cx="563880" cy="56388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210" name="test1"/>
                    <pic:cNvPicPr preferRelativeResize="0"/>
                  </pic:nvPicPr>
                  <pic:blipFill>
                    <a:blip r:embed="rId12"/>
                    <a:stretch>
                      <a:fillRect/>
                    </a:stretch>
                  </pic:blipFill>
                  <pic:spPr>
                    <a:xfrm>
                      <a:off x="0" y="0"/>
                      <a:ext cx="563880" cy="563880"/>
                    </a:xfrm>
                    <a:prstGeom prst="rect">
                      <a:avLst/>
                    </a:prstGeom>
                  </pic:spPr>
                </pic:pic>
              </a:graphicData>
            </a:graphic>
          </wp:inline>
        </w:drawing>
      </w:r>
    </w:p>
    <w:p w:rsidR="00262D92" w:rsidRPr="00262D92" w:rsidRDefault="00262D92" w:rsidP="00262D92">
      <w:pPr>
        <w:spacing w:line="291" w:lineRule="exact"/>
        <w:ind w:left="720" w:right="144" w:hanging="432"/>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91008" behindDoc="0" locked="0" layoutInCell="1" allowOverlap="1">
                <wp:simplePos x="0" y="0"/>
                <wp:positionH relativeFrom="page">
                  <wp:posOffset>802640</wp:posOffset>
                </wp:positionH>
                <wp:positionV relativeFrom="page">
                  <wp:posOffset>9831070</wp:posOffset>
                </wp:positionV>
                <wp:extent cx="561975" cy="342900"/>
                <wp:effectExtent l="2540" t="127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D92" w:rsidRDefault="00262D92" w:rsidP="00262D92">
                            <w:pPr>
                              <w:spacing w:line="530" w:lineRule="exact"/>
                              <w:ind w:left="72"/>
                              <w:textAlignment w:val="baseline"/>
                              <w:rPr>
                                <w:rFonts w:ascii="Arial" w:eastAsia="Arial" w:hAnsi="Arial"/>
                                <w:b/>
                                <w:color w:val="000000"/>
                                <w:spacing w:val="7"/>
                                <w:sz w:val="47"/>
                              </w:rPr>
                            </w:pP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left:0;text-align:left;margin-left:63.2pt;margin-top:774.1pt;width:44.25pt;height:27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rGsgIAALI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" filled="f" stroked="f">
                <v:textbox inset="0,0,0,0">
                  <w:txbxContent>
                    <w:p w:rsidR="00262D92" w:rsidRDefault="00262D92" w:rsidP="00262D92">
                      <w:pPr>
                        <w:spacing w:line="530" w:lineRule="exact"/>
                        <w:ind w:left="72"/>
                        <w:textAlignment w:val="baseline"/>
                        <w:rPr>
                          <w:rFonts w:ascii="Arial" w:eastAsia="Arial" w:hAnsi="Arial"/>
                          <w:b/>
                          <w:color w:val="000000"/>
                          <w:spacing w:val="7"/>
                          <w:sz w:val="47"/>
                        </w:rPr>
                      </w:pPr>
                      <w:bookmarkStart w:id="1" w:name="_GoBack"/>
                      <w:bookmarkEnd w:id="1"/>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2032" behindDoc="0" locked="0" layoutInCell="1" allowOverlap="1">
                <wp:simplePos x="0" y="0"/>
                <wp:positionH relativeFrom="page">
                  <wp:posOffset>3609975</wp:posOffset>
                </wp:positionH>
                <wp:positionV relativeFrom="page">
                  <wp:posOffset>9968230</wp:posOffset>
                </wp:positionV>
                <wp:extent cx="339090" cy="171450"/>
                <wp:effectExtent l="0" t="0" r="3810" b="444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D92" w:rsidRDefault="00262D92" w:rsidP="00262D92">
                            <w:pPr>
                              <w:spacing w:line="257" w:lineRule="exact"/>
                              <w:textAlignment w:val="baseline"/>
                              <w:rPr>
                                <w:rFonts w:eastAsia="Times New Roman"/>
                                <w:color w:val="000000"/>
                                <w:spacing w:val="15"/>
                                <w:sz w:val="24"/>
                              </w:rPr>
                            </w:pPr>
                            <w:r>
                              <w:rPr>
                                <w:rFonts w:eastAsia="Times New Roman"/>
                                <w:color w:val="000000"/>
                                <w:spacing w:val="15"/>
                                <w:sz w:val="24"/>
                              </w:rPr>
                              <w:t>375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left:0;text-align:left;margin-left:284.25pt;margin-top:784.9pt;width:26.7pt;height:13.5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lsgIAALI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" filled="f" stroked="f">
                <v:textbox inset="0,0,0,0">
                  <w:txbxContent>
                    <w:p w:rsidR="00262D92" w:rsidRDefault="00262D92" w:rsidP="00262D92">
                      <w:pPr>
                        <w:spacing w:line="257" w:lineRule="exact"/>
                        <w:textAlignment w:val="baseline"/>
                        <w:rPr>
                          <w:rFonts w:eastAsia="Times New Roman"/>
                          <w:color w:val="000000"/>
                          <w:spacing w:val="15"/>
                          <w:sz w:val="24"/>
                        </w:rPr>
                      </w:pPr>
                      <w:r>
                        <w:rPr>
                          <w:rFonts w:eastAsia="Times New Roman"/>
                          <w:color w:val="000000"/>
                          <w:spacing w:val="15"/>
                          <w:sz w:val="24"/>
                        </w:rPr>
                        <w:t>375</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3056"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D92" w:rsidRDefault="00262D92" w:rsidP="00262D92">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9" type="#_x0000_t202" style="position:absolute;left:0;text-align:left;margin-left:487.75pt;margin-top:774.1pt;width:39.9pt;height:27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FWl2/rICAACy&#10;BQAADgAAAAAAAAAAAAAAAAAuAgAAZHJzL2Uyb0RvYy54bWxQSwECLQAUAAYACAAAACEA028a8eIA&#10;AAAOAQAADwAAAAAAAAAAAAAAAAAMBQAAZHJzL2Rvd25yZXYueG1sUEsFBgAAAAAEAAQA8wAAABsG&#10;AAAAAA==&#10;" filled="f" stroked="f">
                <v:textbox inset="0,0,0,0">
                  <w:txbxContent>
                    <w:p w:rsidR="00262D92" w:rsidRDefault="00262D92" w:rsidP="00262D92">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8480"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" strokecolor="#283583" strokeweight=".95pt">
                <w10:wrap anchorx="page" anchory="page"/>
              </v:line>
            </w:pict>
          </mc:Fallback>
        </mc:AlternateContent>
      </w:r>
      <w:r w:rsidRPr="00262D92">
        <w:rPr>
          <w:rFonts w:ascii="Times New Roman" w:eastAsia="Times New Roman" w:hAnsi="Times New Roman"/>
          <w:color w:val="000000"/>
          <w:sz w:val="24"/>
          <w:lang w:val="en-US" w:eastAsia="en-US"/>
        </w:rPr>
        <w:t>(b) whether the value of the units or shares is made sufficiently transparent to investors, either by publication of information on the fund's investment strategy or by the periodic publication of the net asset value.</w:t>
      </w:r>
    </w:p>
    <w:p w:rsidR="00262D92" w:rsidRPr="00262D92" w:rsidRDefault="00262D92" w:rsidP="00262D92">
      <w:pPr>
        <w:spacing w:before="707" w:line="278" w:lineRule="exact"/>
        <w:jc w:val="center"/>
        <w:textAlignment w:val="baseline"/>
        <w:rPr>
          <w:rFonts w:ascii="Times New Roman" w:eastAsia="Times New Roman" w:hAnsi="Times New Roman"/>
          <w:i/>
          <w:color w:val="000000"/>
          <w:spacing w:val="1"/>
          <w:sz w:val="24"/>
          <w:lang w:val="fr-FR" w:eastAsia="en-US"/>
        </w:rPr>
      </w:pPr>
      <w:r w:rsidRPr="00262D92">
        <w:rPr>
          <w:rFonts w:ascii="Times New Roman" w:eastAsia="Times New Roman" w:hAnsi="Times New Roman"/>
          <w:i/>
          <w:color w:val="000000"/>
          <w:spacing w:val="1"/>
          <w:sz w:val="24"/>
          <w:lang w:val="fr-FR" w:eastAsia="en-US"/>
        </w:rPr>
        <w:t xml:space="preserve">Article </w:t>
      </w:r>
      <w:r w:rsidRPr="00262D92">
        <w:rPr>
          <w:rFonts w:ascii="Times New Roman" w:eastAsia="Times New Roman" w:hAnsi="Times New Roman"/>
          <w:color w:val="000000"/>
          <w:spacing w:val="1"/>
          <w:sz w:val="24"/>
          <w:lang w:val="fr-FR" w:eastAsia="en-US"/>
        </w:rPr>
        <w:t>5</w:t>
      </w:r>
    </w:p>
    <w:p w:rsidR="00262D92" w:rsidRPr="00262D92" w:rsidRDefault="00262D92" w:rsidP="00262D92">
      <w:pPr>
        <w:spacing w:before="141" w:line="272" w:lineRule="exact"/>
        <w:jc w:val="center"/>
        <w:textAlignment w:val="baseline"/>
        <w:rPr>
          <w:rFonts w:ascii="Times New Roman" w:eastAsia="Times New Roman" w:hAnsi="Times New Roman"/>
          <w:color w:val="000000"/>
          <w:sz w:val="24"/>
          <w:lang w:val="fr-FR" w:eastAsia="en-US"/>
        </w:rPr>
      </w:pPr>
      <w:r w:rsidRPr="00262D92">
        <w:rPr>
          <w:rFonts w:ascii="Times New Roman" w:eastAsia="Times New Roman" w:hAnsi="Times New Roman"/>
          <w:color w:val="000000"/>
          <w:sz w:val="24"/>
          <w:lang w:val="fr-FR" w:eastAsia="en-US"/>
        </w:rPr>
        <w:t>(Article 51(1) of Directive 2014/65/EU)</w:t>
      </w:r>
    </w:p>
    <w:p w:rsidR="00262D92" w:rsidRPr="00262D92" w:rsidRDefault="00262D92" w:rsidP="00262D92">
      <w:pPr>
        <w:spacing w:before="157" w:line="278" w:lineRule="exact"/>
        <w:jc w:val="center"/>
        <w:textAlignment w:val="baseline"/>
        <w:rPr>
          <w:rFonts w:ascii="Times New Roman" w:eastAsia="Times New Roman" w:hAnsi="Times New Roman"/>
          <w:b/>
          <w:color w:val="000000"/>
          <w:sz w:val="24"/>
          <w:lang w:val="en-US" w:eastAsia="en-US"/>
        </w:rPr>
      </w:pPr>
      <w:r w:rsidRPr="00262D92">
        <w:rPr>
          <w:rFonts w:ascii="Times New Roman" w:eastAsia="Times New Roman" w:hAnsi="Times New Roman"/>
          <w:b/>
          <w:color w:val="000000"/>
          <w:sz w:val="24"/>
          <w:lang w:val="en-US" w:eastAsia="en-US"/>
        </w:rPr>
        <w:t>Derivatives</w:t>
      </w:r>
    </w:p>
    <w:p w:rsidR="00262D92" w:rsidRPr="00262D92" w:rsidRDefault="00262D92" w:rsidP="00262D92">
      <w:pPr>
        <w:tabs>
          <w:tab w:val="right" w:pos="9216"/>
        </w:tabs>
        <w:spacing w:before="275" w:line="278" w:lineRule="exact"/>
        <w:ind w:left="144"/>
        <w:jc w:val="left"/>
        <w:textAlignment w:val="baseline"/>
        <w:rPr>
          <w:rFonts w:ascii="Times New Roman" w:eastAsia="Times New Roman" w:hAnsi="Times New Roman"/>
          <w:b/>
          <w:color w:val="000000"/>
          <w:sz w:val="24"/>
          <w:lang w:val="en-US" w:eastAsia="en-US"/>
        </w:rPr>
      </w:pPr>
      <w:r w:rsidRPr="00262D92">
        <w:rPr>
          <w:rFonts w:ascii="Times New Roman" w:eastAsia="Times New Roman" w:hAnsi="Times New Roman"/>
          <w:b/>
          <w:color w:val="000000"/>
          <w:sz w:val="24"/>
          <w:lang w:val="en-US" w:eastAsia="en-US"/>
        </w:rPr>
        <w:t>1.</w:t>
      </w:r>
      <w:r w:rsidRPr="00262D92">
        <w:rPr>
          <w:rFonts w:ascii="Times New Roman" w:eastAsia="Times New Roman" w:hAnsi="Times New Roman"/>
          <w:b/>
          <w:color w:val="000000"/>
          <w:sz w:val="24"/>
          <w:lang w:val="en-US" w:eastAsia="en-US"/>
        </w:rPr>
        <w:tab/>
      </w:r>
      <w:r w:rsidRPr="00262D92">
        <w:rPr>
          <w:rFonts w:ascii="Times New Roman" w:eastAsia="Times New Roman" w:hAnsi="Times New Roman"/>
          <w:color w:val="000000"/>
          <w:sz w:val="24"/>
          <w:lang w:val="en-US" w:eastAsia="en-US"/>
        </w:rPr>
        <w:t>When assessing whether a financial instrument referred to in points (4) to (10) of</w:t>
      </w:r>
    </w:p>
    <w:p w:rsidR="00262D92" w:rsidRPr="00262D92" w:rsidRDefault="00262D92" w:rsidP="00262D92">
      <w:pPr>
        <w:spacing w:line="302" w:lineRule="exact"/>
        <w:ind w:left="144" w:right="144"/>
        <w:textAlignment w:val="baseline"/>
        <w:rPr>
          <w:rFonts w:ascii="Times New Roman" w:eastAsia="Times New Roman" w:hAnsi="Times New Roman"/>
          <w:color w:val="000000"/>
          <w:spacing w:val="1"/>
          <w:sz w:val="24"/>
          <w:lang w:val="en-US" w:eastAsia="en-US"/>
        </w:rPr>
      </w:pPr>
      <w:r w:rsidRPr="00262D92">
        <w:rPr>
          <w:rFonts w:ascii="Times New Roman" w:eastAsia="Times New Roman" w:hAnsi="Times New Roman"/>
          <w:color w:val="000000"/>
          <w:spacing w:val="1"/>
          <w:sz w:val="24"/>
          <w:lang w:val="en-US" w:eastAsia="en-US"/>
        </w:rPr>
        <w:t>Section C of Annex I to Directive 2014/65/EU are capable of being traded in a fair, orderly and efficient manner, a regulated market shall verify that the following conditions are satisfied:</w:t>
      </w:r>
    </w:p>
    <w:p w:rsidR="00262D92" w:rsidRPr="00262D92" w:rsidRDefault="00262D92" w:rsidP="00262D92">
      <w:pPr>
        <w:numPr>
          <w:ilvl w:val="0"/>
          <w:numId w:val="34"/>
        </w:numPr>
        <w:tabs>
          <w:tab w:val="left" w:pos="720"/>
        </w:tabs>
        <w:spacing w:before="248" w:line="303" w:lineRule="exact"/>
        <w:ind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the terms of the contract establishing the financial instrument are clear and unambiguous, and enable a correlation between the price of the financial instrument and the price or other value measure of the underlying;</w:t>
      </w:r>
    </w:p>
    <w:p w:rsidR="00262D92" w:rsidRPr="00262D92" w:rsidRDefault="00262D92" w:rsidP="00262D92">
      <w:pPr>
        <w:numPr>
          <w:ilvl w:val="0"/>
          <w:numId w:val="34"/>
        </w:numPr>
        <w:tabs>
          <w:tab w:val="left" w:pos="720"/>
        </w:tabs>
        <w:spacing w:before="285" w:line="272" w:lineRule="exact"/>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the price or other value measure of the underlying is reliable and publicly available;</w:t>
      </w:r>
    </w:p>
    <w:p w:rsidR="00262D92" w:rsidRPr="00262D92" w:rsidRDefault="00262D92" w:rsidP="00262D92">
      <w:pPr>
        <w:numPr>
          <w:ilvl w:val="0"/>
          <w:numId w:val="34"/>
        </w:numPr>
        <w:tabs>
          <w:tab w:val="left" w:pos="720"/>
        </w:tabs>
        <w:spacing w:before="280" w:line="272" w:lineRule="exact"/>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sufficient information of a kind needed to value the derivative is publicly available;</w:t>
      </w:r>
    </w:p>
    <w:p w:rsidR="00262D92" w:rsidRPr="00262D92" w:rsidRDefault="00262D92" w:rsidP="00262D92">
      <w:pPr>
        <w:numPr>
          <w:ilvl w:val="0"/>
          <w:numId w:val="34"/>
        </w:numPr>
        <w:tabs>
          <w:tab w:val="left" w:pos="720"/>
        </w:tabs>
        <w:spacing w:before="243" w:line="308" w:lineRule="exact"/>
        <w:ind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the arrangements for determining the settlement price of the contract is such that the price properly reflects the price or other value measures of the underlying;</w:t>
      </w:r>
    </w:p>
    <w:p w:rsidR="00262D92" w:rsidRPr="00262D92" w:rsidRDefault="00262D92" w:rsidP="00262D92">
      <w:pPr>
        <w:numPr>
          <w:ilvl w:val="0"/>
          <w:numId w:val="34"/>
        </w:numPr>
        <w:tabs>
          <w:tab w:val="left" w:pos="720"/>
        </w:tabs>
        <w:spacing w:before="253" w:line="302" w:lineRule="exact"/>
        <w:ind w:right="144"/>
        <w:jc w:val="left"/>
        <w:textAlignment w:val="baseline"/>
        <w:rPr>
          <w:rFonts w:ascii="Times New Roman" w:eastAsia="Times New Roman" w:hAnsi="Times New Roman"/>
          <w:color w:val="000000"/>
          <w:spacing w:val="2"/>
          <w:sz w:val="24"/>
          <w:lang w:val="en-US" w:eastAsia="en-US"/>
        </w:rPr>
      </w:pPr>
      <w:r w:rsidRPr="00262D92">
        <w:rPr>
          <w:rFonts w:ascii="Times New Roman" w:eastAsia="Times New Roman" w:hAnsi="Times New Roman"/>
          <w:color w:val="000000"/>
          <w:spacing w:val="2"/>
          <w:sz w:val="24"/>
          <w:lang w:val="en-US" w:eastAsia="en-US"/>
        </w:rPr>
        <w:t>where the settlement of the derivative requires or provides for the possibility of the delivery of an underlying security or asset rather than cash settlement, there are adequate arrangements to enable market participants to obtain relevant information about that underlying as well as adequate settlement and delivery procedures for the underlying.</w:t>
      </w:r>
    </w:p>
    <w:p w:rsidR="00262D92" w:rsidRPr="00262D92" w:rsidRDefault="00262D92" w:rsidP="00262D92">
      <w:pPr>
        <w:spacing w:before="248" w:line="305" w:lineRule="exact"/>
        <w:ind w:left="144" w:right="144"/>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 xml:space="preserve">2. Point (b) of paragraph 1 of this Article shall not apply to </w:t>
      </w:r>
      <w:r w:rsidR="00200930">
        <w:rPr>
          <w:rFonts w:ascii="Times New Roman" w:eastAsia="Times New Roman" w:hAnsi="Times New Roman"/>
          <w:color w:val="000000"/>
          <w:sz w:val="24"/>
          <w:lang w:val="en-US" w:eastAsia="en-US"/>
        </w:rPr>
        <w:t>financial</w:t>
      </w:r>
      <w:r w:rsidRPr="00262D92">
        <w:rPr>
          <w:rFonts w:ascii="Times New Roman" w:eastAsia="Times New Roman" w:hAnsi="Times New Roman"/>
          <w:color w:val="000000"/>
          <w:sz w:val="24"/>
          <w:lang w:val="en-US" w:eastAsia="en-US"/>
        </w:rPr>
        <w:t xml:space="preserve"> instruments referred to in points (5) to (7) and point (10) of Section C of Annex Ito Directive 2014/65/EU, where the following conditions are fulfilled:</w:t>
      </w:r>
    </w:p>
    <w:p w:rsidR="00262D92" w:rsidRPr="00262D92" w:rsidRDefault="00262D92" w:rsidP="00262D92">
      <w:pPr>
        <w:numPr>
          <w:ilvl w:val="0"/>
          <w:numId w:val="35"/>
        </w:numPr>
        <w:tabs>
          <w:tab w:val="left" w:pos="720"/>
        </w:tabs>
        <w:spacing w:before="249" w:line="305" w:lineRule="exact"/>
        <w:ind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the contract establishing that instrument is likely to provide a means of disclosing to the market, or enabling the market to assess, the price or other value measure of the underlying, where the price or value measure is not otherwise publicly available;</w:t>
      </w:r>
    </w:p>
    <w:p w:rsidR="00262D92" w:rsidRPr="00262D92" w:rsidRDefault="00262D92" w:rsidP="00262D92">
      <w:pPr>
        <w:numPr>
          <w:ilvl w:val="0"/>
          <w:numId w:val="35"/>
        </w:numPr>
        <w:tabs>
          <w:tab w:val="left" w:pos="720"/>
        </w:tabs>
        <w:spacing w:before="254" w:line="299" w:lineRule="exact"/>
        <w:ind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the regulated market ensures that appropriate supervisory arrangements are in place to monitor trading and settlement in such financial instruments;</w:t>
      </w:r>
    </w:p>
    <w:p w:rsidR="00262D92" w:rsidRPr="00262D92" w:rsidRDefault="00262D92" w:rsidP="00262D92">
      <w:pPr>
        <w:numPr>
          <w:ilvl w:val="0"/>
          <w:numId w:val="35"/>
        </w:numPr>
        <w:tabs>
          <w:tab w:val="left" w:pos="720"/>
        </w:tabs>
        <w:spacing w:before="249" w:line="305" w:lineRule="exact"/>
        <w:ind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 xml:space="preserve">the regulated market ensures that settlement and delivery, whether physical delivery or by cash settlement, can be effected in accordance with the </w:t>
      </w:r>
      <w:r w:rsidRPr="00262D92">
        <w:rPr>
          <w:rFonts w:ascii="Times New Roman" w:eastAsia="Times New Roman" w:hAnsi="Times New Roman"/>
          <w:color w:val="000000"/>
          <w:sz w:val="24"/>
          <w:lang w:val="en-US" w:eastAsia="en-US"/>
        </w:rPr>
        <w:lastRenderedPageBreak/>
        <w:t>contract terms and conditions of those financial instruments.</w:t>
      </w:r>
    </w:p>
    <w:p w:rsidR="00262D92" w:rsidRPr="00262D92" w:rsidRDefault="00262D92" w:rsidP="00262D92">
      <w:pPr>
        <w:spacing w:before="689" w:line="278" w:lineRule="exact"/>
        <w:jc w:val="center"/>
        <w:textAlignment w:val="baseline"/>
        <w:rPr>
          <w:rFonts w:ascii="Times New Roman" w:eastAsia="Times New Roman" w:hAnsi="Times New Roman"/>
          <w:i/>
          <w:color w:val="000000"/>
          <w:spacing w:val="2"/>
          <w:sz w:val="24"/>
          <w:lang w:val="en-US" w:eastAsia="en-US"/>
        </w:rPr>
      </w:pPr>
      <w:r w:rsidRPr="00262D92">
        <w:rPr>
          <w:rFonts w:ascii="Times New Roman" w:eastAsia="Times New Roman" w:hAnsi="Times New Roman"/>
          <w:i/>
          <w:color w:val="000000"/>
          <w:spacing w:val="2"/>
          <w:sz w:val="24"/>
          <w:lang w:val="en-US" w:eastAsia="en-US"/>
        </w:rPr>
        <w:t>Article 6</w:t>
      </w:r>
    </w:p>
    <w:p w:rsidR="00262D92" w:rsidRPr="00262D92" w:rsidRDefault="00262D92" w:rsidP="00262D92">
      <w:pPr>
        <w:spacing w:line="425" w:lineRule="exact"/>
        <w:jc w:val="center"/>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 xml:space="preserve">(Article 51(3) of Directive 2014/65/EU) </w:t>
      </w:r>
      <w:r w:rsidRPr="00262D92">
        <w:rPr>
          <w:rFonts w:ascii="Times New Roman" w:eastAsia="Times New Roman" w:hAnsi="Times New Roman"/>
          <w:color w:val="000000"/>
          <w:sz w:val="24"/>
          <w:lang w:val="en-US" w:eastAsia="en-US"/>
        </w:rPr>
        <w:br/>
      </w:r>
      <w:r w:rsidRPr="00262D92">
        <w:rPr>
          <w:rFonts w:ascii="Times New Roman" w:eastAsia="Times New Roman" w:hAnsi="Times New Roman"/>
          <w:b/>
          <w:color w:val="000000"/>
          <w:sz w:val="24"/>
          <w:lang w:val="en-US" w:eastAsia="en-US"/>
        </w:rPr>
        <w:t>Verification of issuer obligations</w:t>
      </w:r>
    </w:p>
    <w:p w:rsidR="00262D92" w:rsidRPr="00262D92" w:rsidRDefault="00262D92" w:rsidP="00262D92">
      <w:pPr>
        <w:spacing w:before="246" w:line="302" w:lineRule="exact"/>
        <w:ind w:left="216"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1. Regulated markets shall adopt and publish on their website a policy that determines how they verify compliance by an issuer of a transferable security with its obligations under Union law.</w:t>
      </w:r>
    </w:p>
    <w:p w:rsidR="00262D92" w:rsidRPr="00262D92" w:rsidRDefault="00262D92" w:rsidP="00262D92">
      <w:pPr>
        <w:spacing w:before="256" w:line="302" w:lineRule="exact"/>
        <w:ind w:left="216" w:right="144"/>
        <w:jc w:val="left"/>
        <w:textAlignment w:val="baseline"/>
        <w:rPr>
          <w:rFonts w:ascii="Times New Roman" w:eastAsia="Times New Roman" w:hAnsi="Times New Roman"/>
          <w:color w:val="000000"/>
          <w:spacing w:val="-1"/>
          <w:sz w:val="24"/>
          <w:lang w:val="en-US" w:eastAsia="en-US"/>
        </w:rPr>
      </w:pPr>
      <w:r w:rsidRPr="00262D92">
        <w:rPr>
          <w:rFonts w:ascii="Times New Roman" w:eastAsia="Times New Roman" w:hAnsi="Times New Roman"/>
          <w:color w:val="000000"/>
          <w:spacing w:val="-1"/>
          <w:sz w:val="24"/>
          <w:lang w:val="en-US" w:eastAsia="en-US"/>
        </w:rPr>
        <w:t>2. Regulated markets shall ensure that compliance with the obligations specified in paragraph 1 is checked effectively in accordance with the nature of the obligation under review taking into account the supervisory tasks performed by relevant competent authorities.</w:t>
      </w:r>
    </w:p>
    <w:p w:rsidR="00262D92" w:rsidRPr="00262D92" w:rsidRDefault="00262D92" w:rsidP="00262D92">
      <w:pPr>
        <w:spacing w:before="283" w:line="274" w:lineRule="exact"/>
        <w:ind w:left="216"/>
        <w:jc w:val="left"/>
        <w:textAlignment w:val="baseline"/>
        <w:rPr>
          <w:rFonts w:ascii="Times New Roman" w:eastAsia="Times New Roman" w:hAnsi="Times New Roman"/>
          <w:color w:val="000000"/>
          <w:spacing w:val="1"/>
          <w:sz w:val="24"/>
          <w:lang w:val="en-US" w:eastAsia="en-US"/>
        </w:rPr>
      </w:pPr>
      <w:r w:rsidRPr="00262D92">
        <w:rPr>
          <w:rFonts w:ascii="Times New Roman" w:eastAsia="Times New Roman" w:hAnsi="Times New Roman"/>
          <w:color w:val="000000"/>
          <w:spacing w:val="1"/>
          <w:sz w:val="24"/>
          <w:lang w:val="en-US" w:eastAsia="en-US"/>
        </w:rPr>
        <w:t>3. Regulated markets shall ensure that the policy describes:</w:t>
      </w:r>
    </w:p>
    <w:p w:rsidR="00262D92" w:rsidRPr="00262D92" w:rsidRDefault="00262D92" w:rsidP="00262D92">
      <w:pPr>
        <w:numPr>
          <w:ilvl w:val="0"/>
          <w:numId w:val="36"/>
        </w:numPr>
        <w:tabs>
          <w:tab w:val="left" w:pos="720"/>
        </w:tabs>
        <w:spacing w:before="253" w:line="299" w:lineRule="exact"/>
        <w:ind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the processes the regulated markets employ to achieve the outcome specified in paragraph 1;</w:t>
      </w:r>
    </w:p>
    <w:p w:rsidR="00262D92" w:rsidRPr="00262D92" w:rsidRDefault="00262D92" w:rsidP="00262D92">
      <w:pPr>
        <w:numPr>
          <w:ilvl w:val="0"/>
          <w:numId w:val="36"/>
        </w:numPr>
        <w:tabs>
          <w:tab w:val="left" w:pos="720"/>
        </w:tabs>
        <w:spacing w:before="248" w:line="307" w:lineRule="exact"/>
        <w:ind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how an issuer may best demonstrate compliance with the obligations specified in paragraph 1 to the regulated market.</w:t>
      </w:r>
    </w:p>
    <w:p w:rsidR="00262D92" w:rsidRPr="00262D92" w:rsidRDefault="00262D92" w:rsidP="00262D92">
      <w:pPr>
        <w:spacing w:before="247" w:line="305" w:lineRule="exact"/>
        <w:ind w:left="216"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4. Regulated markets shall ensure that an issuer is made aware of the obligations specified in paragraph 1 upon admission to trading of that issuer's transferable security and upon the request of the issuer.</w:t>
      </w:r>
    </w:p>
    <w:p w:rsidR="00262D92" w:rsidRPr="00262D92" w:rsidRDefault="00262D92" w:rsidP="00262D92">
      <w:pPr>
        <w:spacing w:before="699" w:line="278" w:lineRule="exact"/>
        <w:jc w:val="center"/>
        <w:textAlignment w:val="baseline"/>
        <w:rPr>
          <w:rFonts w:ascii="Times New Roman" w:eastAsia="Times New Roman" w:hAnsi="Times New Roman"/>
          <w:i/>
          <w:color w:val="000000"/>
          <w:spacing w:val="2"/>
          <w:sz w:val="24"/>
          <w:lang w:val="en-US" w:eastAsia="en-US"/>
        </w:rPr>
      </w:pPr>
      <w:r w:rsidRPr="00262D92">
        <w:rPr>
          <w:rFonts w:ascii="Times New Roman" w:eastAsia="Times New Roman" w:hAnsi="Times New Roman"/>
          <w:i/>
          <w:color w:val="000000"/>
          <w:spacing w:val="2"/>
          <w:sz w:val="24"/>
          <w:lang w:val="en-US" w:eastAsia="en-US"/>
        </w:rPr>
        <w:t xml:space="preserve">Article </w:t>
      </w:r>
      <w:r w:rsidRPr="00262D92">
        <w:rPr>
          <w:rFonts w:ascii="Times New Roman" w:eastAsia="Times New Roman" w:hAnsi="Times New Roman"/>
          <w:color w:val="000000"/>
          <w:spacing w:val="2"/>
          <w:sz w:val="24"/>
          <w:lang w:val="en-US" w:eastAsia="en-US"/>
        </w:rPr>
        <w:t>7</w:t>
      </w:r>
    </w:p>
    <w:p w:rsidR="00262D92" w:rsidRPr="00262D92" w:rsidRDefault="00262D92" w:rsidP="00262D92">
      <w:pPr>
        <w:spacing w:line="426" w:lineRule="exact"/>
        <w:jc w:val="center"/>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 xml:space="preserve">(Article 51(3) of Directive 2014/65/EU) </w:t>
      </w:r>
      <w:r w:rsidRPr="00262D92">
        <w:rPr>
          <w:rFonts w:ascii="Times New Roman" w:eastAsia="Times New Roman" w:hAnsi="Times New Roman"/>
          <w:color w:val="000000"/>
          <w:sz w:val="24"/>
          <w:lang w:val="en-US" w:eastAsia="en-US"/>
        </w:rPr>
        <w:br/>
      </w:r>
      <w:r w:rsidRPr="00262D92">
        <w:rPr>
          <w:rFonts w:ascii="Times New Roman" w:eastAsia="Times New Roman" w:hAnsi="Times New Roman"/>
          <w:b/>
          <w:color w:val="000000"/>
          <w:sz w:val="24"/>
          <w:lang w:val="en-US" w:eastAsia="en-US"/>
        </w:rPr>
        <w:t>Facilitation of access to information</w:t>
      </w:r>
    </w:p>
    <w:p w:rsidR="00262D92" w:rsidRPr="00262D92" w:rsidRDefault="00262D92" w:rsidP="00262D92">
      <w:pPr>
        <w:spacing w:before="243" w:line="303" w:lineRule="exact"/>
        <w:ind w:left="216"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Regulated markets shall have arrangements which are easily accessible, free of charge and published on their website to facilitate access of their members or participants to information which has been made public under the conditions established by Union law.</w:t>
      </w:r>
    </w:p>
    <w:p w:rsidR="00262D92" w:rsidRPr="00262D92" w:rsidRDefault="00262D92" w:rsidP="00262D92">
      <w:pPr>
        <w:spacing w:before="704" w:line="278" w:lineRule="exact"/>
        <w:jc w:val="center"/>
        <w:textAlignment w:val="baseline"/>
        <w:rPr>
          <w:rFonts w:ascii="Times New Roman" w:eastAsia="Times New Roman" w:hAnsi="Times New Roman"/>
          <w:i/>
          <w:color w:val="000000"/>
          <w:spacing w:val="1"/>
          <w:sz w:val="24"/>
          <w:lang w:val="en-US" w:eastAsia="en-US"/>
        </w:rPr>
      </w:pPr>
      <w:r w:rsidRPr="00262D92">
        <w:rPr>
          <w:rFonts w:ascii="Times New Roman" w:eastAsia="Times New Roman" w:hAnsi="Times New Roman"/>
          <w:i/>
          <w:color w:val="000000"/>
          <w:spacing w:val="1"/>
          <w:sz w:val="24"/>
          <w:lang w:val="en-US" w:eastAsia="en-US"/>
        </w:rPr>
        <w:t>Article 8</w:t>
      </w:r>
    </w:p>
    <w:p w:rsidR="00262D92" w:rsidRPr="00262D92" w:rsidRDefault="00262D92" w:rsidP="00262D92">
      <w:pPr>
        <w:spacing w:before="147" w:line="274" w:lineRule="exact"/>
        <w:jc w:val="center"/>
        <w:textAlignment w:val="baseline"/>
        <w:rPr>
          <w:rFonts w:ascii="Times New Roman" w:eastAsia="Times New Roman" w:hAnsi="Times New Roman"/>
          <w:b/>
          <w:color w:val="000000"/>
          <w:sz w:val="24"/>
          <w:lang w:val="en-US" w:eastAsia="en-US"/>
        </w:rPr>
      </w:pPr>
      <w:r w:rsidRPr="00262D92">
        <w:rPr>
          <w:rFonts w:ascii="Times New Roman" w:eastAsia="Times New Roman" w:hAnsi="Times New Roman"/>
          <w:b/>
          <w:color w:val="000000"/>
          <w:sz w:val="24"/>
          <w:lang w:val="en-US" w:eastAsia="en-US"/>
        </w:rPr>
        <w:t>Entry into force and application</w:t>
      </w:r>
    </w:p>
    <w:p w:rsidR="00262D92" w:rsidRPr="00262D92" w:rsidRDefault="00262D92" w:rsidP="00262D92">
      <w:pPr>
        <w:spacing w:before="250" w:line="303" w:lineRule="exact"/>
        <w:ind w:left="216" w:right="144"/>
        <w:jc w:val="lef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This Regulation shall enter into force on the twentieth day following that of its publication in the Official Journal of the European Union.</w:t>
      </w:r>
    </w:p>
    <w:p w:rsidR="00262D92" w:rsidRPr="00262D92" w:rsidRDefault="00262D92" w:rsidP="00262D92">
      <w:pPr>
        <w:spacing w:before="276" w:line="274" w:lineRule="exact"/>
        <w:ind w:left="216"/>
        <w:jc w:val="left"/>
        <w:textAlignment w:val="baseline"/>
        <w:rPr>
          <w:rFonts w:ascii="Times New Roman" w:eastAsia="Times New Roman" w:hAnsi="Times New Roman"/>
          <w:color w:val="000000"/>
          <w:spacing w:val="-2"/>
          <w:sz w:val="24"/>
          <w:lang w:val="en-US" w:eastAsia="en-US"/>
        </w:rPr>
      </w:pPr>
      <w:r w:rsidRPr="00262D92">
        <w:rPr>
          <w:rFonts w:ascii="Times New Roman" w:eastAsia="Times New Roman" w:hAnsi="Times New Roman"/>
          <w:color w:val="000000"/>
          <w:spacing w:val="-2"/>
          <w:sz w:val="24"/>
          <w:lang w:val="en-US" w:eastAsia="en-US"/>
        </w:rPr>
        <w:t>It shall apply from 3 January 2017.</w:t>
      </w:r>
    </w:p>
    <w:p w:rsidR="00262D92" w:rsidRPr="00262D92" w:rsidRDefault="00262D92" w:rsidP="00262D92">
      <w:pPr>
        <w:jc w:val="left"/>
        <w:rPr>
          <w:rFonts w:ascii="Times New Roman" w:eastAsia="PMingLiU" w:hAnsi="Times New Roman"/>
          <w:lang w:val="en-US" w:eastAsia="en-US"/>
        </w:rPr>
        <w:sectPr w:rsidR="00262D92" w:rsidRPr="00262D92">
          <w:pgSz w:w="11909" w:h="16838"/>
          <w:pgMar w:top="540" w:right="1257" w:bottom="960" w:left="1252" w:header="720" w:footer="720" w:gutter="0"/>
          <w:cols w:space="720"/>
        </w:sectPr>
      </w:pPr>
    </w:p>
    <w:p w:rsidR="00262D92" w:rsidRPr="00262D92" w:rsidRDefault="00262D92" w:rsidP="00200930">
      <w:pPr>
        <w:tabs>
          <w:tab w:val="left" w:pos="720"/>
        </w:tabs>
        <w:spacing w:line="224" w:lineRule="exact"/>
        <w:jc w:val="left"/>
        <w:textAlignment w:val="baseline"/>
        <w:rPr>
          <w:rFonts w:ascii="Times New Roman" w:eastAsia="Times New Roman" w:hAnsi="Times New Roman"/>
          <w:color w:val="6177A8"/>
          <w:sz w:val="21"/>
          <w:lang w:val="en-US" w:eastAsia="en-US"/>
        </w:rPr>
      </w:pPr>
    </w:p>
    <w:p w:rsidR="00262D92" w:rsidRPr="00262D92" w:rsidRDefault="00262D92" w:rsidP="00262D92">
      <w:pPr>
        <w:spacing w:before="671" w:line="424" w:lineRule="exact"/>
        <w:textAlignment w:val="baseline"/>
        <w:rPr>
          <w:rFonts w:ascii="Times New Roman" w:eastAsia="Times New Roman" w:hAnsi="Times New Roman"/>
          <w:color w:val="000000"/>
          <w:sz w:val="24"/>
          <w:lang w:val="en-US" w:eastAsia="en-US"/>
        </w:rPr>
      </w:pPr>
      <w:r w:rsidRPr="00262D92">
        <w:rPr>
          <w:rFonts w:ascii="Times New Roman" w:eastAsia="Times New Roman" w:hAnsi="Times New Roman"/>
          <w:color w:val="000000"/>
          <w:sz w:val="24"/>
          <w:lang w:val="en-US" w:eastAsia="en-US"/>
        </w:rPr>
        <w:t>This Regulation shall be binding in its entirety and directly applicable in all Member States. Done at Brussels,</w:t>
      </w:r>
    </w:p>
    <w:p w:rsidR="00262D92" w:rsidRPr="00262D92" w:rsidRDefault="00262D92" w:rsidP="00262D92">
      <w:pPr>
        <w:spacing w:before="720" w:line="272" w:lineRule="exact"/>
        <w:ind w:left="4248" w:right="2592"/>
        <w:jc w:val="left"/>
        <w:textAlignment w:val="baseline"/>
        <w:rPr>
          <w:rFonts w:ascii="Times New Roman" w:eastAsia="Times New Roman" w:hAnsi="Times New Roman"/>
          <w:i/>
          <w:color w:val="000000"/>
          <w:spacing w:val="-1"/>
          <w:sz w:val="24"/>
          <w:lang w:val="en-US" w:eastAsia="en-US"/>
        </w:rPr>
      </w:pPr>
      <w:r w:rsidRPr="00262D92">
        <w:rPr>
          <w:rFonts w:ascii="Times New Roman" w:eastAsia="Times New Roman" w:hAnsi="Times New Roman"/>
          <w:i/>
          <w:color w:val="000000"/>
          <w:spacing w:val="-1"/>
          <w:sz w:val="24"/>
          <w:lang w:val="en-US" w:eastAsia="en-US"/>
        </w:rPr>
        <w:t>For the Commission The President</w:t>
      </w:r>
    </w:p>
    <w:p w:rsidR="00262D92" w:rsidRPr="00262D92" w:rsidRDefault="00262D92" w:rsidP="00262D92">
      <w:pPr>
        <w:spacing w:before="1003" w:line="271" w:lineRule="exact"/>
        <w:ind w:left="4248"/>
        <w:jc w:val="left"/>
        <w:textAlignment w:val="baseline"/>
        <w:rPr>
          <w:rFonts w:ascii="Times New Roman" w:eastAsia="Times New Roman" w:hAnsi="Times New Roman"/>
          <w:i/>
          <w:color w:val="000000"/>
          <w:sz w:val="24"/>
          <w:lang w:val="en-US" w:eastAsia="en-US"/>
        </w:rPr>
      </w:pPr>
      <w:r w:rsidRPr="00262D92">
        <w:rPr>
          <w:rFonts w:ascii="Times New Roman" w:eastAsia="Times New Roman" w:hAnsi="Times New Roman"/>
          <w:i/>
          <w:color w:val="000000"/>
          <w:sz w:val="24"/>
          <w:lang w:val="en-US" w:eastAsia="en-US"/>
        </w:rPr>
        <w:t>[For the Commission</w:t>
      </w:r>
    </w:p>
    <w:p w:rsidR="00262D92" w:rsidRPr="00262D92" w:rsidRDefault="00262D92" w:rsidP="00262D92">
      <w:pPr>
        <w:spacing w:before="3" w:line="271" w:lineRule="exact"/>
        <w:ind w:left="4248"/>
        <w:jc w:val="left"/>
        <w:textAlignment w:val="baseline"/>
        <w:rPr>
          <w:rFonts w:ascii="Times New Roman" w:eastAsia="Times New Roman" w:hAnsi="Times New Roman"/>
          <w:i/>
          <w:color w:val="000000"/>
          <w:sz w:val="24"/>
          <w:lang w:val="en-US" w:eastAsia="en-US"/>
        </w:rPr>
      </w:pPr>
      <w:r w:rsidRPr="00262D92">
        <w:rPr>
          <w:rFonts w:ascii="Times New Roman" w:eastAsia="Times New Roman" w:hAnsi="Times New Roman"/>
          <w:i/>
          <w:color w:val="000000"/>
          <w:sz w:val="24"/>
          <w:lang w:val="en-US" w:eastAsia="en-US"/>
        </w:rPr>
        <w:t>On behalf of the President</w:t>
      </w:r>
    </w:p>
    <w:p w:rsidR="00262D92" w:rsidRPr="00262D92" w:rsidRDefault="00262D92" w:rsidP="00262D92">
      <w:pPr>
        <w:spacing w:before="280" w:line="271" w:lineRule="exact"/>
        <w:ind w:left="4248"/>
        <w:jc w:val="left"/>
        <w:textAlignment w:val="baseline"/>
        <w:rPr>
          <w:rFonts w:ascii="Times New Roman" w:eastAsia="Times New Roman" w:hAnsi="Times New Roman"/>
          <w:i/>
          <w:color w:val="000000"/>
          <w:sz w:val="24"/>
          <w:lang w:val="en-US" w:eastAsia="en-US"/>
        </w:rPr>
      </w:pPr>
      <w:r w:rsidRPr="00262D92">
        <w:rPr>
          <w:rFonts w:ascii="Times New Roman" w:eastAsia="Times New Roman" w:hAnsi="Times New Roman"/>
          <w:i/>
          <w:color w:val="000000"/>
          <w:sz w:val="24"/>
          <w:lang w:val="en-US" w:eastAsia="en-US"/>
        </w:rPr>
        <w:t>[Position]</w:t>
      </w:r>
    </w:p>
    <w:p w:rsidR="00903624" w:rsidRPr="00732881" w:rsidRDefault="00903624" w:rsidP="00614675">
      <w:pPr>
        <w:pStyle w:val="ssPara1"/>
      </w:pPr>
    </w:p>
    <w:sectPr w:rsidR="00903624" w:rsidRPr="00732881" w:rsidSect="002145F3">
      <w:headerReference w:type="even" r:id="rId13"/>
      <w:headerReference w:type="default" r:id="rId14"/>
      <w:footerReference w:type="even" r:id="rId15"/>
      <w:footerReference w:type="default" r:id="rId16"/>
      <w:headerReference w:type="first" r:id="rId17"/>
      <w:footerReference w:type="first" r:id="rId18"/>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A68" w:rsidRDefault="00886A68" w:rsidP="002145F3">
      <w:r>
        <w:separator/>
      </w:r>
    </w:p>
  </w:endnote>
  <w:endnote w:type="continuationSeparator" w:id="0">
    <w:p w:rsidR="00886A68" w:rsidRDefault="00886A68"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5C" w:rsidRDefault="00D80B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232B72" w:rsidP="002172F2">
    <w:pPr>
      <w:pStyle w:val="Footer"/>
      <w:tabs>
        <w:tab w:val="right" w:pos="9540"/>
      </w:tabs>
      <w:rPr>
        <w:sz w:val="20"/>
      </w:rPr>
    </w:pPr>
    <w:bookmarkStart w:id="2" w:name="bmkDocRefContinuation"/>
    <w:r>
      <w:t>FMFS/072735-00007/CXMS/SJWA</w:t>
    </w:r>
    <w:bookmarkEnd w:id="2"/>
    <w:r w:rsidR="002145F3" w:rsidRPr="00FA6CFE">
      <w:t xml:space="preserve">   </w:t>
    </w:r>
    <w:bookmarkStart w:id="3" w:name="bmkAssetContinuation"/>
    <w:r>
      <w:t>SJWA(LDN7W20998)</w:t>
    </w:r>
    <w:bookmarkEnd w:id="3"/>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sidR="002145F3">
      <w:rPr>
        <w:rStyle w:val="PageNumber"/>
        <w:noProof/>
      </w:rPr>
      <w:t>2</w:t>
    </w:r>
    <w:r w:rsidR="002145F3" w:rsidRPr="00FA6CFE">
      <w:rPr>
        <w:rStyle w:val="PageNumber"/>
      </w:rPr>
      <w:fldChar w:fldCharType="end"/>
    </w:r>
    <w:r w:rsidR="002145F3" w:rsidRPr="00FA6CFE">
      <w:tab/>
      <w:t xml:space="preserve"> </w:t>
    </w:r>
    <w:bookmarkStart w:id="4" w:name="bmkDocIDContinuation"/>
    <w:r>
      <w:t>L_LIVE_EMEA1:29431732v1</w:t>
    </w:r>
    <w:bookmarkEnd w:id="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232B72">
    <w:pPr>
      <w:pStyle w:val="Footer"/>
      <w:tabs>
        <w:tab w:val="clear" w:pos="4763"/>
        <w:tab w:val="clear" w:pos="9497"/>
        <w:tab w:val="right" w:pos="9540"/>
        <w:tab w:val="right" w:pos="9570"/>
      </w:tabs>
    </w:pPr>
    <w:bookmarkStart w:id="5" w:name="bmkDocRef"/>
    <w:r>
      <w:t>FMFS/072735-00007/CXMS/SJWA</w:t>
    </w:r>
    <w:bookmarkEnd w:id="5"/>
    <w:r w:rsidR="002145F3" w:rsidRPr="00FA6CFE">
      <w:t xml:space="preserve">  </w:t>
    </w:r>
    <w:bookmarkStart w:id="6" w:name="bmkAsset"/>
    <w:r>
      <w:t>SJWA(LDN7W20998)</w:t>
    </w:r>
    <w:bookmarkEnd w:id="6"/>
    <w:r w:rsidR="002145F3" w:rsidRPr="00FA6CFE">
      <w:tab/>
    </w:r>
    <w:bookmarkStart w:id="7" w:name="bmkDocID"/>
    <w:r>
      <w:t>L_LIVE_EMEA1:29431732v1</w:t>
    </w:r>
    <w:bookmarkEnd w:id="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A68" w:rsidRDefault="00886A68" w:rsidP="002145F3">
      <w:r>
        <w:separator/>
      </w:r>
    </w:p>
  </w:footnote>
  <w:footnote w:type="continuationSeparator" w:id="0">
    <w:p w:rsidR="00886A68" w:rsidRDefault="00886A68"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5C" w:rsidRDefault="00D80B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5C" w:rsidRDefault="00D80B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5C" w:rsidRDefault="00D80B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0222BC"/>
    <w:lvl w:ilvl="0">
      <w:start w:val="1"/>
      <w:numFmt w:val="decimal"/>
      <w:lvlText w:val="%1."/>
      <w:lvlJc w:val="left"/>
      <w:pPr>
        <w:tabs>
          <w:tab w:val="num" w:pos="1492"/>
        </w:tabs>
        <w:ind w:left="1492" w:hanging="360"/>
      </w:pPr>
    </w:lvl>
  </w:abstractNum>
  <w:abstractNum w:abstractNumId="1">
    <w:nsid w:val="FFFFFF7D"/>
    <w:multiLevelType w:val="singleLevel"/>
    <w:tmpl w:val="0DE0C7AE"/>
    <w:lvl w:ilvl="0">
      <w:start w:val="1"/>
      <w:numFmt w:val="decimal"/>
      <w:lvlText w:val="%1."/>
      <w:lvlJc w:val="left"/>
      <w:pPr>
        <w:tabs>
          <w:tab w:val="num" w:pos="1209"/>
        </w:tabs>
        <w:ind w:left="1209" w:hanging="360"/>
      </w:pPr>
    </w:lvl>
  </w:abstractNum>
  <w:abstractNum w:abstractNumId="2">
    <w:nsid w:val="FFFFFF7E"/>
    <w:multiLevelType w:val="singleLevel"/>
    <w:tmpl w:val="0416FA08"/>
    <w:lvl w:ilvl="0">
      <w:start w:val="1"/>
      <w:numFmt w:val="decimal"/>
      <w:lvlText w:val="%1."/>
      <w:lvlJc w:val="left"/>
      <w:pPr>
        <w:tabs>
          <w:tab w:val="num" w:pos="926"/>
        </w:tabs>
        <w:ind w:left="926" w:hanging="360"/>
      </w:pPr>
    </w:lvl>
  </w:abstractNum>
  <w:abstractNum w:abstractNumId="3">
    <w:nsid w:val="FFFFFF7F"/>
    <w:multiLevelType w:val="singleLevel"/>
    <w:tmpl w:val="EF98302C"/>
    <w:lvl w:ilvl="0">
      <w:start w:val="1"/>
      <w:numFmt w:val="decimal"/>
      <w:lvlText w:val="%1."/>
      <w:lvlJc w:val="left"/>
      <w:pPr>
        <w:tabs>
          <w:tab w:val="num" w:pos="643"/>
        </w:tabs>
        <w:ind w:left="643" w:hanging="360"/>
      </w:pPr>
    </w:lvl>
  </w:abstractNum>
  <w:abstractNum w:abstractNumId="4">
    <w:nsid w:val="FFFFFF80"/>
    <w:multiLevelType w:val="singleLevel"/>
    <w:tmpl w:val="D23AB9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E03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F61D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20E8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8A06EA"/>
    <w:lvl w:ilvl="0">
      <w:start w:val="1"/>
      <w:numFmt w:val="decimal"/>
      <w:lvlText w:val="%1."/>
      <w:lvlJc w:val="left"/>
      <w:pPr>
        <w:tabs>
          <w:tab w:val="num" w:pos="360"/>
        </w:tabs>
        <w:ind w:left="360" w:hanging="360"/>
      </w:pPr>
    </w:lvl>
  </w:abstractNum>
  <w:abstractNum w:abstractNumId="9">
    <w:nsid w:val="FFFFFF89"/>
    <w:multiLevelType w:val="singleLevel"/>
    <w:tmpl w:val="E60ACD42"/>
    <w:lvl w:ilvl="0">
      <w:start w:val="1"/>
      <w:numFmt w:val="bullet"/>
      <w:lvlText w:val=""/>
      <w:lvlJc w:val="left"/>
      <w:pPr>
        <w:tabs>
          <w:tab w:val="num" w:pos="360"/>
        </w:tabs>
        <w:ind w:left="360" w:hanging="360"/>
      </w:pPr>
      <w:rPr>
        <w:rFonts w:ascii="Symbol" w:hAnsi="Symbol" w:hint="default"/>
      </w:rPr>
    </w:lvl>
  </w:abstractNum>
  <w:abstractNum w:abstractNumId="10">
    <w:nsid w:val="024E1E52"/>
    <w:multiLevelType w:val="hybridMultilevel"/>
    <w:tmpl w:val="75F472BC"/>
    <w:lvl w:ilvl="0" w:tplc="1CEAB222">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11">
    <w:nsid w:val="07270173"/>
    <w:multiLevelType w:val="multilevel"/>
    <w:tmpl w:val="71CADD9C"/>
    <w:numStyleLink w:val="AppendixNumbering"/>
  </w:abstractNum>
  <w:abstractNum w:abstractNumId="12">
    <w:nsid w:val="097454B6"/>
    <w:multiLevelType w:val="multilevel"/>
    <w:tmpl w:val="1DD01DC6"/>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EE06807"/>
    <w:multiLevelType w:val="multilevel"/>
    <w:tmpl w:val="49161E16"/>
    <w:lvl w:ilvl="0">
      <w:start w:val="5"/>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FE70C8D"/>
    <w:multiLevelType w:val="multilevel"/>
    <w:tmpl w:val="42040FBA"/>
    <w:lvl w:ilvl="0">
      <w:start w:val="2"/>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2D5649B"/>
    <w:multiLevelType w:val="multilevel"/>
    <w:tmpl w:val="E7229E7C"/>
    <w:numStyleLink w:val="ExhibitNumbering"/>
  </w:abstractNum>
  <w:abstractNum w:abstractNumId="19">
    <w:nsid w:val="34281940"/>
    <w:multiLevelType w:val="multilevel"/>
    <w:tmpl w:val="71CADD9C"/>
    <w:numStyleLink w:val="AppendixNumbering"/>
  </w:abstractNum>
  <w:abstractNum w:abstractNumId="20">
    <w:nsid w:val="355E0BB2"/>
    <w:multiLevelType w:val="multilevel"/>
    <w:tmpl w:val="54D02D98"/>
    <w:numStyleLink w:val="PartNumbering"/>
  </w:abstractNum>
  <w:abstractNum w:abstractNumId="21">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4E2B15"/>
    <w:multiLevelType w:val="multilevel"/>
    <w:tmpl w:val="2096705E"/>
    <w:lvl w:ilvl="0">
      <w:start w:val="1"/>
      <w:numFmt w:val="lowerLetter"/>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85586C"/>
    <w:multiLevelType w:val="multilevel"/>
    <w:tmpl w:val="E7229E7C"/>
    <w:numStyleLink w:val="ExhibitNumbering"/>
  </w:abstractNum>
  <w:abstractNum w:abstractNumId="25">
    <w:nsid w:val="41A17160"/>
    <w:multiLevelType w:val="multilevel"/>
    <w:tmpl w:val="6910031A"/>
    <w:lvl w:ilvl="0">
      <w:start w:val="9"/>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400737D"/>
    <w:multiLevelType w:val="multilevel"/>
    <w:tmpl w:val="C8D6362C"/>
    <w:numStyleLink w:val="ListHeadings"/>
  </w:abstractNum>
  <w:abstractNum w:abstractNumId="27">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9F20200"/>
    <w:multiLevelType w:val="multilevel"/>
    <w:tmpl w:val="CA4C5D62"/>
    <w:lvl w:ilvl="0">
      <w:start w:val="1"/>
      <w:numFmt w:val="lowerLetter"/>
      <w:lvlText w:val="(%1)"/>
      <w:lvlJc w:val="left"/>
      <w:pPr>
        <w:tabs>
          <w:tab w:val="left" w:pos="432"/>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B4B3CB0"/>
    <w:multiLevelType w:val="multilevel"/>
    <w:tmpl w:val="E4F2B210"/>
    <w:lvl w:ilvl="0">
      <w:start w:val="1"/>
      <w:numFmt w:val="lowerLetter"/>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FA6347C"/>
    <w:multiLevelType w:val="multilevel"/>
    <w:tmpl w:val="7F846696"/>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0674D1"/>
    <w:multiLevelType w:val="multilevel"/>
    <w:tmpl w:val="93F8131A"/>
    <w:lvl w:ilvl="0">
      <w:start w:val="1"/>
      <w:numFmt w:val="decimal"/>
      <w:lvlText w:val="(%1)"/>
      <w:lvlJc w:val="left"/>
      <w:pPr>
        <w:tabs>
          <w:tab w:val="left" w:pos="792"/>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8E29CB"/>
    <w:multiLevelType w:val="multilevel"/>
    <w:tmpl w:val="06E2487A"/>
    <w:numStyleLink w:val="ScheduleNumbering"/>
  </w:abstractNum>
  <w:abstractNum w:abstractNumId="33">
    <w:nsid w:val="6DC023DB"/>
    <w:multiLevelType w:val="multilevel"/>
    <w:tmpl w:val="54D02D98"/>
    <w:numStyleLink w:val="PartNumbering"/>
  </w:abstractNum>
  <w:abstractNum w:abstractNumId="34">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35">
    <w:nsid w:val="7C534327"/>
    <w:multiLevelType w:val="multilevel"/>
    <w:tmpl w:val="D4DC9AC2"/>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7618A8"/>
    <w:multiLevelType w:val="multilevel"/>
    <w:tmpl w:val="1130A0CA"/>
    <w:numStyleLink w:val="SectionNumbering"/>
  </w:abstractNum>
  <w:num w:numId="1">
    <w:abstractNumId w:val="27"/>
  </w:num>
  <w:num w:numId="2">
    <w:abstractNumId w:val="14"/>
  </w:num>
  <w:num w:numId="3">
    <w:abstractNumId w:val="17"/>
  </w:num>
  <w:num w:numId="4">
    <w:abstractNumId w:val="15"/>
  </w:num>
  <w:num w:numId="5">
    <w:abstractNumId w:val="21"/>
  </w:num>
  <w:num w:numId="6">
    <w:abstractNumId w:val="11"/>
  </w:num>
  <w:num w:numId="7">
    <w:abstractNumId w:val="24"/>
  </w:num>
  <w:num w:numId="8">
    <w:abstractNumId w:val="26"/>
  </w:num>
  <w:num w:numId="9">
    <w:abstractNumId w:val="33"/>
  </w:num>
  <w:num w:numId="10">
    <w:abstractNumId w:val="3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9"/>
  </w:num>
  <w:num w:numId="22">
    <w:abstractNumId w:val="18"/>
  </w:num>
  <w:num w:numId="23">
    <w:abstractNumId w:val="20"/>
  </w:num>
  <w:num w:numId="24">
    <w:abstractNumId w:val="22"/>
  </w:num>
  <w:num w:numId="25">
    <w:abstractNumId w:val="36"/>
  </w:num>
  <w:num w:numId="26">
    <w:abstractNumId w:val="36"/>
  </w:num>
  <w:num w:numId="27">
    <w:abstractNumId w:val="31"/>
  </w:num>
  <w:num w:numId="28">
    <w:abstractNumId w:val="13"/>
  </w:num>
  <w:num w:numId="29">
    <w:abstractNumId w:val="25"/>
  </w:num>
  <w:num w:numId="30">
    <w:abstractNumId w:val="16"/>
  </w:num>
  <w:num w:numId="31">
    <w:abstractNumId w:val="28"/>
  </w:num>
  <w:num w:numId="32">
    <w:abstractNumId w:val="35"/>
  </w:num>
  <w:num w:numId="33">
    <w:abstractNumId w:val="29"/>
  </w:num>
  <w:num w:numId="34">
    <w:abstractNumId w:val="30"/>
  </w:num>
  <w:num w:numId="35">
    <w:abstractNumId w:val="12"/>
  </w:num>
  <w:num w:numId="36">
    <w:abstractNumId w:val="23"/>
  </w:num>
  <w:num w:numId="3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886A68"/>
    <w:rsid w:val="0003545D"/>
    <w:rsid w:val="00044E5C"/>
    <w:rsid w:val="00057BC7"/>
    <w:rsid w:val="00101241"/>
    <w:rsid w:val="001060FD"/>
    <w:rsid w:val="001138DB"/>
    <w:rsid w:val="00116C4D"/>
    <w:rsid w:val="00134261"/>
    <w:rsid w:val="001570C6"/>
    <w:rsid w:val="00176254"/>
    <w:rsid w:val="00191C60"/>
    <w:rsid w:val="00193306"/>
    <w:rsid w:val="00194B5A"/>
    <w:rsid w:val="001D07B3"/>
    <w:rsid w:val="00200930"/>
    <w:rsid w:val="00206333"/>
    <w:rsid w:val="002068C6"/>
    <w:rsid w:val="002145F3"/>
    <w:rsid w:val="002172F2"/>
    <w:rsid w:val="00232B72"/>
    <w:rsid w:val="0024268B"/>
    <w:rsid w:val="00260099"/>
    <w:rsid w:val="00262D92"/>
    <w:rsid w:val="002A6353"/>
    <w:rsid w:val="002B301D"/>
    <w:rsid w:val="00362631"/>
    <w:rsid w:val="00373FD4"/>
    <w:rsid w:val="004078CF"/>
    <w:rsid w:val="00414ED0"/>
    <w:rsid w:val="004357E6"/>
    <w:rsid w:val="00455A1A"/>
    <w:rsid w:val="00457E41"/>
    <w:rsid w:val="00465953"/>
    <w:rsid w:val="004928A1"/>
    <w:rsid w:val="00493ADC"/>
    <w:rsid w:val="004A360E"/>
    <w:rsid w:val="004D760D"/>
    <w:rsid w:val="004D78CD"/>
    <w:rsid w:val="004E3F51"/>
    <w:rsid w:val="0050793D"/>
    <w:rsid w:val="00566B4A"/>
    <w:rsid w:val="00600524"/>
    <w:rsid w:val="00614675"/>
    <w:rsid w:val="006330D1"/>
    <w:rsid w:val="00665A99"/>
    <w:rsid w:val="006D01F6"/>
    <w:rsid w:val="006E4E77"/>
    <w:rsid w:val="00703EDF"/>
    <w:rsid w:val="0072141D"/>
    <w:rsid w:val="0072322D"/>
    <w:rsid w:val="00724DEA"/>
    <w:rsid w:val="00732881"/>
    <w:rsid w:val="0073359A"/>
    <w:rsid w:val="007344D2"/>
    <w:rsid w:val="00761BF6"/>
    <w:rsid w:val="007A33BD"/>
    <w:rsid w:val="007D6E17"/>
    <w:rsid w:val="008353F9"/>
    <w:rsid w:val="00851935"/>
    <w:rsid w:val="00886A68"/>
    <w:rsid w:val="008944CD"/>
    <w:rsid w:val="008C0FC8"/>
    <w:rsid w:val="008E2CB9"/>
    <w:rsid w:val="008F46B3"/>
    <w:rsid w:val="00903624"/>
    <w:rsid w:val="00923465"/>
    <w:rsid w:val="009D4EB0"/>
    <w:rsid w:val="009F102B"/>
    <w:rsid w:val="00A74E44"/>
    <w:rsid w:val="00A87ADC"/>
    <w:rsid w:val="00B00EC2"/>
    <w:rsid w:val="00B04590"/>
    <w:rsid w:val="00B147B4"/>
    <w:rsid w:val="00B25E0D"/>
    <w:rsid w:val="00B31F8B"/>
    <w:rsid w:val="00B53B05"/>
    <w:rsid w:val="00C31756"/>
    <w:rsid w:val="00C45AC9"/>
    <w:rsid w:val="00CD2DD3"/>
    <w:rsid w:val="00D10B49"/>
    <w:rsid w:val="00D2677F"/>
    <w:rsid w:val="00D60D03"/>
    <w:rsid w:val="00D80B5C"/>
    <w:rsid w:val="00D8197C"/>
    <w:rsid w:val="00D87CAA"/>
    <w:rsid w:val="00DE4ACA"/>
    <w:rsid w:val="00E147B9"/>
    <w:rsid w:val="00E23D22"/>
    <w:rsid w:val="00E51D18"/>
    <w:rsid w:val="00E85890"/>
    <w:rsid w:val="00E95447"/>
    <w:rsid w:val="00E966B2"/>
    <w:rsid w:val="00EA5D4F"/>
    <w:rsid w:val="00F07EA1"/>
    <w:rsid w:val="00F27B5C"/>
    <w:rsid w:val="00F830B1"/>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C8618-A833-4100-A57C-BB376F389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4</TotalTime>
  <Pages>9</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8</cp:revision>
  <dcterms:created xsi:type="dcterms:W3CDTF">2015-11-16T13:17:00Z</dcterms:created>
  <dcterms:modified xsi:type="dcterms:W3CDTF">2015-11-19T15:32:00Z</dcterms:modified>
</cp:coreProperties>
</file>