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1A1" w:rsidRPr="002971A1" w:rsidRDefault="002971A1" w:rsidP="002971A1">
      <w:pPr>
        <w:pStyle w:val="ssPara1"/>
        <w:jc w:val="center"/>
        <w:rPr>
          <w:b/>
        </w:rPr>
      </w:pPr>
      <w:bookmarkStart w:id="0" w:name="_GoBack"/>
      <w:bookmarkEnd w:id="0"/>
      <w:r w:rsidRPr="002971A1">
        <w:rPr>
          <w:b/>
        </w:rPr>
        <w:t>Complaints Handling</w:t>
      </w:r>
    </w:p>
    <w:p w:rsidR="002971A1" w:rsidRPr="002971A1" w:rsidRDefault="002971A1" w:rsidP="002971A1">
      <w:pPr>
        <w:pStyle w:val="ssPara1"/>
        <w:jc w:val="center"/>
        <w:rPr>
          <w:b/>
        </w:rPr>
      </w:pPr>
      <w:r w:rsidRPr="002971A1">
        <w:rPr>
          <w:b/>
        </w:rPr>
        <w:t xml:space="preserve">ESMA </w:t>
      </w:r>
      <w:hyperlink r:id="rId8" w:history="1">
        <w:r w:rsidRPr="002971A1">
          <w:rPr>
            <w:rStyle w:val="Hyperlink"/>
          </w:rPr>
          <w:t>Technical Advice</w:t>
        </w:r>
      </w:hyperlink>
      <w:r w:rsidRPr="002971A1">
        <w:rPr>
          <w:b/>
        </w:rPr>
        <w:t xml:space="preserve"> (19 December 2014)</w:t>
      </w:r>
      <w:r>
        <w:rPr>
          <w:b/>
        </w:rPr>
        <w:br/>
      </w:r>
      <w:r w:rsidRPr="002971A1">
        <w:rPr>
          <w:b/>
        </w:rPr>
        <w:t>vs.</w:t>
      </w:r>
      <w:r>
        <w:rPr>
          <w:b/>
        </w:rPr>
        <w:br/>
      </w:r>
      <w:r w:rsidRPr="002971A1">
        <w:rPr>
          <w:b/>
        </w:rPr>
        <w:t xml:space="preserve">European Commission </w:t>
      </w:r>
      <w:hyperlink r:id="rId9" w:history="1">
        <w:r w:rsidRPr="002971A1">
          <w:rPr>
            <w:rStyle w:val="Hyperlink"/>
          </w:rPr>
          <w:t>Draft Delegated Regulation</w:t>
        </w:r>
      </w:hyperlink>
      <w:r w:rsidRPr="002971A1">
        <w:rPr>
          <w:b/>
        </w:rPr>
        <w:t xml:space="preserve"> (25 April 2016)</w:t>
      </w:r>
    </w:p>
    <w:p w:rsidR="002971A1" w:rsidRPr="001E0645" w:rsidRDefault="002971A1" w:rsidP="00A7460B">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938"/>
      </w:tblGrid>
      <w:tr w:rsidR="002971A1" w:rsidRPr="001E0645" w:rsidTr="002971A1">
        <w:tc>
          <w:tcPr>
            <w:tcW w:w="675" w:type="dxa"/>
            <w:shd w:val="clear" w:color="auto" w:fill="92D050"/>
          </w:tcPr>
          <w:p w:rsidR="002971A1" w:rsidRPr="001E0645" w:rsidRDefault="002971A1" w:rsidP="00A7460B">
            <w:pPr>
              <w:rPr>
                <w:rFonts w:cs="Arial"/>
                <w:szCs w:val="20"/>
              </w:rPr>
            </w:pPr>
          </w:p>
        </w:tc>
        <w:tc>
          <w:tcPr>
            <w:tcW w:w="7938" w:type="dxa"/>
          </w:tcPr>
          <w:p w:rsidR="002971A1" w:rsidRPr="001E0645" w:rsidRDefault="002971A1" w:rsidP="001F21EF">
            <w:pPr>
              <w:rPr>
                <w:rFonts w:cs="Arial"/>
                <w:szCs w:val="20"/>
              </w:rPr>
            </w:pPr>
            <w:r w:rsidRPr="001E0645">
              <w:rPr>
                <w:rFonts w:cs="Arial"/>
                <w:szCs w:val="20"/>
              </w:rPr>
              <w:t>No change or minor / immaterial change</w:t>
            </w:r>
          </w:p>
        </w:tc>
      </w:tr>
      <w:tr w:rsidR="002971A1" w:rsidRPr="001E0645" w:rsidTr="002971A1">
        <w:tc>
          <w:tcPr>
            <w:tcW w:w="675" w:type="dxa"/>
            <w:shd w:val="clear" w:color="auto" w:fill="FFC000"/>
          </w:tcPr>
          <w:p w:rsidR="002971A1" w:rsidRPr="001E0645" w:rsidRDefault="002971A1" w:rsidP="00A7460B">
            <w:pPr>
              <w:rPr>
                <w:rFonts w:cs="Arial"/>
                <w:szCs w:val="20"/>
              </w:rPr>
            </w:pPr>
          </w:p>
        </w:tc>
        <w:tc>
          <w:tcPr>
            <w:tcW w:w="7938" w:type="dxa"/>
          </w:tcPr>
          <w:p w:rsidR="002971A1" w:rsidRPr="001E0645" w:rsidRDefault="002971A1" w:rsidP="002F49E3">
            <w:pPr>
              <w:rPr>
                <w:rFonts w:cs="Arial"/>
                <w:szCs w:val="20"/>
              </w:rPr>
            </w:pPr>
            <w:r w:rsidRPr="001E0645">
              <w:rPr>
                <w:rFonts w:cs="Arial"/>
                <w:szCs w:val="20"/>
              </w:rPr>
              <w:t>Change to be reviewed, but not requiring gap assessment to be revisited with business</w:t>
            </w:r>
          </w:p>
        </w:tc>
      </w:tr>
      <w:tr w:rsidR="002971A1" w:rsidRPr="001E0645" w:rsidTr="002971A1">
        <w:tc>
          <w:tcPr>
            <w:tcW w:w="675" w:type="dxa"/>
            <w:shd w:val="clear" w:color="auto" w:fill="FF0000"/>
          </w:tcPr>
          <w:p w:rsidR="002971A1" w:rsidRPr="001E0645" w:rsidRDefault="002971A1" w:rsidP="00A7460B">
            <w:pPr>
              <w:rPr>
                <w:rFonts w:cs="Arial"/>
                <w:szCs w:val="20"/>
              </w:rPr>
            </w:pPr>
          </w:p>
        </w:tc>
        <w:tc>
          <w:tcPr>
            <w:tcW w:w="7938" w:type="dxa"/>
          </w:tcPr>
          <w:p w:rsidR="002971A1" w:rsidRPr="001E0645" w:rsidRDefault="002971A1" w:rsidP="002F49E3">
            <w:pPr>
              <w:rPr>
                <w:rFonts w:cs="Arial"/>
                <w:szCs w:val="20"/>
              </w:rPr>
            </w:pPr>
            <w:r w:rsidRPr="001E0645">
              <w:rPr>
                <w:rFonts w:cs="Arial"/>
                <w:szCs w:val="20"/>
              </w:rPr>
              <w:t xml:space="preserve">Significant change requiring detailed review </w:t>
            </w:r>
          </w:p>
        </w:tc>
      </w:tr>
    </w:tbl>
    <w:p w:rsidR="002971A1" w:rsidRPr="001E0645" w:rsidRDefault="002971A1" w:rsidP="00A7460B">
      <w:pPr>
        <w:rPr>
          <w:rFonts w:cs="Arial"/>
          <w:szCs w:val="20"/>
        </w:rPr>
      </w:pPr>
    </w:p>
    <w:p w:rsidR="002971A1" w:rsidRPr="001E0645" w:rsidRDefault="002971A1" w:rsidP="00B14584">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gridCol w:w="8931"/>
      </w:tblGrid>
      <w:tr w:rsidR="00C14BD4" w:rsidRPr="00C14BD4" w:rsidTr="00C14BD4">
        <w:tc>
          <w:tcPr>
            <w:tcW w:w="2518" w:type="dxa"/>
            <w:shd w:val="clear" w:color="auto" w:fill="32464D"/>
          </w:tcPr>
          <w:p w:rsidR="002971A1" w:rsidRPr="00C14BD4" w:rsidRDefault="002971A1" w:rsidP="001955B3">
            <w:pPr>
              <w:jc w:val="center"/>
              <w:rPr>
                <w:rFonts w:cs="Arial"/>
                <w:b/>
                <w:color w:val="FFFFFF" w:themeColor="background1"/>
                <w:szCs w:val="20"/>
              </w:rPr>
            </w:pPr>
            <w:r w:rsidRPr="00C14BD4">
              <w:rPr>
                <w:rFonts w:cs="Arial"/>
                <w:b/>
                <w:color w:val="FFFFFF" w:themeColor="background1"/>
                <w:szCs w:val="20"/>
              </w:rPr>
              <w:t>ESMA Technical Advice</w:t>
            </w:r>
          </w:p>
          <w:p w:rsidR="002971A1" w:rsidRPr="00C14BD4" w:rsidRDefault="002971A1" w:rsidP="001955B3">
            <w:pPr>
              <w:jc w:val="center"/>
              <w:rPr>
                <w:rFonts w:cs="Arial"/>
                <w:b/>
                <w:color w:val="FFFFFF" w:themeColor="background1"/>
                <w:szCs w:val="20"/>
              </w:rPr>
            </w:pPr>
            <w:r w:rsidRPr="00C14BD4">
              <w:rPr>
                <w:rFonts w:cs="Arial"/>
                <w:b/>
                <w:color w:val="FFFFFF" w:themeColor="background1"/>
                <w:szCs w:val="20"/>
              </w:rPr>
              <w:t>Section 2.4 page 23</w:t>
            </w:r>
          </w:p>
          <w:p w:rsidR="002971A1" w:rsidRPr="00C14BD4" w:rsidRDefault="002971A1" w:rsidP="001955B3">
            <w:pPr>
              <w:jc w:val="center"/>
              <w:rPr>
                <w:rFonts w:cs="Arial"/>
                <w:b/>
                <w:color w:val="FFFFFF" w:themeColor="background1"/>
                <w:szCs w:val="20"/>
              </w:rPr>
            </w:pPr>
          </w:p>
        </w:tc>
        <w:tc>
          <w:tcPr>
            <w:tcW w:w="2693" w:type="dxa"/>
            <w:shd w:val="clear" w:color="auto" w:fill="32464D"/>
          </w:tcPr>
          <w:p w:rsidR="002971A1" w:rsidRPr="00C14BD4" w:rsidRDefault="002971A1" w:rsidP="001955B3">
            <w:pPr>
              <w:jc w:val="center"/>
              <w:rPr>
                <w:rFonts w:cs="Arial"/>
                <w:b/>
                <w:color w:val="FFFFFF" w:themeColor="background1"/>
                <w:szCs w:val="20"/>
              </w:rPr>
            </w:pPr>
            <w:r w:rsidRPr="00C14BD4">
              <w:rPr>
                <w:rFonts w:cs="Arial"/>
                <w:b/>
                <w:color w:val="FFFFFF" w:themeColor="background1"/>
                <w:szCs w:val="20"/>
              </w:rPr>
              <w:t>Commission Draft Delegated Regulation</w:t>
            </w:r>
          </w:p>
          <w:p w:rsidR="002971A1" w:rsidRPr="00C14BD4" w:rsidRDefault="002971A1" w:rsidP="001955B3">
            <w:pPr>
              <w:jc w:val="center"/>
              <w:rPr>
                <w:rFonts w:cs="Arial"/>
                <w:b/>
                <w:color w:val="FFFFFF" w:themeColor="background1"/>
                <w:szCs w:val="20"/>
              </w:rPr>
            </w:pPr>
            <w:r w:rsidRPr="00C14BD4">
              <w:rPr>
                <w:rFonts w:cs="Arial"/>
                <w:b/>
                <w:color w:val="FFFFFF" w:themeColor="background1"/>
                <w:szCs w:val="20"/>
              </w:rPr>
              <w:t>Article 26</w:t>
            </w:r>
          </w:p>
        </w:tc>
        <w:tc>
          <w:tcPr>
            <w:tcW w:w="8931" w:type="dxa"/>
            <w:shd w:val="clear" w:color="auto" w:fill="32464D"/>
          </w:tcPr>
          <w:p w:rsidR="002971A1" w:rsidRPr="00C14BD4" w:rsidRDefault="002971A1" w:rsidP="001955B3">
            <w:pPr>
              <w:jc w:val="center"/>
              <w:rPr>
                <w:rFonts w:cs="Arial"/>
                <w:b/>
                <w:color w:val="FFFFFF" w:themeColor="background1"/>
                <w:szCs w:val="20"/>
              </w:rPr>
            </w:pPr>
            <w:r w:rsidRPr="00C14BD4">
              <w:rPr>
                <w:rFonts w:cs="Arial"/>
                <w:b/>
                <w:color w:val="FFFFFF" w:themeColor="background1"/>
                <w:szCs w:val="20"/>
              </w:rPr>
              <w:t>Summary of Key Changes in Commission Draft Delegated Regulation</w:t>
            </w:r>
          </w:p>
        </w:tc>
      </w:tr>
      <w:tr w:rsidR="002971A1" w:rsidRPr="001E0645" w:rsidTr="002960E1">
        <w:tc>
          <w:tcPr>
            <w:tcW w:w="2518" w:type="dxa"/>
            <w:shd w:val="clear" w:color="auto" w:fill="32464D"/>
          </w:tcPr>
          <w:p w:rsidR="002971A1" w:rsidRPr="00C14BD4" w:rsidRDefault="002971A1" w:rsidP="00D804FC">
            <w:pPr>
              <w:rPr>
                <w:rFonts w:cs="Arial"/>
                <w:color w:val="FFFFFF" w:themeColor="background1"/>
                <w:szCs w:val="20"/>
              </w:rPr>
            </w:pPr>
            <w:r w:rsidRPr="00C14BD4">
              <w:rPr>
                <w:rFonts w:cs="Arial"/>
                <w:color w:val="FFFFFF" w:themeColor="background1"/>
                <w:szCs w:val="20"/>
              </w:rPr>
              <w:t>Paragraph 1</w:t>
            </w:r>
          </w:p>
        </w:tc>
        <w:tc>
          <w:tcPr>
            <w:tcW w:w="2693" w:type="dxa"/>
          </w:tcPr>
          <w:p w:rsidR="002971A1" w:rsidRPr="001E0645" w:rsidRDefault="002971A1" w:rsidP="004C7C3F">
            <w:pPr>
              <w:rPr>
                <w:rFonts w:cs="Arial"/>
                <w:szCs w:val="20"/>
              </w:rPr>
            </w:pPr>
            <w:r w:rsidRPr="001E0645">
              <w:rPr>
                <w:rFonts w:cs="Arial"/>
                <w:szCs w:val="20"/>
              </w:rPr>
              <w:t>Article 26(1)</w:t>
            </w:r>
          </w:p>
        </w:tc>
        <w:tc>
          <w:tcPr>
            <w:tcW w:w="8931" w:type="dxa"/>
            <w:shd w:val="clear" w:color="auto" w:fill="FFC000"/>
          </w:tcPr>
          <w:p w:rsidR="002971A1" w:rsidRPr="001E0645" w:rsidRDefault="002971A1" w:rsidP="00822DBB">
            <w:pPr>
              <w:rPr>
                <w:rFonts w:cs="Arial"/>
                <w:szCs w:val="20"/>
              </w:rPr>
            </w:pPr>
            <w:r w:rsidRPr="001E0645">
              <w:rPr>
                <w:rFonts w:cs="Arial"/>
                <w:szCs w:val="20"/>
              </w:rPr>
              <w:t>New text to clarify that firms must implement effective and transparent complaints management policies and procedures for the prompt handling of clients’ complaints.</w:t>
            </w:r>
          </w:p>
          <w:p w:rsidR="002971A1" w:rsidRPr="001E0645" w:rsidRDefault="002971A1" w:rsidP="00822DBB">
            <w:pPr>
              <w:rPr>
                <w:rFonts w:cs="Arial"/>
                <w:szCs w:val="20"/>
              </w:rPr>
            </w:pPr>
            <w:r w:rsidRPr="001E0645">
              <w:rPr>
                <w:rFonts w:cs="Arial"/>
                <w:szCs w:val="20"/>
              </w:rPr>
              <w:t xml:space="preserve"> </w:t>
            </w:r>
          </w:p>
          <w:p w:rsidR="002971A1" w:rsidRPr="001E0645" w:rsidRDefault="002971A1" w:rsidP="008A3338">
            <w:pPr>
              <w:rPr>
                <w:rFonts w:cs="Arial"/>
                <w:szCs w:val="20"/>
              </w:rPr>
            </w:pPr>
            <w:r w:rsidRPr="001E0645">
              <w:rPr>
                <w:rFonts w:cs="Arial"/>
                <w:szCs w:val="20"/>
              </w:rPr>
              <w:t>New text specifying that investment firms must keep a record of the complaints received and the measures taken for their resolution.</w:t>
            </w:r>
          </w:p>
        </w:tc>
      </w:tr>
      <w:tr w:rsidR="002971A1" w:rsidRPr="001E0645" w:rsidTr="00C14BD4">
        <w:tc>
          <w:tcPr>
            <w:tcW w:w="2518" w:type="dxa"/>
            <w:shd w:val="clear" w:color="auto" w:fill="32464D"/>
          </w:tcPr>
          <w:p w:rsidR="002971A1" w:rsidRPr="00C14BD4" w:rsidRDefault="002971A1" w:rsidP="00D804FC">
            <w:pPr>
              <w:rPr>
                <w:rFonts w:cs="Arial"/>
                <w:color w:val="FFFFFF" w:themeColor="background1"/>
                <w:szCs w:val="20"/>
              </w:rPr>
            </w:pPr>
            <w:r w:rsidRPr="00C14BD4">
              <w:rPr>
                <w:rFonts w:cs="Arial"/>
                <w:color w:val="FFFFFF" w:themeColor="background1"/>
                <w:szCs w:val="20"/>
              </w:rPr>
              <w:t>Paragraph 2</w:t>
            </w:r>
          </w:p>
        </w:tc>
        <w:tc>
          <w:tcPr>
            <w:tcW w:w="2693" w:type="dxa"/>
          </w:tcPr>
          <w:p w:rsidR="002971A1" w:rsidRPr="001E0645" w:rsidRDefault="002971A1" w:rsidP="004C7C3F">
            <w:pPr>
              <w:rPr>
                <w:rFonts w:cs="Arial"/>
                <w:szCs w:val="20"/>
              </w:rPr>
            </w:pPr>
            <w:r w:rsidRPr="001E0645">
              <w:rPr>
                <w:rFonts w:cs="Arial"/>
                <w:szCs w:val="20"/>
              </w:rPr>
              <w:t>Article 26(2)</w:t>
            </w:r>
          </w:p>
        </w:tc>
        <w:tc>
          <w:tcPr>
            <w:tcW w:w="8931" w:type="dxa"/>
            <w:shd w:val="clear" w:color="auto" w:fill="92D050"/>
          </w:tcPr>
          <w:p w:rsidR="002971A1" w:rsidRPr="001E0645" w:rsidRDefault="002971A1" w:rsidP="00BD7939">
            <w:pPr>
              <w:rPr>
                <w:rFonts w:cs="Arial"/>
                <w:szCs w:val="20"/>
              </w:rPr>
            </w:pPr>
            <w:r w:rsidRPr="001E0645">
              <w:rPr>
                <w:rFonts w:cs="Arial"/>
                <w:szCs w:val="20"/>
              </w:rPr>
              <w:t>Minimal changes – language tidy-up</w:t>
            </w:r>
          </w:p>
        </w:tc>
      </w:tr>
      <w:tr w:rsidR="002971A1" w:rsidRPr="001E0645" w:rsidTr="002960E1">
        <w:tc>
          <w:tcPr>
            <w:tcW w:w="2518" w:type="dxa"/>
            <w:shd w:val="clear" w:color="auto" w:fill="32464D"/>
          </w:tcPr>
          <w:p w:rsidR="002971A1" w:rsidRPr="00C14BD4" w:rsidRDefault="002971A1" w:rsidP="00175581">
            <w:pPr>
              <w:rPr>
                <w:rFonts w:cs="Arial"/>
                <w:color w:val="FFFFFF" w:themeColor="background1"/>
                <w:szCs w:val="20"/>
              </w:rPr>
            </w:pPr>
            <w:r w:rsidRPr="00C14BD4">
              <w:rPr>
                <w:rFonts w:cs="Arial"/>
                <w:color w:val="FFFFFF" w:themeColor="background1"/>
                <w:szCs w:val="20"/>
              </w:rPr>
              <w:t>Paragraph 3</w:t>
            </w:r>
          </w:p>
        </w:tc>
        <w:tc>
          <w:tcPr>
            <w:tcW w:w="2693" w:type="dxa"/>
          </w:tcPr>
          <w:p w:rsidR="002971A1" w:rsidRPr="001E0645" w:rsidRDefault="002971A1" w:rsidP="004C7C3F">
            <w:pPr>
              <w:rPr>
                <w:rFonts w:cs="Arial"/>
                <w:szCs w:val="20"/>
              </w:rPr>
            </w:pPr>
            <w:r w:rsidRPr="001E0645">
              <w:rPr>
                <w:rFonts w:cs="Arial"/>
                <w:szCs w:val="20"/>
              </w:rPr>
              <w:t>Article 26(3)</w:t>
            </w:r>
          </w:p>
        </w:tc>
        <w:tc>
          <w:tcPr>
            <w:tcW w:w="8931" w:type="dxa"/>
            <w:shd w:val="clear" w:color="auto" w:fill="FFC000"/>
          </w:tcPr>
          <w:p w:rsidR="002971A1" w:rsidRPr="001E0645" w:rsidRDefault="002971A1" w:rsidP="00CB058A">
            <w:pPr>
              <w:rPr>
                <w:rFonts w:cs="Arial"/>
                <w:szCs w:val="20"/>
              </w:rPr>
            </w:pPr>
            <w:r w:rsidRPr="001E0645">
              <w:rPr>
                <w:rFonts w:cs="Arial"/>
                <w:szCs w:val="20"/>
              </w:rPr>
              <w:t>New text specifying that an investment firm’s complaints management function is responsible for the investigation of complaints.</w:t>
            </w:r>
          </w:p>
          <w:p w:rsidR="002971A1" w:rsidRPr="001E0645" w:rsidRDefault="002971A1">
            <w:pPr>
              <w:rPr>
                <w:rFonts w:cs="Arial"/>
                <w:szCs w:val="20"/>
              </w:rPr>
            </w:pPr>
          </w:p>
        </w:tc>
      </w:tr>
      <w:tr w:rsidR="002971A1" w:rsidRPr="001E0645" w:rsidTr="002960E1">
        <w:tc>
          <w:tcPr>
            <w:tcW w:w="2518" w:type="dxa"/>
            <w:shd w:val="clear" w:color="auto" w:fill="32464D"/>
          </w:tcPr>
          <w:p w:rsidR="002971A1" w:rsidRPr="00C14BD4" w:rsidRDefault="002971A1" w:rsidP="00D804FC">
            <w:pPr>
              <w:rPr>
                <w:rFonts w:cs="Arial"/>
                <w:color w:val="FFFFFF" w:themeColor="background1"/>
                <w:szCs w:val="20"/>
              </w:rPr>
            </w:pPr>
            <w:r w:rsidRPr="00C14BD4">
              <w:rPr>
                <w:rFonts w:cs="Arial"/>
                <w:color w:val="FFFFFF" w:themeColor="background1"/>
                <w:szCs w:val="20"/>
              </w:rPr>
              <w:t>Paragraph 4</w:t>
            </w:r>
          </w:p>
        </w:tc>
        <w:tc>
          <w:tcPr>
            <w:tcW w:w="2693" w:type="dxa"/>
          </w:tcPr>
          <w:p w:rsidR="002971A1" w:rsidRPr="001E0645" w:rsidRDefault="002971A1" w:rsidP="004C7C3F">
            <w:pPr>
              <w:rPr>
                <w:rFonts w:cs="Arial"/>
                <w:szCs w:val="20"/>
              </w:rPr>
            </w:pPr>
            <w:r w:rsidRPr="001E0645">
              <w:rPr>
                <w:rFonts w:cs="Arial"/>
                <w:szCs w:val="20"/>
              </w:rPr>
              <w:t>Article 26(4)</w:t>
            </w:r>
          </w:p>
        </w:tc>
        <w:tc>
          <w:tcPr>
            <w:tcW w:w="8931" w:type="dxa"/>
            <w:shd w:val="clear" w:color="auto" w:fill="FFC000"/>
          </w:tcPr>
          <w:p w:rsidR="002971A1" w:rsidRPr="001E0645" w:rsidRDefault="002971A1" w:rsidP="00BD7939">
            <w:pPr>
              <w:rPr>
                <w:rFonts w:cs="Arial"/>
                <w:szCs w:val="20"/>
              </w:rPr>
            </w:pPr>
            <w:r w:rsidRPr="001E0645">
              <w:rPr>
                <w:rFonts w:cs="Arial"/>
                <w:szCs w:val="20"/>
              </w:rPr>
              <w:t>New text clarifying that complaints handling communications includes communications with potential clients.</w:t>
            </w:r>
          </w:p>
        </w:tc>
      </w:tr>
      <w:tr w:rsidR="002971A1" w:rsidRPr="001E0645" w:rsidTr="00C14BD4">
        <w:tc>
          <w:tcPr>
            <w:tcW w:w="2518" w:type="dxa"/>
            <w:shd w:val="clear" w:color="auto" w:fill="32464D"/>
          </w:tcPr>
          <w:p w:rsidR="002971A1" w:rsidRPr="00C14BD4" w:rsidRDefault="002971A1" w:rsidP="00D804FC">
            <w:pPr>
              <w:rPr>
                <w:rFonts w:cs="Arial"/>
                <w:color w:val="FFFFFF" w:themeColor="background1"/>
                <w:szCs w:val="20"/>
              </w:rPr>
            </w:pPr>
            <w:r w:rsidRPr="00C14BD4">
              <w:rPr>
                <w:rFonts w:cs="Arial"/>
                <w:color w:val="FFFFFF" w:themeColor="background1"/>
                <w:szCs w:val="20"/>
              </w:rPr>
              <w:t>Paragraph 5</w:t>
            </w:r>
          </w:p>
        </w:tc>
        <w:tc>
          <w:tcPr>
            <w:tcW w:w="2693" w:type="dxa"/>
          </w:tcPr>
          <w:p w:rsidR="002971A1" w:rsidRPr="001E0645" w:rsidRDefault="002971A1" w:rsidP="004C7C3F">
            <w:pPr>
              <w:rPr>
                <w:rFonts w:cs="Arial"/>
                <w:szCs w:val="20"/>
              </w:rPr>
            </w:pPr>
            <w:r w:rsidRPr="001E0645">
              <w:rPr>
                <w:rFonts w:cs="Arial"/>
                <w:szCs w:val="20"/>
              </w:rPr>
              <w:t>Article 26(5)</w:t>
            </w:r>
          </w:p>
        </w:tc>
        <w:tc>
          <w:tcPr>
            <w:tcW w:w="8931" w:type="dxa"/>
            <w:shd w:val="clear" w:color="auto" w:fill="92D050"/>
          </w:tcPr>
          <w:p w:rsidR="002971A1" w:rsidRPr="001E0645" w:rsidRDefault="002971A1">
            <w:pPr>
              <w:rPr>
                <w:rFonts w:cs="Arial"/>
                <w:szCs w:val="20"/>
              </w:rPr>
            </w:pPr>
            <w:r w:rsidRPr="001E0645">
              <w:rPr>
                <w:rFonts w:cs="Arial"/>
                <w:szCs w:val="20"/>
              </w:rPr>
              <w:t>Minimal changes – language tidy-up</w:t>
            </w:r>
          </w:p>
        </w:tc>
      </w:tr>
      <w:tr w:rsidR="002971A1" w:rsidRPr="001E0645" w:rsidTr="00C14BD4">
        <w:tc>
          <w:tcPr>
            <w:tcW w:w="2518" w:type="dxa"/>
            <w:shd w:val="clear" w:color="auto" w:fill="32464D"/>
          </w:tcPr>
          <w:p w:rsidR="002971A1" w:rsidRPr="00C14BD4" w:rsidRDefault="002971A1" w:rsidP="00D804FC">
            <w:pPr>
              <w:rPr>
                <w:rFonts w:cs="Arial"/>
                <w:color w:val="FFFFFF" w:themeColor="background1"/>
                <w:szCs w:val="20"/>
              </w:rPr>
            </w:pPr>
            <w:r w:rsidRPr="00C14BD4">
              <w:rPr>
                <w:rFonts w:cs="Arial"/>
                <w:color w:val="FFFFFF" w:themeColor="background1"/>
                <w:szCs w:val="20"/>
              </w:rPr>
              <w:t>Paragraph 6</w:t>
            </w:r>
          </w:p>
        </w:tc>
        <w:tc>
          <w:tcPr>
            <w:tcW w:w="2693" w:type="dxa"/>
          </w:tcPr>
          <w:p w:rsidR="002971A1" w:rsidRPr="001E0645" w:rsidRDefault="002971A1" w:rsidP="004C7C3F">
            <w:pPr>
              <w:rPr>
                <w:rFonts w:cs="Arial"/>
                <w:szCs w:val="20"/>
              </w:rPr>
            </w:pPr>
            <w:r w:rsidRPr="001E0645">
              <w:rPr>
                <w:rFonts w:cs="Arial"/>
                <w:szCs w:val="20"/>
              </w:rPr>
              <w:t>Article 26(6)</w:t>
            </w:r>
          </w:p>
        </w:tc>
        <w:tc>
          <w:tcPr>
            <w:tcW w:w="8931" w:type="dxa"/>
            <w:shd w:val="clear" w:color="auto" w:fill="92D050"/>
          </w:tcPr>
          <w:p w:rsidR="002971A1" w:rsidRPr="001E0645" w:rsidRDefault="002971A1">
            <w:pPr>
              <w:rPr>
                <w:rFonts w:cs="Arial"/>
                <w:szCs w:val="20"/>
              </w:rPr>
            </w:pPr>
            <w:r w:rsidRPr="001E0645">
              <w:rPr>
                <w:rFonts w:cs="Arial"/>
                <w:szCs w:val="20"/>
              </w:rPr>
              <w:t>Minimal changes – language tidy-up</w:t>
            </w:r>
          </w:p>
        </w:tc>
      </w:tr>
      <w:tr w:rsidR="002971A1" w:rsidRPr="001E0645" w:rsidTr="00C14BD4">
        <w:tc>
          <w:tcPr>
            <w:tcW w:w="2518" w:type="dxa"/>
            <w:shd w:val="clear" w:color="auto" w:fill="32464D"/>
          </w:tcPr>
          <w:p w:rsidR="002971A1" w:rsidRPr="00C14BD4" w:rsidRDefault="002971A1" w:rsidP="00D804FC">
            <w:pPr>
              <w:rPr>
                <w:rFonts w:cs="Arial"/>
                <w:color w:val="FFFFFF" w:themeColor="background1"/>
                <w:szCs w:val="20"/>
              </w:rPr>
            </w:pPr>
            <w:r w:rsidRPr="00C14BD4">
              <w:rPr>
                <w:rFonts w:cs="Arial"/>
                <w:color w:val="FFFFFF" w:themeColor="background1"/>
                <w:szCs w:val="20"/>
              </w:rPr>
              <w:t>Paragraph 7</w:t>
            </w:r>
          </w:p>
        </w:tc>
        <w:tc>
          <w:tcPr>
            <w:tcW w:w="2693" w:type="dxa"/>
          </w:tcPr>
          <w:p w:rsidR="002971A1" w:rsidRPr="001E0645" w:rsidRDefault="002971A1" w:rsidP="004C7C3F">
            <w:pPr>
              <w:rPr>
                <w:rFonts w:cs="Arial"/>
                <w:szCs w:val="20"/>
              </w:rPr>
            </w:pPr>
            <w:r w:rsidRPr="001E0645">
              <w:rPr>
                <w:rFonts w:cs="Arial"/>
                <w:szCs w:val="20"/>
              </w:rPr>
              <w:t>Article 26(7)</w:t>
            </w:r>
          </w:p>
        </w:tc>
        <w:tc>
          <w:tcPr>
            <w:tcW w:w="8931" w:type="dxa"/>
            <w:shd w:val="clear" w:color="auto" w:fill="92D050"/>
          </w:tcPr>
          <w:p w:rsidR="002971A1" w:rsidRPr="001E0645" w:rsidRDefault="002971A1">
            <w:pPr>
              <w:rPr>
                <w:rFonts w:cs="Arial"/>
                <w:szCs w:val="20"/>
              </w:rPr>
            </w:pPr>
            <w:r w:rsidRPr="001E0645">
              <w:rPr>
                <w:rFonts w:cs="Arial"/>
                <w:szCs w:val="20"/>
              </w:rPr>
              <w:t>Minimal changes – language tidy-up</w:t>
            </w:r>
          </w:p>
        </w:tc>
      </w:tr>
    </w:tbl>
    <w:p w:rsidR="002971A1" w:rsidRPr="001E0645" w:rsidRDefault="002971A1">
      <w:pPr>
        <w:rPr>
          <w:rFonts w:cs="Arial"/>
          <w:szCs w:val="20"/>
        </w:rPr>
      </w:pPr>
    </w:p>
    <w:p w:rsidR="00990647" w:rsidRDefault="00990647">
      <w:pPr>
        <w:spacing w:after="200" w:line="276" w:lineRule="auto"/>
        <w:rPr>
          <w:rFonts w:cs="Arial"/>
          <w:szCs w:val="20"/>
        </w:rPr>
        <w:sectPr w:rsidR="00990647" w:rsidSect="00CB058A">
          <w:headerReference w:type="default" r:id="rId10"/>
          <w:footerReference w:type="default" r:id="rId11"/>
          <w:pgSz w:w="16838" w:h="11906" w:orient="landscape" w:code="9"/>
          <w:pgMar w:top="1418" w:right="1418" w:bottom="1418" w:left="1418" w:header="709" w:footer="709" w:gutter="0"/>
          <w:cols w:space="708"/>
          <w:docGrid w:linePitch="360"/>
        </w:sectPr>
      </w:pPr>
    </w:p>
    <w:p w:rsidR="002971A1" w:rsidRPr="00C14BD4" w:rsidRDefault="002971A1" w:rsidP="00C14BD4">
      <w:pPr>
        <w:pStyle w:val="ssPara1"/>
        <w:jc w:val="center"/>
        <w:rPr>
          <w:b/>
        </w:rPr>
      </w:pPr>
      <w:r w:rsidRPr="00C14BD4">
        <w:rPr>
          <w:b/>
        </w:rPr>
        <w:lastRenderedPageBreak/>
        <w:t>Complaints Handling</w:t>
      </w:r>
    </w:p>
    <w:p w:rsidR="002971A1" w:rsidRPr="00C14BD4" w:rsidRDefault="002971A1" w:rsidP="00C14BD4">
      <w:pPr>
        <w:pStyle w:val="ssPara1"/>
        <w:jc w:val="center"/>
        <w:rPr>
          <w:b/>
        </w:rPr>
      </w:pPr>
      <w:r w:rsidRPr="00C14BD4">
        <w:rPr>
          <w:b/>
        </w:rPr>
        <w:t>Technical Advice</w:t>
      </w:r>
    </w:p>
    <w:p w:rsidR="002971A1" w:rsidRPr="001E0645" w:rsidRDefault="002971A1" w:rsidP="00C14BD4">
      <w:pPr>
        <w:pStyle w:val="ssNoHeading1"/>
      </w:pPr>
      <w:r w:rsidRPr="001E0645">
        <w:t>Investment firms shall establish and maintain a complaints management policy for clients or potential clients. The complaints management policy shall provide clear, accurate and up-to-date information about the complaints-handling process. This policy shall be endorsed by the firm’s management body.</w:t>
      </w:r>
    </w:p>
    <w:p w:rsidR="002971A1" w:rsidRPr="001E0645" w:rsidRDefault="002971A1" w:rsidP="00C14BD4">
      <w:pPr>
        <w:pStyle w:val="ssNoHeading1"/>
      </w:pPr>
      <w:r w:rsidRPr="001E0645">
        <w:t>Investment firms shall publish the details of the process to be followed when handling a complaint. Such details shall include information about the complaints management policy and the contact details of the complaints management function. This information shall be provided to clients or potential clients, on request, or when acknowledging a complaint. Clients and potential clients should be able to submit complaints free of charge.</w:t>
      </w:r>
    </w:p>
    <w:p w:rsidR="002971A1" w:rsidRPr="001E0645" w:rsidRDefault="002971A1" w:rsidP="00C14BD4">
      <w:pPr>
        <w:pStyle w:val="ssNoHeading1"/>
      </w:pPr>
      <w:r w:rsidRPr="001E0645">
        <w:t>Investment firms shall establish a complaints management function which enables com-plaints to be investigated. This function may be carried out by the compliance function.</w:t>
      </w:r>
    </w:p>
    <w:p w:rsidR="002971A1" w:rsidRPr="001E0645" w:rsidRDefault="002971A1" w:rsidP="00C14BD4">
      <w:pPr>
        <w:pStyle w:val="ssNoHeading1"/>
      </w:pPr>
      <w:r w:rsidRPr="001E0645">
        <w:t>Investment firms shall communicate to clients in plain language that is clearly understood and provide a response to the complaint without any unnecessary delay.</w:t>
      </w:r>
    </w:p>
    <w:p w:rsidR="002971A1" w:rsidRPr="001E0645" w:rsidRDefault="002971A1" w:rsidP="00C14BD4">
      <w:pPr>
        <w:pStyle w:val="ssNoHeading1"/>
      </w:pPr>
      <w:r w:rsidRPr="001E0645">
        <w:t>Investment firms shall explain to the client or potential client the firm’s position on the com-plaint and set out the client’s or potential client’s options, where relevant, that they may be able to refer the complaint to an Alternative Dispute Resolution (ADR) entity or that the cli-</w:t>
      </w:r>
      <w:proofErr w:type="spellStart"/>
      <w:r w:rsidRPr="001E0645">
        <w:t>ent</w:t>
      </w:r>
      <w:proofErr w:type="spellEnd"/>
      <w:r w:rsidRPr="001E0645">
        <w:t xml:space="preserve"> may be able to take civil action.</w:t>
      </w:r>
    </w:p>
    <w:p w:rsidR="002971A1" w:rsidRPr="001E0645" w:rsidRDefault="002971A1" w:rsidP="00C14BD4">
      <w:pPr>
        <w:pStyle w:val="ssNoHeading1"/>
      </w:pPr>
      <w:r w:rsidRPr="001E0645">
        <w:t>Investment firms shall provide information on complaints and complaints-handling to the relevant NCA and where applicable under national law, an ADR entity.</w:t>
      </w:r>
    </w:p>
    <w:p w:rsidR="002971A1" w:rsidRPr="001E0645" w:rsidRDefault="002971A1" w:rsidP="00C14BD4">
      <w:pPr>
        <w:pStyle w:val="ssNoHeading1"/>
      </w:pPr>
      <w:r w:rsidRPr="001E0645">
        <w:t>Investment firms’ compliance functions shall analyse complaints and complaints-handling data to ensure that they identify and address any risks or issues.</w:t>
      </w:r>
    </w:p>
    <w:p w:rsidR="002971A1" w:rsidRPr="001E0645" w:rsidRDefault="002971A1">
      <w:pPr>
        <w:spacing w:after="200" w:line="276" w:lineRule="auto"/>
        <w:rPr>
          <w:rFonts w:cs="Arial"/>
          <w:szCs w:val="20"/>
        </w:rPr>
      </w:pPr>
      <w:r w:rsidRPr="001E0645">
        <w:rPr>
          <w:rFonts w:cs="Arial"/>
          <w:szCs w:val="20"/>
        </w:rPr>
        <w:br w:type="page"/>
      </w:r>
    </w:p>
    <w:p w:rsidR="002971A1" w:rsidRPr="00C14BD4" w:rsidRDefault="002971A1" w:rsidP="00C14BD4">
      <w:pPr>
        <w:pStyle w:val="ssPara1"/>
        <w:jc w:val="center"/>
        <w:rPr>
          <w:b/>
        </w:rPr>
      </w:pPr>
      <w:r w:rsidRPr="00C14BD4">
        <w:rPr>
          <w:b/>
        </w:rPr>
        <w:lastRenderedPageBreak/>
        <w:t>Complaints Handling</w:t>
      </w:r>
    </w:p>
    <w:p w:rsidR="002971A1" w:rsidRPr="00C14BD4" w:rsidRDefault="002971A1" w:rsidP="00C14BD4">
      <w:pPr>
        <w:pStyle w:val="ssPara1"/>
        <w:jc w:val="center"/>
        <w:rPr>
          <w:b/>
        </w:rPr>
      </w:pPr>
      <w:r w:rsidRPr="00C14BD4">
        <w:rPr>
          <w:b/>
        </w:rPr>
        <w:t>Delegated Regulation</w:t>
      </w:r>
    </w:p>
    <w:p w:rsidR="002971A1" w:rsidRPr="00C14BD4" w:rsidRDefault="002971A1" w:rsidP="00C14BD4">
      <w:pPr>
        <w:pStyle w:val="ssPara1"/>
        <w:jc w:val="center"/>
        <w:rPr>
          <w:b/>
        </w:rPr>
      </w:pPr>
      <w:r w:rsidRPr="00C14BD4">
        <w:rPr>
          <w:b/>
        </w:rPr>
        <w:t>Article 26</w:t>
      </w:r>
    </w:p>
    <w:p w:rsidR="002971A1" w:rsidRDefault="002971A1" w:rsidP="00C14BD4">
      <w:pPr>
        <w:pStyle w:val="ssPara1"/>
        <w:jc w:val="center"/>
        <w:rPr>
          <w:b/>
        </w:rPr>
      </w:pPr>
      <w:r w:rsidRPr="00C14BD4">
        <w:rPr>
          <w:b/>
        </w:rPr>
        <w:t>(Article 16(2) of Directive 2014/65/EU)</w:t>
      </w:r>
    </w:p>
    <w:p w:rsidR="00C14BD4" w:rsidRPr="00C14BD4" w:rsidRDefault="00C14BD4" w:rsidP="00C14BD4">
      <w:pPr>
        <w:pStyle w:val="ssRestartNumber"/>
      </w:pPr>
    </w:p>
    <w:p w:rsidR="002971A1" w:rsidRPr="001E0645" w:rsidRDefault="002971A1" w:rsidP="00C14BD4">
      <w:pPr>
        <w:pStyle w:val="ssNoHeading1"/>
      </w:pPr>
      <w:r w:rsidRPr="001E0645">
        <w:t>Investment firms shall establish, implement and maintain effective and transparent complaints management policies and procedures for the prompt handling of clients’ or potential clients’ complaints. Investment firms shall keep a record of the complaints received and the measures taken for their resolution.</w:t>
      </w:r>
    </w:p>
    <w:p w:rsidR="002971A1" w:rsidRPr="001E0645" w:rsidRDefault="002971A1" w:rsidP="00C14BD4">
      <w:pPr>
        <w:pStyle w:val="ssPara2"/>
      </w:pPr>
      <w:r w:rsidRPr="001E0645">
        <w:t>The complaints management policy shall provide clear, accurate and up-to-date information about the complaints-handling process. This policy shall be endorsed by the firm’s management body.</w:t>
      </w:r>
    </w:p>
    <w:p w:rsidR="002971A1" w:rsidRPr="001E0645" w:rsidRDefault="002971A1" w:rsidP="00C14BD4">
      <w:pPr>
        <w:pStyle w:val="ssNoHeading1"/>
      </w:pPr>
      <w:r w:rsidRPr="001E0645">
        <w:t>Investment firms shall publish the details of the process to be followed when handling a complaint. Such details shall include information about the complaints management policy and the contact details of the complaints management function. The information shall be provided to clients or potential clients, on request, or when acknowledging a complaint. Investment firms shall enable clients and potential clients to submit complaints free of charge.</w:t>
      </w:r>
    </w:p>
    <w:p w:rsidR="002971A1" w:rsidRPr="001E0645" w:rsidRDefault="002971A1" w:rsidP="00C14BD4">
      <w:pPr>
        <w:pStyle w:val="ssNoHeading1"/>
      </w:pPr>
      <w:r w:rsidRPr="001E0645">
        <w:t>Investment firms shall establish a complaints management function responsible for the investigation of complaints. This function may be carried out by the compliance function.</w:t>
      </w:r>
    </w:p>
    <w:p w:rsidR="002971A1" w:rsidRPr="001E0645" w:rsidRDefault="002971A1" w:rsidP="00C14BD4">
      <w:pPr>
        <w:pStyle w:val="ssNoHeading1"/>
      </w:pPr>
      <w:r w:rsidRPr="001E0645">
        <w:t>When handling a complaint, investment firms shall communicate with clients or potential clients clearly, in plain language that is easy to understand and shall reply to the complaint without undue delay.</w:t>
      </w:r>
    </w:p>
    <w:p w:rsidR="002971A1" w:rsidRPr="001E0645" w:rsidRDefault="002971A1" w:rsidP="00C14BD4">
      <w:pPr>
        <w:pStyle w:val="ssNoHeading1"/>
      </w:pPr>
      <w:r w:rsidRPr="001E0645">
        <w:t>Investment firms shall communicate the firm’s position on the complaint to clients or potential clients and inform the clients or potential clients about their options, including that they may be able to refer the complaint to an alternative dispute resolution entity, as defined in Article 4(h) of Directive 2013/11/EU of the European Parliament and the Council on consumer ADR or that the client may be able to take civil action.</w:t>
      </w:r>
    </w:p>
    <w:p w:rsidR="002971A1" w:rsidRPr="001E0645" w:rsidRDefault="002971A1" w:rsidP="00C14BD4">
      <w:pPr>
        <w:pStyle w:val="ssNoHeading1"/>
      </w:pPr>
      <w:r w:rsidRPr="001E0645">
        <w:t>Investment firms shall provide information on complaints and complaints-handling to the relevant competent authorities and, where applicable under national law, to an alternative dispute resolution (ADR) entity.</w:t>
      </w:r>
    </w:p>
    <w:p w:rsidR="002971A1" w:rsidRPr="00C14BD4" w:rsidRDefault="002971A1" w:rsidP="00C14BD4">
      <w:pPr>
        <w:pStyle w:val="ssNoHeading1"/>
        <w:rPr>
          <w:szCs w:val="20"/>
        </w:rPr>
      </w:pPr>
      <w:r w:rsidRPr="001E0645">
        <w:t>Investment firms’ compliance function shall analyse complaints and complaints-handling data to ensure that they identify and address any risks or issues.</w:t>
      </w:r>
    </w:p>
    <w:sectPr w:rsidR="002971A1" w:rsidRPr="00C14BD4" w:rsidSect="0099064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A2E" w:rsidRDefault="00EE6A2E" w:rsidP="00C14BD4">
      <w:r>
        <w:separator/>
      </w:r>
    </w:p>
  </w:endnote>
  <w:endnote w:type="continuationSeparator" w:id="0">
    <w:p w:rsidR="00EE6A2E" w:rsidRDefault="00EE6A2E" w:rsidP="00C1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xpert Sans Regular">
    <w:altName w:val="Courier New"/>
    <w:panose1 w:val="00000000000000000000"/>
    <w:charset w:val="00"/>
    <w:family w:val="auto"/>
    <w:notTrueType/>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3FC" w:rsidRPr="003252CD" w:rsidRDefault="001F53FC">
    <w:pPr>
      <w:rPr>
        <w:sz w:val="12"/>
        <w:szCs w:val="12"/>
      </w:rPr>
    </w:pPr>
  </w:p>
  <w:p w:rsidR="001F53FC" w:rsidRPr="003252CD" w:rsidRDefault="001F53FC" w:rsidP="00E74DB4">
    <w:pPr>
      <w:rPr>
        <w:sz w:val="12"/>
        <w:szCs w:val="12"/>
      </w:rPr>
    </w:pPr>
    <w:r w:rsidRPr="003252CD">
      <w:rPr>
        <w:sz w:val="12"/>
        <w:szCs w:val="12"/>
      </w:rPr>
      <w:t xml:space="preserve"> </w:t>
    </w:r>
    <w:r w:rsidR="0064577C" w:rsidRPr="003252CD">
      <w:rPr>
        <w:sz w:val="12"/>
        <w:szCs w:val="12"/>
      </w:rPr>
      <w:fldChar w:fldCharType="begin"/>
    </w:r>
    <w:r w:rsidRPr="003252CD">
      <w:rPr>
        <w:sz w:val="12"/>
        <w:szCs w:val="12"/>
      </w:rPr>
      <w:instrText xml:space="preserve"> DOCPROPERTY  document_number </w:instrText>
    </w:r>
    <w:r w:rsidR="0064577C" w:rsidRPr="003252CD">
      <w:rPr>
        <w:sz w:val="12"/>
        <w:szCs w:val="12"/>
      </w:rPr>
      <w:fldChar w:fldCharType="separate"/>
    </w:r>
    <w:r w:rsidR="00381DDC">
      <w:rPr>
        <w:sz w:val="12"/>
        <w:szCs w:val="12"/>
      </w:rPr>
      <w:t xml:space="preserve">62052754 V1 </w:t>
    </w:r>
    <w:proofErr w:type="gramStart"/>
    <w:r w:rsidR="00381DDC">
      <w:rPr>
        <w:sz w:val="12"/>
        <w:szCs w:val="12"/>
      </w:rPr>
      <w:t>-  -</w:t>
    </w:r>
    <w:proofErr w:type="gramEnd"/>
    <w:r w:rsidR="00381DDC">
      <w:rPr>
        <w:sz w:val="12"/>
        <w:szCs w:val="12"/>
      </w:rPr>
      <w:t xml:space="preserve"> UK1</w:t>
    </w:r>
    <w:r w:rsidR="0064577C" w:rsidRPr="003252CD">
      <w:rPr>
        <w:sz w:val="12"/>
        <w:szCs w:val="12"/>
      </w:rPr>
      <w:fldChar w:fldCharType="end"/>
    </w:r>
    <w:r w:rsidRPr="003252CD">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A2E" w:rsidRDefault="00EE6A2E" w:rsidP="00C14BD4">
      <w:r>
        <w:separator/>
      </w:r>
    </w:p>
  </w:footnote>
  <w:footnote w:type="continuationSeparator" w:id="0">
    <w:p w:rsidR="00EE6A2E" w:rsidRDefault="00EE6A2E" w:rsidP="00C1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BD4" w:rsidRDefault="00C14BD4" w:rsidP="00A7460B">
    <w:pPr>
      <w:jc w:val="right"/>
      <w:rPr>
        <w:rFonts w:cs="Arial"/>
        <w:sz w:val="16"/>
        <w:szCs w:val="16"/>
      </w:rPr>
    </w:pPr>
    <w:r>
      <w:rPr>
        <w:rFonts w:cs="Arial"/>
        <w:noProof/>
        <w:sz w:val="16"/>
        <w:szCs w:val="16"/>
        <w:lang w:eastAsia="en-GB"/>
      </w:rPr>
      <w:drawing>
        <wp:inline distT="0" distB="0" distL="0" distR="0" wp14:anchorId="7057EE7B" wp14:editId="7864E3D5">
          <wp:extent cx="2505673" cy="60965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FID2 Manager logo.png"/>
                  <pic:cNvPicPr/>
                </pic:nvPicPr>
                <pic:blipFill>
                  <a:blip r:embed="rId1">
                    <a:extLst>
                      <a:ext uri="{28A0092B-C50C-407E-A947-70E740481C1C}">
                        <a14:useLocalDpi xmlns:a14="http://schemas.microsoft.com/office/drawing/2010/main" val="0"/>
                      </a:ext>
                    </a:extLst>
                  </a:blip>
                  <a:stretch>
                    <a:fillRect/>
                  </a:stretch>
                </pic:blipFill>
                <pic:spPr>
                  <a:xfrm>
                    <a:off x="0" y="0"/>
                    <a:ext cx="2505673" cy="609653"/>
                  </a:xfrm>
                  <a:prstGeom prst="rect">
                    <a:avLst/>
                  </a:prstGeom>
                </pic:spPr>
              </pic:pic>
            </a:graphicData>
          </a:graphic>
        </wp:inline>
      </w:drawing>
    </w:r>
  </w:p>
  <w:p w:rsidR="00A7460B" w:rsidRPr="00A7460B" w:rsidRDefault="00CA051A" w:rsidP="00A7460B">
    <w:pPr>
      <w:jc w:val="right"/>
      <w:rPr>
        <w:rFonts w:cs="Arial"/>
        <w:sz w:val="16"/>
        <w:szCs w:val="16"/>
      </w:rPr>
    </w:pPr>
    <w:r>
      <w:rPr>
        <w:rFonts w:cs="Arial"/>
        <w:sz w:val="16"/>
        <w:szCs w:val="16"/>
      </w:rPr>
      <w:t>20 June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12FE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362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E25B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F21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F48E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492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9681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C48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66DE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E806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A3027"/>
    <w:multiLevelType w:val="multilevel"/>
    <w:tmpl w:val="3650ECEA"/>
    <w:name w:val="Schedule"/>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6941B78"/>
    <w:multiLevelType w:val="multilevel"/>
    <w:tmpl w:val="904EA4D2"/>
    <w:name w:val="Part"/>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CFD6BC0"/>
    <w:multiLevelType w:val="multilevel"/>
    <w:tmpl w:val="AF0AC594"/>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552"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74A6C09"/>
    <w:multiLevelType w:val="multilevel"/>
    <w:tmpl w:val="2E528D2A"/>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283"/>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C087586"/>
    <w:multiLevelType w:val="multilevel"/>
    <w:tmpl w:val="0409001D"/>
    <w:name w:val="Simmons&amp;Simmon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C92269D"/>
    <w:multiLevelType w:val="multilevel"/>
    <w:tmpl w:val="FAD8ED8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5232DDC"/>
    <w:multiLevelType w:val="multilevel"/>
    <w:tmpl w:val="0409001D"/>
    <w:name w:val="Simmons&amp;Simm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BB5FBE"/>
    <w:multiLevelType w:val="multilevel"/>
    <w:tmpl w:val="93FE0BF6"/>
    <w:name w:val="Appendix"/>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8F96FE3"/>
    <w:multiLevelType w:val="multilevel"/>
    <w:tmpl w:val="DEEEF714"/>
    <w:name w:val="Exhibit"/>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90B0FE2"/>
    <w:multiLevelType w:val="multilevel"/>
    <w:tmpl w:val="0409001D"/>
    <w:name w:val="Simmons&amp;Simmon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C055996"/>
    <w:multiLevelType w:val="multilevel"/>
    <w:tmpl w:val="3EA809C4"/>
    <w:lvl w:ilvl="0">
      <w:start w:val="1"/>
      <w:numFmt w:val="none"/>
      <w:suff w:val="nothing"/>
      <w:lvlText w:val=""/>
      <w:lvlJc w:val="left"/>
      <w:pPr>
        <w:ind w:left="0" w:firstLine="0"/>
      </w:pPr>
      <w:rPr>
        <w:rFonts w:hint="default"/>
      </w:rPr>
    </w:lvl>
    <w:lvl w:ilvl="1">
      <w:start w:val="1"/>
      <w:numFmt w:val="decimal"/>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7D03AF3"/>
    <w:multiLevelType w:val="multilevel"/>
    <w:tmpl w:val="30C6A426"/>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985"/>
        </w:tabs>
        <w:ind w:left="1985" w:hanging="567"/>
      </w:pPr>
      <w:rPr>
        <w:rFonts w:hint="default"/>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F1A6F9C"/>
    <w:multiLevelType w:val="multilevel"/>
    <w:tmpl w:val="0409001D"/>
    <w:name w:val="Simmons&amp;Simmon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6E670E2"/>
    <w:multiLevelType w:val="multilevel"/>
    <w:tmpl w:val="89806CD0"/>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8F558E0"/>
    <w:multiLevelType w:val="multilevel"/>
    <w:tmpl w:val="0BCCCE9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suff w:val="nothing"/>
      <w:lvlText w:val="(%5)"/>
      <w:lvlJc w:val="left"/>
      <w:pPr>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73C2384B"/>
    <w:multiLevelType w:val="multilevel"/>
    <w:tmpl w:val="B680C11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752B37AC"/>
    <w:multiLevelType w:val="multilevel"/>
    <w:tmpl w:val="4442EDA6"/>
    <w:name w:val="Simmons&amp;Simmons"/>
    <w:lvl w:ilvl="0">
      <w:start w:val="1"/>
      <w:numFmt w:val="none"/>
      <w:pStyle w:val="ssRestartNumber"/>
      <w:suff w:val="nothing"/>
      <w:lvlText w:val=""/>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none"/>
      <w:pStyle w:val="Heading7"/>
      <w:suff w:val="nothing"/>
      <w:lvlText w:val=""/>
      <w:lvlJc w:val="left"/>
      <w:pPr>
        <w:ind w:left="0" w:firstLine="0"/>
      </w:pPr>
      <w:rPr>
        <w:rFonts w:hint="default"/>
      </w:rPr>
    </w:lvl>
    <w:lvl w:ilvl="8">
      <w:start w:val="1"/>
      <w:numFmt w:val="none"/>
      <w:pStyle w:val="Heading8"/>
      <w:suff w:val="nothing"/>
      <w:lvlText w:val=""/>
      <w:lvlJc w:val="left"/>
      <w:pPr>
        <w:ind w:left="0" w:firstLine="0"/>
      </w:pPr>
      <w:rPr>
        <w:rFonts w:hint="default"/>
      </w:rPr>
    </w:lvl>
  </w:abstractNum>
  <w:abstractNum w:abstractNumId="27" w15:restartNumberingAfterBreak="0">
    <w:nsid w:val="7B6B16F3"/>
    <w:multiLevelType w:val="multilevel"/>
    <w:tmpl w:val="E1EC99DE"/>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F540CB0"/>
    <w:multiLevelType w:val="multilevel"/>
    <w:tmpl w:val="B2FA9ED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6"/>
  </w:num>
  <w:num w:numId="2">
    <w:abstractNumId w:val="16"/>
  </w:num>
  <w:num w:numId="3">
    <w:abstractNumId w:val="22"/>
  </w:num>
  <w:num w:numId="4">
    <w:abstractNumId w:val="14"/>
  </w:num>
  <w:num w:numId="5">
    <w:abstractNumId w:val="19"/>
  </w:num>
  <w:num w:numId="6">
    <w:abstractNumId w:val="24"/>
  </w:num>
  <w:num w:numId="7">
    <w:abstractNumId w:val="25"/>
  </w:num>
  <w:num w:numId="8">
    <w:abstractNumId w:val="23"/>
  </w:num>
  <w:num w:numId="9">
    <w:abstractNumId w:val="12"/>
  </w:num>
  <w:num w:numId="10">
    <w:abstractNumId w:val="27"/>
  </w:num>
  <w:num w:numId="11">
    <w:abstractNumId w:val="13"/>
  </w:num>
  <w:num w:numId="12">
    <w:abstractNumId w:val="28"/>
  </w:num>
  <w:num w:numId="13">
    <w:abstractNumId w:val="11"/>
  </w:num>
  <w:num w:numId="14">
    <w:abstractNumId w:val="10"/>
  </w:num>
  <w:num w:numId="15">
    <w:abstractNumId w:val="20"/>
  </w:num>
  <w:num w:numId="16">
    <w:abstractNumId w:val="18"/>
  </w:num>
  <w:num w:numId="17">
    <w:abstractNumId w:val="15"/>
  </w:num>
  <w:num w:numId="18">
    <w:abstractNumId w:val="21"/>
  </w:num>
  <w:num w:numId="19">
    <w:abstractNumId w:val="17"/>
  </w:num>
  <w:num w:numId="20">
    <w:abstractNumId w:val="9"/>
  </w:num>
  <w:num w:numId="21">
    <w:abstractNumId w:val="7"/>
  </w:num>
  <w:num w:numId="22">
    <w:abstractNumId w:val="6"/>
  </w:num>
  <w:num w:numId="23">
    <w:abstractNumId w:val="5"/>
  </w:num>
  <w:num w:numId="24">
    <w:abstractNumId w:val="4"/>
  </w:num>
  <w:num w:numId="25">
    <w:abstractNumId w:val="0"/>
  </w:num>
  <w:num w:numId="26">
    <w:abstractNumId w:val="1"/>
  </w:num>
  <w:num w:numId="27">
    <w:abstractNumId w:val="2"/>
  </w:num>
  <w:num w:numId="28">
    <w:abstractNumId w:val="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A5"/>
    <w:rsid w:val="00072072"/>
    <w:rsid w:val="0008206C"/>
    <w:rsid w:val="00094146"/>
    <w:rsid w:val="000F4286"/>
    <w:rsid w:val="001153B6"/>
    <w:rsid w:val="00126D51"/>
    <w:rsid w:val="00175581"/>
    <w:rsid w:val="0017715A"/>
    <w:rsid w:val="001955B3"/>
    <w:rsid w:val="001B24D8"/>
    <w:rsid w:val="001E0645"/>
    <w:rsid w:val="001E43A5"/>
    <w:rsid w:val="001F21EF"/>
    <w:rsid w:val="001F53FC"/>
    <w:rsid w:val="00213975"/>
    <w:rsid w:val="00220094"/>
    <w:rsid w:val="002906AA"/>
    <w:rsid w:val="0029381C"/>
    <w:rsid w:val="002960E1"/>
    <w:rsid w:val="002971A1"/>
    <w:rsid w:val="002A6843"/>
    <w:rsid w:val="002E4D24"/>
    <w:rsid w:val="002F49E3"/>
    <w:rsid w:val="00301554"/>
    <w:rsid w:val="00311015"/>
    <w:rsid w:val="003252CD"/>
    <w:rsid w:val="00381DDC"/>
    <w:rsid w:val="00390328"/>
    <w:rsid w:val="003C310D"/>
    <w:rsid w:val="003E16E2"/>
    <w:rsid w:val="003F2EB0"/>
    <w:rsid w:val="0044328B"/>
    <w:rsid w:val="004C7C3F"/>
    <w:rsid w:val="00502393"/>
    <w:rsid w:val="0056687A"/>
    <w:rsid w:val="0062234B"/>
    <w:rsid w:val="0064577C"/>
    <w:rsid w:val="00695E51"/>
    <w:rsid w:val="006E7FB2"/>
    <w:rsid w:val="00767452"/>
    <w:rsid w:val="007A7E9F"/>
    <w:rsid w:val="00822DBB"/>
    <w:rsid w:val="008A3338"/>
    <w:rsid w:val="008A4EB4"/>
    <w:rsid w:val="00920739"/>
    <w:rsid w:val="00956085"/>
    <w:rsid w:val="0096097B"/>
    <w:rsid w:val="00980174"/>
    <w:rsid w:val="00990647"/>
    <w:rsid w:val="009B0A35"/>
    <w:rsid w:val="00A7460B"/>
    <w:rsid w:val="00AC41A4"/>
    <w:rsid w:val="00AE07E3"/>
    <w:rsid w:val="00AE6F9C"/>
    <w:rsid w:val="00AF5BA0"/>
    <w:rsid w:val="00B14584"/>
    <w:rsid w:val="00BB285E"/>
    <w:rsid w:val="00BD30E1"/>
    <w:rsid w:val="00BD7939"/>
    <w:rsid w:val="00BD7D3A"/>
    <w:rsid w:val="00C04072"/>
    <w:rsid w:val="00C11828"/>
    <w:rsid w:val="00C14BD4"/>
    <w:rsid w:val="00C27680"/>
    <w:rsid w:val="00CA051A"/>
    <w:rsid w:val="00CA7274"/>
    <w:rsid w:val="00CB058A"/>
    <w:rsid w:val="00D74945"/>
    <w:rsid w:val="00D804FC"/>
    <w:rsid w:val="00D812DA"/>
    <w:rsid w:val="00D845E5"/>
    <w:rsid w:val="00DD060C"/>
    <w:rsid w:val="00E72948"/>
    <w:rsid w:val="00E74DB4"/>
    <w:rsid w:val="00E85801"/>
    <w:rsid w:val="00E85E2E"/>
    <w:rsid w:val="00EB2152"/>
    <w:rsid w:val="00EB6C5A"/>
    <w:rsid w:val="00EC237A"/>
    <w:rsid w:val="00EE6A2E"/>
    <w:rsid w:val="00EF5631"/>
    <w:rsid w:val="00F13CBE"/>
    <w:rsid w:val="00F2199C"/>
    <w:rsid w:val="00F32C2B"/>
    <w:rsid w:val="00F66402"/>
    <w:rsid w:val="00FB2994"/>
    <w:rsid w:val="00FC3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619544-B385-446A-8792-B61953C6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71A1"/>
    <w:pPr>
      <w:jc w:val="both"/>
    </w:pPr>
    <w:rPr>
      <w:rFonts w:ascii="Arial" w:hAnsi="Arial"/>
      <w:szCs w:val="22"/>
      <w:lang w:eastAsia="zh-CN"/>
    </w:rPr>
  </w:style>
  <w:style w:type="paragraph" w:styleId="Heading1">
    <w:name w:val="heading 1"/>
    <w:basedOn w:val="Normal"/>
    <w:next w:val="ssPara1"/>
    <w:qFormat/>
    <w:rsid w:val="00CA65D2"/>
    <w:pPr>
      <w:keepNext/>
      <w:widowControl w:val="0"/>
      <w:numPr>
        <w:ilvl w:val="1"/>
        <w:numId w:val="1"/>
      </w:numPr>
      <w:spacing w:after="260"/>
      <w:outlineLvl w:val="0"/>
    </w:pPr>
    <w:rPr>
      <w:rFonts w:cs="Arial"/>
      <w:b/>
      <w:bCs/>
      <w:kern w:val="32"/>
      <w:szCs w:val="32"/>
      <w:u w:val="single"/>
    </w:rPr>
  </w:style>
  <w:style w:type="paragraph" w:styleId="Heading2">
    <w:name w:val="heading 2"/>
    <w:basedOn w:val="Normal"/>
    <w:next w:val="ssPara2"/>
    <w:qFormat/>
    <w:rsid w:val="00CA65D2"/>
    <w:pPr>
      <w:keepNext/>
      <w:widowControl w:val="0"/>
      <w:numPr>
        <w:ilvl w:val="2"/>
        <w:numId w:val="1"/>
      </w:numPr>
      <w:spacing w:after="260"/>
      <w:outlineLvl w:val="1"/>
    </w:pPr>
    <w:rPr>
      <w:rFonts w:cs="Arial"/>
      <w:b/>
      <w:bCs/>
      <w:iCs/>
    </w:rPr>
  </w:style>
  <w:style w:type="paragraph" w:styleId="Heading3">
    <w:name w:val="heading 3"/>
    <w:basedOn w:val="Normal"/>
    <w:next w:val="ssPara3"/>
    <w:qFormat/>
    <w:rsid w:val="00CA65D2"/>
    <w:pPr>
      <w:keepNext/>
      <w:widowControl w:val="0"/>
      <w:numPr>
        <w:ilvl w:val="3"/>
        <w:numId w:val="1"/>
      </w:numPr>
      <w:spacing w:after="260"/>
      <w:outlineLvl w:val="2"/>
    </w:pPr>
    <w:rPr>
      <w:rFonts w:cs="Arial"/>
      <w:b/>
      <w:bCs/>
      <w:szCs w:val="26"/>
    </w:rPr>
  </w:style>
  <w:style w:type="paragraph" w:styleId="Heading4">
    <w:name w:val="heading 4"/>
    <w:basedOn w:val="Normal"/>
    <w:next w:val="ssPara4"/>
    <w:qFormat/>
    <w:rsid w:val="00CA65D2"/>
    <w:pPr>
      <w:keepNext/>
      <w:widowControl w:val="0"/>
      <w:numPr>
        <w:ilvl w:val="4"/>
        <w:numId w:val="1"/>
      </w:numPr>
      <w:spacing w:after="260"/>
      <w:outlineLvl w:val="3"/>
    </w:pPr>
    <w:rPr>
      <w:b/>
      <w:bCs/>
      <w:szCs w:val="28"/>
    </w:rPr>
  </w:style>
  <w:style w:type="paragraph" w:styleId="Heading5">
    <w:name w:val="heading 5"/>
    <w:basedOn w:val="Normal"/>
    <w:next w:val="ssPara5"/>
    <w:qFormat/>
    <w:rsid w:val="00CA65D2"/>
    <w:pPr>
      <w:keepNext/>
      <w:widowControl w:val="0"/>
      <w:numPr>
        <w:ilvl w:val="5"/>
        <w:numId w:val="1"/>
      </w:numPr>
      <w:spacing w:after="260"/>
      <w:outlineLvl w:val="4"/>
    </w:pPr>
    <w:rPr>
      <w:b/>
      <w:bCs/>
      <w:iCs/>
    </w:rPr>
  </w:style>
  <w:style w:type="paragraph" w:styleId="Heading6">
    <w:name w:val="heading 6"/>
    <w:basedOn w:val="Normal"/>
    <w:next w:val="ssPara6"/>
    <w:qFormat/>
    <w:rsid w:val="00CA65D2"/>
    <w:pPr>
      <w:keepNext/>
      <w:widowControl w:val="0"/>
      <w:numPr>
        <w:ilvl w:val="6"/>
        <w:numId w:val="1"/>
      </w:numPr>
      <w:spacing w:after="260"/>
      <w:outlineLvl w:val="5"/>
    </w:pPr>
    <w:rPr>
      <w:b/>
      <w:bCs/>
    </w:rPr>
  </w:style>
  <w:style w:type="paragraph" w:styleId="Heading7">
    <w:name w:val="heading 7"/>
    <w:basedOn w:val="Normal"/>
    <w:next w:val="Normal"/>
    <w:qFormat/>
    <w:rsid w:val="00CA65D2"/>
    <w:pPr>
      <w:numPr>
        <w:ilvl w:val="7"/>
        <w:numId w:val="1"/>
      </w:numPr>
      <w:outlineLvl w:val="6"/>
    </w:pPr>
    <w:rPr>
      <w:szCs w:val="24"/>
    </w:rPr>
  </w:style>
  <w:style w:type="paragraph" w:styleId="Heading8">
    <w:name w:val="heading 8"/>
    <w:basedOn w:val="Normal"/>
    <w:next w:val="Normal"/>
    <w:qFormat/>
    <w:rsid w:val="00CA65D2"/>
    <w:pPr>
      <w:numPr>
        <w:ilvl w:val="8"/>
        <w:numId w:val="1"/>
      </w:numPr>
      <w:outlineLvl w:val="7"/>
    </w:pPr>
    <w:rPr>
      <w:iCs/>
      <w:szCs w:val="24"/>
    </w:rPr>
  </w:style>
  <w:style w:type="paragraph" w:styleId="Heading9">
    <w:name w:val="heading 9"/>
    <w:basedOn w:val="Normal"/>
    <w:next w:val="Normal"/>
    <w:qFormat/>
    <w:rsid w:val="00367A2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ara1">
    <w:name w:val="ssPara1"/>
    <w:basedOn w:val="Normal"/>
    <w:rsid w:val="0060762C"/>
    <w:pPr>
      <w:spacing w:after="260"/>
    </w:pPr>
  </w:style>
  <w:style w:type="paragraph" w:customStyle="1" w:styleId="ssPara2">
    <w:name w:val="ssPara2"/>
    <w:basedOn w:val="Normal"/>
    <w:rsid w:val="0060762C"/>
    <w:pPr>
      <w:spacing w:after="260"/>
      <w:ind w:left="709"/>
    </w:pPr>
  </w:style>
  <w:style w:type="paragraph" w:customStyle="1" w:styleId="ssPara3">
    <w:name w:val="ssPara3"/>
    <w:basedOn w:val="Normal"/>
    <w:rsid w:val="0060762C"/>
    <w:pPr>
      <w:spacing w:after="260"/>
      <w:ind w:left="1418"/>
    </w:pPr>
  </w:style>
  <w:style w:type="paragraph" w:customStyle="1" w:styleId="ssPara4">
    <w:name w:val="ssPara4"/>
    <w:basedOn w:val="Normal"/>
    <w:rsid w:val="0060762C"/>
    <w:pPr>
      <w:spacing w:after="260"/>
      <w:ind w:left="1985"/>
    </w:pPr>
  </w:style>
  <w:style w:type="paragraph" w:customStyle="1" w:styleId="ssPara5">
    <w:name w:val="ssPara5"/>
    <w:basedOn w:val="Normal"/>
    <w:rsid w:val="0060762C"/>
    <w:pPr>
      <w:spacing w:after="260"/>
      <w:ind w:left="2552"/>
    </w:pPr>
  </w:style>
  <w:style w:type="paragraph" w:customStyle="1" w:styleId="ssPara6">
    <w:name w:val="ssPara6"/>
    <w:basedOn w:val="Normal"/>
    <w:rsid w:val="0060762C"/>
    <w:pPr>
      <w:spacing w:after="260"/>
      <w:ind w:left="3119"/>
    </w:pPr>
  </w:style>
  <w:style w:type="paragraph" w:customStyle="1" w:styleId="ssNoHeading1">
    <w:name w:val="ssNoHeading1"/>
    <w:basedOn w:val="Heading1"/>
    <w:rsid w:val="00B060B8"/>
    <w:pPr>
      <w:keepNext w:val="0"/>
      <w:widowControl/>
    </w:pPr>
    <w:rPr>
      <w:b w:val="0"/>
      <w:szCs w:val="22"/>
      <w:u w:val="none"/>
    </w:rPr>
  </w:style>
  <w:style w:type="paragraph" w:customStyle="1" w:styleId="ssNoHeading2">
    <w:name w:val="ssNoHeading2"/>
    <w:basedOn w:val="Heading2"/>
    <w:rsid w:val="00B060B8"/>
    <w:pPr>
      <w:keepNext w:val="0"/>
      <w:widowControl/>
    </w:pPr>
    <w:rPr>
      <w:b w:val="0"/>
    </w:rPr>
  </w:style>
  <w:style w:type="paragraph" w:customStyle="1" w:styleId="ssNoHeading3">
    <w:name w:val="ssNoHeading3"/>
    <w:basedOn w:val="Heading3"/>
    <w:rsid w:val="00B060B8"/>
    <w:pPr>
      <w:keepNext w:val="0"/>
      <w:widowControl/>
    </w:pPr>
    <w:rPr>
      <w:b w:val="0"/>
    </w:rPr>
  </w:style>
  <w:style w:type="paragraph" w:customStyle="1" w:styleId="ssNoHeading4">
    <w:name w:val="ssNoHeading4"/>
    <w:basedOn w:val="Heading4"/>
    <w:rsid w:val="00B060B8"/>
    <w:pPr>
      <w:keepNext w:val="0"/>
      <w:widowControl/>
    </w:pPr>
    <w:rPr>
      <w:b w:val="0"/>
    </w:rPr>
  </w:style>
  <w:style w:type="paragraph" w:customStyle="1" w:styleId="ssNoHeading5">
    <w:name w:val="ssNoHeading5"/>
    <w:basedOn w:val="Heading5"/>
    <w:rsid w:val="00B060B8"/>
    <w:pPr>
      <w:keepNext w:val="0"/>
      <w:widowControl/>
    </w:pPr>
    <w:rPr>
      <w:b w:val="0"/>
    </w:rPr>
  </w:style>
  <w:style w:type="paragraph" w:customStyle="1" w:styleId="ssNoHeading6">
    <w:name w:val="ssNoHeading6"/>
    <w:basedOn w:val="Heading6"/>
    <w:rsid w:val="00B060B8"/>
    <w:pPr>
      <w:keepNext w:val="0"/>
      <w:widowControl/>
    </w:pPr>
    <w:rPr>
      <w:b w:val="0"/>
    </w:rPr>
  </w:style>
  <w:style w:type="paragraph" w:customStyle="1" w:styleId="ssRestartNumber">
    <w:name w:val="ssRestartNumber"/>
    <w:basedOn w:val="Normal"/>
    <w:next w:val="ssPara1"/>
    <w:rsid w:val="00CA65D2"/>
    <w:pPr>
      <w:numPr>
        <w:numId w:val="1"/>
      </w:numPr>
    </w:pPr>
    <w:rPr>
      <w:color w:val="FF0000"/>
    </w:rPr>
  </w:style>
  <w:style w:type="paragraph" w:customStyle="1" w:styleId="ssqPart">
    <w:name w:val="ssqPart"/>
    <w:basedOn w:val="Normal"/>
    <w:next w:val="ssPara1"/>
    <w:rsid w:val="00DB29D9"/>
    <w:pPr>
      <w:numPr>
        <w:ilvl w:val="1"/>
        <w:numId w:val="13"/>
      </w:numPr>
      <w:spacing w:after="260"/>
      <w:jc w:val="center"/>
    </w:pPr>
    <w:rPr>
      <w:b/>
      <w:caps/>
    </w:rPr>
  </w:style>
  <w:style w:type="paragraph" w:customStyle="1" w:styleId="ssRestartPart">
    <w:name w:val="ssRestartPart"/>
    <w:basedOn w:val="Normal"/>
    <w:next w:val="ssPara1"/>
    <w:rsid w:val="00DB29D9"/>
    <w:pPr>
      <w:numPr>
        <w:numId w:val="13"/>
      </w:numPr>
    </w:pPr>
    <w:rPr>
      <w:color w:val="FF0000"/>
    </w:rPr>
  </w:style>
  <w:style w:type="paragraph" w:customStyle="1" w:styleId="ssRestartSchedule">
    <w:name w:val="ssRestartSchedule"/>
    <w:basedOn w:val="Normal"/>
    <w:next w:val="ssPara1"/>
    <w:rsid w:val="008B5DC3"/>
    <w:pPr>
      <w:numPr>
        <w:numId w:val="14"/>
      </w:numPr>
    </w:pPr>
    <w:rPr>
      <w:color w:val="FF0000"/>
    </w:rPr>
  </w:style>
  <w:style w:type="paragraph" w:customStyle="1" w:styleId="ssqSchedule">
    <w:name w:val="ssqSchedule"/>
    <w:basedOn w:val="Normal"/>
    <w:next w:val="ssPara1"/>
    <w:rsid w:val="008B5DC3"/>
    <w:pPr>
      <w:numPr>
        <w:ilvl w:val="1"/>
        <w:numId w:val="14"/>
      </w:numPr>
      <w:spacing w:after="260"/>
      <w:jc w:val="center"/>
    </w:pPr>
    <w:rPr>
      <w:b/>
      <w:caps/>
    </w:rPr>
  </w:style>
  <w:style w:type="paragraph" w:customStyle="1" w:styleId="ssqExhibit">
    <w:name w:val="ssqExhibit"/>
    <w:basedOn w:val="Normal"/>
    <w:next w:val="ssPara1"/>
    <w:rsid w:val="002468A8"/>
    <w:pPr>
      <w:numPr>
        <w:ilvl w:val="1"/>
        <w:numId w:val="16"/>
      </w:numPr>
      <w:spacing w:after="260"/>
      <w:jc w:val="center"/>
    </w:pPr>
    <w:rPr>
      <w:b/>
      <w:caps/>
    </w:rPr>
  </w:style>
  <w:style w:type="paragraph" w:customStyle="1" w:styleId="ssRestartExhibit">
    <w:name w:val="ssRestartExhibit"/>
    <w:basedOn w:val="Normal"/>
    <w:next w:val="ssPara1"/>
    <w:rsid w:val="002468A8"/>
    <w:pPr>
      <w:numPr>
        <w:numId w:val="16"/>
      </w:numPr>
    </w:pPr>
    <w:rPr>
      <w:color w:val="FF0000"/>
    </w:rPr>
  </w:style>
  <w:style w:type="paragraph" w:customStyle="1" w:styleId="ssqToCAdd">
    <w:name w:val="ssqToCAdd"/>
    <w:basedOn w:val="ssPara1"/>
    <w:next w:val="ssPara1"/>
    <w:rsid w:val="0034673E"/>
  </w:style>
  <w:style w:type="paragraph" w:customStyle="1" w:styleId="ssqAppendix">
    <w:name w:val="ssqAppendix"/>
    <w:basedOn w:val="Normal"/>
    <w:next w:val="ssPara1"/>
    <w:rsid w:val="00CB7D04"/>
    <w:pPr>
      <w:numPr>
        <w:ilvl w:val="1"/>
        <w:numId w:val="19"/>
      </w:numPr>
      <w:spacing w:after="260"/>
      <w:jc w:val="center"/>
    </w:pPr>
    <w:rPr>
      <w:b/>
      <w:caps/>
    </w:rPr>
  </w:style>
  <w:style w:type="paragraph" w:customStyle="1" w:styleId="ssRestartAppendix">
    <w:name w:val="ssRestartAppendix"/>
    <w:basedOn w:val="Normal"/>
    <w:next w:val="ssPara1"/>
    <w:rsid w:val="004108F5"/>
    <w:pPr>
      <w:numPr>
        <w:numId w:val="19"/>
      </w:numPr>
    </w:pPr>
    <w:rPr>
      <w:color w:val="FF0000"/>
    </w:rPr>
  </w:style>
  <w:style w:type="paragraph" w:styleId="TOC1">
    <w:name w:val="toc 1"/>
    <w:basedOn w:val="Normal"/>
    <w:next w:val="Normal"/>
    <w:autoRedefine/>
    <w:rsid w:val="00800C13"/>
    <w:pPr>
      <w:tabs>
        <w:tab w:val="right" w:leader="dot" w:pos="9497"/>
      </w:tabs>
      <w:spacing w:before="220"/>
      <w:ind w:left="709" w:right="595" w:hanging="709"/>
    </w:pPr>
  </w:style>
  <w:style w:type="paragraph" w:styleId="TOC2">
    <w:name w:val="toc 2"/>
    <w:basedOn w:val="Normal"/>
    <w:next w:val="Normal"/>
    <w:autoRedefine/>
    <w:rsid w:val="0098314B"/>
    <w:pPr>
      <w:tabs>
        <w:tab w:val="right" w:leader="dot" w:pos="9497"/>
      </w:tabs>
      <w:ind w:left="1418" w:right="595" w:hanging="709"/>
    </w:pPr>
  </w:style>
  <w:style w:type="paragraph" w:styleId="TOC3">
    <w:name w:val="toc 3"/>
    <w:basedOn w:val="Normal"/>
    <w:next w:val="Normal"/>
    <w:autoRedefine/>
    <w:rsid w:val="00D33221"/>
    <w:pPr>
      <w:tabs>
        <w:tab w:val="right" w:leader="dot" w:pos="9497"/>
      </w:tabs>
      <w:ind w:left="2127" w:right="595" w:hanging="709"/>
    </w:pPr>
  </w:style>
  <w:style w:type="paragraph" w:styleId="TOC4">
    <w:name w:val="toc 4"/>
    <w:basedOn w:val="Normal"/>
    <w:next w:val="Normal"/>
    <w:autoRedefine/>
    <w:rsid w:val="00D33221"/>
    <w:pPr>
      <w:tabs>
        <w:tab w:val="right" w:leader="dot" w:pos="9497"/>
      </w:tabs>
      <w:ind w:left="2694" w:right="595" w:hanging="709"/>
    </w:pPr>
  </w:style>
  <w:style w:type="paragraph" w:styleId="BodyText">
    <w:name w:val="Body Text"/>
    <w:basedOn w:val="Normal"/>
    <w:link w:val="BodyTextChar"/>
    <w:rsid w:val="00D04C79"/>
    <w:pPr>
      <w:spacing w:after="120"/>
    </w:pPr>
  </w:style>
  <w:style w:type="character" w:customStyle="1" w:styleId="BodyTextChar">
    <w:name w:val="Body Text Char"/>
    <w:link w:val="BodyText"/>
    <w:rsid w:val="00D04C79"/>
    <w:rPr>
      <w:rFonts w:ascii="Arial" w:hAnsi="Arial"/>
      <w:sz w:val="22"/>
      <w:szCs w:val="22"/>
      <w:lang w:eastAsia="zh-CN"/>
    </w:rPr>
  </w:style>
  <w:style w:type="character" w:styleId="Hyperlink">
    <w:name w:val="Hyperlink"/>
    <w:basedOn w:val="DefaultParagraphFont"/>
    <w:rsid w:val="002971A1"/>
    <w:rPr>
      <w:color w:val="0000FF" w:themeColor="hyperlink"/>
      <w:u w:val="single"/>
    </w:rPr>
  </w:style>
  <w:style w:type="paragraph" w:styleId="Header">
    <w:name w:val="header"/>
    <w:basedOn w:val="Normal"/>
    <w:link w:val="HeaderChar"/>
    <w:rsid w:val="00C14BD4"/>
    <w:pPr>
      <w:tabs>
        <w:tab w:val="center" w:pos="4513"/>
        <w:tab w:val="right" w:pos="9026"/>
      </w:tabs>
    </w:pPr>
  </w:style>
  <w:style w:type="character" w:customStyle="1" w:styleId="HeaderChar">
    <w:name w:val="Header Char"/>
    <w:basedOn w:val="DefaultParagraphFont"/>
    <w:link w:val="Header"/>
    <w:rsid w:val="00C14BD4"/>
    <w:rPr>
      <w:rFonts w:ascii="Arial" w:hAnsi="Arial"/>
      <w:szCs w:val="22"/>
      <w:lang w:eastAsia="zh-CN"/>
    </w:rPr>
  </w:style>
  <w:style w:type="paragraph" w:styleId="Footer">
    <w:name w:val="footer"/>
    <w:basedOn w:val="Normal"/>
    <w:link w:val="FooterChar"/>
    <w:rsid w:val="00C14BD4"/>
    <w:pPr>
      <w:tabs>
        <w:tab w:val="center" w:pos="4513"/>
        <w:tab w:val="right" w:pos="9026"/>
      </w:tabs>
    </w:pPr>
  </w:style>
  <w:style w:type="character" w:customStyle="1" w:styleId="FooterChar">
    <w:name w:val="Footer Char"/>
    <w:basedOn w:val="DefaultParagraphFont"/>
    <w:link w:val="Footer"/>
    <w:rsid w:val="00C14BD4"/>
    <w:rPr>
      <w:rFonts w:ascii="Arial" w:hAnsi="Arial"/>
      <w:szCs w:val="22"/>
      <w:lang w:eastAsia="zh-CN"/>
    </w:rPr>
  </w:style>
  <w:style w:type="paragraph" w:styleId="BalloonText">
    <w:name w:val="Balloon Text"/>
    <w:basedOn w:val="Normal"/>
    <w:link w:val="BalloonTextChar"/>
    <w:rsid w:val="00990647"/>
    <w:rPr>
      <w:rFonts w:ascii="Tahoma" w:hAnsi="Tahoma" w:cs="Tahoma"/>
      <w:sz w:val="16"/>
      <w:szCs w:val="16"/>
    </w:rPr>
  </w:style>
  <w:style w:type="character" w:customStyle="1" w:styleId="BalloonTextChar">
    <w:name w:val="Balloon Text Char"/>
    <w:basedOn w:val="DefaultParagraphFont"/>
    <w:link w:val="BalloonText"/>
    <w:rsid w:val="00990647"/>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ma.europa.eu/sites/default/files/library/2015/11/2014-1569_final_report_-_esmas_technical_advice_to_the_commission_on_mifid_ii_and_mifi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transparency/regdoc/rep/3/2016/EN/3-2016-2398-EN-F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rclays">
      <a:majorFont>
        <a:latin typeface="Expert Sans Regular"/>
        <a:ea typeface=""/>
        <a:cs typeface=""/>
      </a:majorFont>
      <a:minorFont>
        <a:latin typeface="Expert Sans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2A7E9-A75F-4F0F-B742-BBD19D92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Barclays Capital</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miloshju</dc:creator>
  <cp:keywords/>
  <dc:description/>
  <cp:lastModifiedBy>Sally Anderson</cp:lastModifiedBy>
  <cp:revision>2</cp:revision>
  <cp:lastPrinted>2016-05-09T08:58:00Z</cp:lastPrinted>
  <dcterms:created xsi:type="dcterms:W3CDTF">2019-10-13T19:48:00Z</dcterms:created>
  <dcterms:modified xsi:type="dcterms:W3CDTF">2019-10-13T19:48:00Z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number">
    <vt:lpwstr>62052754 V1 -  - UK1</vt:lpwstr>
  </property>
  <property fmtid="{D5CDD505-2E9C-101B-9397-08002B2CF9AE}" pid="3" name="MAIL_MSG_ID1">
    <vt:lpwstr>gFAA5ajW4yTOEjsUWegmEaMvhwTCUiH3wPwgejqPOGr3lMI7kUqv71u6lxlA3avENxPlkKxAc1/bRBam
s44nX6mmc1t/Y9tZgcgretB28te0JhQquKaMN3TAK+Gv8V+DtkVpgWaq1YQGvtOms44nX6mmc1t/
Y9tZgcgretB28te0JhQquKaMN3TAK94Ht2OBOLYItQCxS4KjBGZDmXSO84+i/kSDtjGbjikkGnkj
Kib0NKxmjlrXoDA2P</vt:lpwstr>
  </property>
  <property fmtid="{D5CDD505-2E9C-101B-9397-08002B2CF9AE}" pid="4" name="MAIL_MSG_ID2">
    <vt:lpwstr>Pr3/Kt6brdBMPJej4ir1saDyEFc1VhRCugTF1S9rv70H08OvX4oyJnDlDCz
p6+teYT4F7CYQtO0YekOLSzfnvN6Iyj61GoGoA==</vt:lpwstr>
  </property>
  <property fmtid="{D5CDD505-2E9C-101B-9397-08002B2CF9AE}" pid="5" name="RESPONSE_SENDER_NAME">
    <vt:lpwstr>gAAAJ+PfKkF/6hhwWohgfD5oazfTC0la50X6</vt:lpwstr>
  </property>
  <property fmtid="{D5CDD505-2E9C-101B-9397-08002B2CF9AE}" pid="6" name="EMAIL_OWNER_ADDRESS">
    <vt:lpwstr>ABAAmylTnWthiz/2U7+Qrsc8j5QjBWqELp1c7a3PO8GaG+pB90Gz5/oitapwLxQF8LeS</vt:lpwstr>
  </property>
</Properties>
</file>