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D993" w14:textId="77777777" w:rsidR="008007FE" w:rsidRPr="00217EF1" w:rsidRDefault="008007FE" w:rsidP="00883FBC">
      <w:pPr>
        <w:pStyle w:val="BodyText"/>
        <w:rPr>
          <w:color w:val="0ED7E5"/>
        </w:rPr>
      </w:pPr>
      <w:r>
        <w:tab/>
      </w:r>
    </w:p>
    <w:p w14:paraId="4088BC16" w14:textId="370CC477" w:rsidR="00A565E5" w:rsidRPr="00883FBC" w:rsidRDefault="009B6380" w:rsidP="00883FBC">
      <w:pPr>
        <w:pStyle w:val="Heading1"/>
      </w:pPr>
      <w:r>
        <w:t xml:space="preserve">Umbilical Cord Abnormalities </w:t>
      </w:r>
    </w:p>
    <w:p w14:paraId="58A4701B" w14:textId="77777777" w:rsidR="00A565E5" w:rsidRDefault="00A565E5" w:rsidP="00883FBC">
      <w:pPr>
        <w:pStyle w:val="BodyText"/>
      </w:pPr>
    </w:p>
    <w:p w14:paraId="1CD26EA3" w14:textId="77777777" w:rsidR="009B6380" w:rsidRPr="009B6380" w:rsidRDefault="009B6380" w:rsidP="009B6380">
      <w:pPr>
        <w:pStyle w:val="BodyText"/>
        <w:rPr>
          <w:b/>
          <w:bCs/>
        </w:rPr>
      </w:pPr>
      <w:r w:rsidRPr="009B6380">
        <w:rPr>
          <w:b/>
          <w:bCs/>
        </w:rPr>
        <w:t>Purpose</w:t>
      </w:r>
      <w:r w:rsidRPr="009B6380">
        <w:t>: To assist OB providers managing women with umbilical cord abnormalities in pregnancy.</w:t>
      </w:r>
      <w:r w:rsidRPr="009B6380">
        <w:rPr>
          <w:b/>
          <w:bCs/>
        </w:rPr>
        <w:t> </w:t>
      </w:r>
    </w:p>
    <w:p w14:paraId="4FEB133F" w14:textId="77777777" w:rsidR="009B6380" w:rsidRPr="009B6380" w:rsidRDefault="009B6380" w:rsidP="009B6380">
      <w:pPr>
        <w:pStyle w:val="BodyText"/>
      </w:pPr>
      <w:r w:rsidRPr="009B6380">
        <w:t> </w:t>
      </w:r>
    </w:p>
    <w:p w14:paraId="084E32EE" w14:textId="77777777" w:rsidR="009B6380" w:rsidRPr="009B6380" w:rsidRDefault="009B6380" w:rsidP="009B6380">
      <w:pPr>
        <w:pStyle w:val="BodyText"/>
      </w:pPr>
      <w:r w:rsidRPr="009B6380">
        <w:rPr>
          <w:b/>
          <w:bCs/>
        </w:rPr>
        <w:t>Single Umbilical Artery (SUA)</w:t>
      </w:r>
      <w:r w:rsidRPr="009B6380">
        <w:t> </w:t>
      </w:r>
    </w:p>
    <w:p w14:paraId="3B047C2C" w14:textId="77777777" w:rsidR="009B6380" w:rsidRPr="009B6380" w:rsidRDefault="009B6380" w:rsidP="009B6380">
      <w:pPr>
        <w:pStyle w:val="BodyText"/>
      </w:pPr>
      <w:r w:rsidRPr="009B6380">
        <w:t> </w:t>
      </w:r>
    </w:p>
    <w:p w14:paraId="361C882A" w14:textId="77777777" w:rsidR="009B6380" w:rsidRPr="009B6380" w:rsidRDefault="009B6380" w:rsidP="009B6380">
      <w:pPr>
        <w:pStyle w:val="BodyText"/>
      </w:pPr>
      <w:r w:rsidRPr="009B6380">
        <w:t>Definition: A variation of umbilical cord anatomy in which there is only one umbilical artery.  </w:t>
      </w:r>
    </w:p>
    <w:p w14:paraId="7FA08779" w14:textId="77777777" w:rsidR="009B6380" w:rsidRPr="009B6380" w:rsidRDefault="009B6380" w:rsidP="009B6380">
      <w:pPr>
        <w:pStyle w:val="BodyText"/>
        <w:numPr>
          <w:ilvl w:val="0"/>
          <w:numId w:val="1"/>
        </w:numPr>
      </w:pPr>
      <w:r w:rsidRPr="009B6380">
        <w:t xml:space="preserve">Occurs in 1/200 singleton </w:t>
      </w:r>
      <w:proofErr w:type="gramStart"/>
      <w:r w:rsidRPr="009B6380">
        <w:t>deliveries;</w:t>
      </w:r>
      <w:proofErr w:type="gramEnd"/>
      <w:r w:rsidRPr="009B6380">
        <w:t xml:space="preserve"> more common in twins </w:t>
      </w:r>
    </w:p>
    <w:p w14:paraId="4C7A3374" w14:textId="77777777" w:rsidR="009B6380" w:rsidRPr="009B6380" w:rsidRDefault="009B6380" w:rsidP="009B6380">
      <w:pPr>
        <w:pStyle w:val="BodyText"/>
        <w:numPr>
          <w:ilvl w:val="0"/>
          <w:numId w:val="2"/>
        </w:numPr>
      </w:pPr>
      <w:r w:rsidRPr="009B6380">
        <w:t>Most cases are isolated </w:t>
      </w:r>
    </w:p>
    <w:p w14:paraId="0714C4C8" w14:textId="77777777" w:rsidR="009B6380" w:rsidRPr="009B6380" w:rsidRDefault="009B6380" w:rsidP="009B6380">
      <w:pPr>
        <w:pStyle w:val="BodyText"/>
        <w:numPr>
          <w:ilvl w:val="0"/>
          <w:numId w:val="3"/>
        </w:numPr>
      </w:pPr>
      <w:r w:rsidRPr="009B6380">
        <w:t>Associated with increased risk of additional congenital malformations (25-30%), IUGR (10-20%) and preterm delivery (15%) </w:t>
      </w:r>
    </w:p>
    <w:p w14:paraId="42CDE5C0" w14:textId="77777777" w:rsidR="009B6380" w:rsidRPr="009B6380" w:rsidRDefault="009B6380" w:rsidP="009B6380">
      <w:pPr>
        <w:pStyle w:val="BodyText"/>
        <w:numPr>
          <w:ilvl w:val="0"/>
          <w:numId w:val="4"/>
        </w:numPr>
      </w:pPr>
      <w:r w:rsidRPr="009B6380">
        <w:t>If additional malformations are present, increased risk of perinatal mortality </w:t>
      </w:r>
    </w:p>
    <w:p w14:paraId="6FF3E052" w14:textId="77777777" w:rsidR="009B6380" w:rsidRPr="009B6380" w:rsidRDefault="009B6380" w:rsidP="009B6380">
      <w:pPr>
        <w:pStyle w:val="BodyText"/>
      </w:pPr>
      <w:r w:rsidRPr="009B6380">
        <w:t>Recommendations: </w:t>
      </w:r>
    </w:p>
    <w:p w14:paraId="79F1A75E" w14:textId="77777777" w:rsidR="009B6380" w:rsidRPr="009B6380" w:rsidRDefault="009B6380" w:rsidP="009B6380">
      <w:pPr>
        <w:pStyle w:val="BodyText"/>
        <w:numPr>
          <w:ilvl w:val="0"/>
          <w:numId w:val="5"/>
        </w:numPr>
      </w:pPr>
      <w:r w:rsidRPr="009B6380">
        <w:t>Referral to MFM for detailed anatomy ultrasound </w:t>
      </w:r>
    </w:p>
    <w:p w14:paraId="46AEAB79" w14:textId="77777777" w:rsidR="009B6380" w:rsidRPr="009B6380" w:rsidRDefault="009B6380" w:rsidP="009B6380">
      <w:pPr>
        <w:pStyle w:val="BodyText"/>
        <w:numPr>
          <w:ilvl w:val="0"/>
          <w:numId w:val="6"/>
        </w:numPr>
      </w:pPr>
      <w:r w:rsidRPr="009B6380">
        <w:t>If isolated SUA:  </w:t>
      </w:r>
    </w:p>
    <w:p w14:paraId="35F51135" w14:textId="77777777" w:rsidR="009B6380" w:rsidRPr="009B6380" w:rsidRDefault="009B6380" w:rsidP="009B6380">
      <w:pPr>
        <w:pStyle w:val="BodyText"/>
        <w:numPr>
          <w:ilvl w:val="0"/>
          <w:numId w:val="7"/>
        </w:numPr>
      </w:pPr>
      <w:r w:rsidRPr="009B6380">
        <w:t>No indication for genetic testing </w:t>
      </w:r>
    </w:p>
    <w:p w14:paraId="15A1E656" w14:textId="77777777" w:rsidR="009B6380" w:rsidRPr="009B6380" w:rsidRDefault="009B6380" w:rsidP="009B6380">
      <w:pPr>
        <w:pStyle w:val="BodyText"/>
        <w:numPr>
          <w:ilvl w:val="0"/>
          <w:numId w:val="8"/>
        </w:numPr>
      </w:pPr>
      <w:r w:rsidRPr="009B6380">
        <w:t>No indication for fetal echocardiogram </w:t>
      </w:r>
    </w:p>
    <w:p w14:paraId="7F0E410A" w14:textId="77777777" w:rsidR="009B6380" w:rsidRPr="009B6380" w:rsidRDefault="009B6380" w:rsidP="009B6380">
      <w:pPr>
        <w:pStyle w:val="BodyText"/>
        <w:numPr>
          <w:ilvl w:val="0"/>
          <w:numId w:val="9"/>
        </w:numPr>
      </w:pPr>
      <w:r w:rsidRPr="009B6380">
        <w:t>Growth ultrasounds at 28 and 34 weeks </w:t>
      </w:r>
    </w:p>
    <w:p w14:paraId="60E207A1" w14:textId="77777777" w:rsidR="009B6380" w:rsidRPr="009B6380" w:rsidRDefault="009B6380" w:rsidP="009B6380">
      <w:pPr>
        <w:pStyle w:val="BodyText"/>
        <w:numPr>
          <w:ilvl w:val="0"/>
          <w:numId w:val="10"/>
        </w:numPr>
      </w:pPr>
      <w:r w:rsidRPr="009B6380">
        <w:t>No indication for antenatal testing </w:t>
      </w:r>
    </w:p>
    <w:p w14:paraId="5A4B9403" w14:textId="77777777" w:rsidR="009B6380" w:rsidRPr="009B6380" w:rsidRDefault="009B6380" w:rsidP="009B6380">
      <w:pPr>
        <w:pStyle w:val="BodyText"/>
        <w:numPr>
          <w:ilvl w:val="0"/>
          <w:numId w:val="11"/>
        </w:numPr>
      </w:pPr>
      <w:r w:rsidRPr="009B6380">
        <w:t>Deliver at term for standard obstetric indications </w:t>
      </w:r>
    </w:p>
    <w:p w14:paraId="207A1FD8" w14:textId="77777777" w:rsidR="009B6380" w:rsidRPr="009B6380" w:rsidRDefault="009B6380" w:rsidP="009B6380">
      <w:pPr>
        <w:pStyle w:val="BodyText"/>
        <w:numPr>
          <w:ilvl w:val="0"/>
          <w:numId w:val="12"/>
        </w:numPr>
      </w:pPr>
      <w:r w:rsidRPr="009B6380">
        <w:t>If SUA with additional malformations: </w:t>
      </w:r>
    </w:p>
    <w:p w14:paraId="08245267" w14:textId="77777777" w:rsidR="009B6380" w:rsidRPr="009B6380" w:rsidRDefault="009B6380" w:rsidP="009B6380">
      <w:pPr>
        <w:pStyle w:val="BodyText"/>
        <w:numPr>
          <w:ilvl w:val="0"/>
          <w:numId w:val="13"/>
        </w:numPr>
      </w:pPr>
      <w:r w:rsidRPr="009B6380">
        <w:t>Offer genetic testing – there is a 50% chance of aneuploidy with additional malformations </w:t>
      </w:r>
    </w:p>
    <w:p w14:paraId="7479DDFB" w14:textId="77777777" w:rsidR="009B6380" w:rsidRPr="009B6380" w:rsidRDefault="009B6380" w:rsidP="009B6380">
      <w:pPr>
        <w:pStyle w:val="BodyText"/>
        <w:numPr>
          <w:ilvl w:val="0"/>
          <w:numId w:val="14"/>
        </w:numPr>
      </w:pPr>
      <w:r w:rsidRPr="009B6380">
        <w:t>Fetal echocardiogram at 22-26 weeks </w:t>
      </w:r>
    </w:p>
    <w:p w14:paraId="0245D89A" w14:textId="77777777" w:rsidR="009B6380" w:rsidRPr="009B6380" w:rsidRDefault="009B6380" w:rsidP="009B6380">
      <w:pPr>
        <w:pStyle w:val="BodyText"/>
        <w:numPr>
          <w:ilvl w:val="0"/>
          <w:numId w:val="15"/>
        </w:numPr>
      </w:pPr>
      <w:r w:rsidRPr="009B6380">
        <w:t>Growth ultrasounds at 28, 32 and 36 weeks  </w:t>
      </w:r>
    </w:p>
    <w:p w14:paraId="4C934D82" w14:textId="77777777" w:rsidR="009B6380" w:rsidRPr="009B6380" w:rsidRDefault="009B6380" w:rsidP="009B6380">
      <w:pPr>
        <w:pStyle w:val="BodyText"/>
        <w:numPr>
          <w:ilvl w:val="0"/>
          <w:numId w:val="16"/>
        </w:numPr>
      </w:pPr>
      <w:r w:rsidRPr="009B6380">
        <w:t>Twice weekly NSTs starting at 32 weeks </w:t>
      </w:r>
    </w:p>
    <w:p w14:paraId="4A114B98" w14:textId="77777777" w:rsidR="009B6380" w:rsidRPr="009B6380" w:rsidRDefault="009B6380" w:rsidP="009B6380">
      <w:pPr>
        <w:pStyle w:val="BodyText"/>
        <w:numPr>
          <w:ilvl w:val="0"/>
          <w:numId w:val="17"/>
        </w:numPr>
      </w:pPr>
      <w:r w:rsidRPr="009B6380">
        <w:t>Deliver at 39 weeks, unless indicated earlier </w:t>
      </w:r>
    </w:p>
    <w:p w14:paraId="148DEF1F" w14:textId="77777777" w:rsidR="009B6380" w:rsidRPr="009B6380" w:rsidRDefault="009B6380" w:rsidP="009B6380">
      <w:pPr>
        <w:pStyle w:val="BodyText"/>
        <w:numPr>
          <w:ilvl w:val="0"/>
          <w:numId w:val="18"/>
        </w:numPr>
      </w:pPr>
      <w:r w:rsidRPr="009B6380">
        <w:t>Perform cesarean section for standard obstetric indications </w:t>
      </w:r>
    </w:p>
    <w:p w14:paraId="241B3721" w14:textId="77777777" w:rsidR="009B6380" w:rsidRPr="009B6380" w:rsidRDefault="009B6380" w:rsidP="009B6380">
      <w:pPr>
        <w:pStyle w:val="BodyText"/>
      </w:pPr>
      <w:r w:rsidRPr="009B6380">
        <w:rPr>
          <w:b/>
          <w:bCs/>
        </w:rPr>
        <w:t>Umbilical Vein Varix</w:t>
      </w:r>
      <w:r w:rsidRPr="009B6380">
        <w:t> </w:t>
      </w:r>
    </w:p>
    <w:p w14:paraId="431EAFAD" w14:textId="77777777" w:rsidR="009B6380" w:rsidRPr="009B6380" w:rsidRDefault="009B6380" w:rsidP="009B6380">
      <w:pPr>
        <w:pStyle w:val="BodyText"/>
      </w:pPr>
      <w:r w:rsidRPr="009B6380">
        <w:t> </w:t>
      </w:r>
    </w:p>
    <w:p w14:paraId="0B464CA7" w14:textId="77777777" w:rsidR="009B6380" w:rsidRPr="009B6380" w:rsidRDefault="009B6380" w:rsidP="009B6380">
      <w:pPr>
        <w:pStyle w:val="BodyText"/>
      </w:pPr>
      <w:r w:rsidRPr="009B6380">
        <w:t>Definition: Focal dilation of the intraabdominal umbilical vein measuring &gt;9 mm diameter or intraabdominal umbilical vein diameter that is 50% larger than intrahepatic umbilical vein </w:t>
      </w:r>
    </w:p>
    <w:p w14:paraId="22F75D1D" w14:textId="77777777" w:rsidR="009B6380" w:rsidRPr="009B6380" w:rsidRDefault="009B6380" w:rsidP="009B6380">
      <w:pPr>
        <w:pStyle w:val="BodyText"/>
        <w:numPr>
          <w:ilvl w:val="0"/>
          <w:numId w:val="19"/>
        </w:numPr>
      </w:pPr>
      <w:r w:rsidRPr="009B6380">
        <w:t>Found in 1/1,000 pregnancies </w:t>
      </w:r>
    </w:p>
    <w:p w14:paraId="06BBEF17" w14:textId="77777777" w:rsidR="009B6380" w:rsidRPr="009B6380" w:rsidRDefault="009B6380" w:rsidP="009B6380">
      <w:pPr>
        <w:pStyle w:val="BodyText"/>
        <w:numPr>
          <w:ilvl w:val="0"/>
          <w:numId w:val="20"/>
        </w:numPr>
      </w:pPr>
      <w:r w:rsidRPr="009B6380">
        <w:t>2/3 of cases are diagnosed after 28 weeks gestation </w:t>
      </w:r>
    </w:p>
    <w:p w14:paraId="72CFF8C1" w14:textId="77777777" w:rsidR="009B6380" w:rsidRPr="009B6380" w:rsidRDefault="009B6380" w:rsidP="009B6380">
      <w:pPr>
        <w:pStyle w:val="BodyText"/>
        <w:numPr>
          <w:ilvl w:val="0"/>
          <w:numId w:val="21"/>
        </w:numPr>
      </w:pPr>
      <w:r w:rsidRPr="009B6380">
        <w:t>Most do not enlarge significantly during pregnancy </w:t>
      </w:r>
    </w:p>
    <w:p w14:paraId="2F86F52E" w14:textId="77777777" w:rsidR="009B6380" w:rsidRPr="009B6380" w:rsidRDefault="009B6380" w:rsidP="009B6380">
      <w:pPr>
        <w:pStyle w:val="BodyText"/>
        <w:numPr>
          <w:ilvl w:val="0"/>
          <w:numId w:val="22"/>
        </w:numPr>
      </w:pPr>
      <w:r w:rsidRPr="009B6380">
        <w:t>Increased risk for additional malformations (20-30%), IUGR (5-10%), varix thrombosis (1%) and IUFD (5-15%) </w:t>
      </w:r>
    </w:p>
    <w:p w14:paraId="6778C34B" w14:textId="77777777" w:rsidR="009B6380" w:rsidRPr="009B6380" w:rsidRDefault="009B6380" w:rsidP="009B6380">
      <w:pPr>
        <w:pStyle w:val="BodyText"/>
      </w:pPr>
      <w:r w:rsidRPr="009B6380">
        <w:t>Recommendations: </w:t>
      </w:r>
    </w:p>
    <w:p w14:paraId="1EE90F6E" w14:textId="77777777" w:rsidR="009B6380" w:rsidRPr="009B6380" w:rsidRDefault="009B6380" w:rsidP="009B6380">
      <w:pPr>
        <w:pStyle w:val="BodyText"/>
        <w:numPr>
          <w:ilvl w:val="0"/>
          <w:numId w:val="23"/>
        </w:numPr>
      </w:pPr>
      <w:r w:rsidRPr="009B6380">
        <w:t>Referral to MFM for detailed anatomy ultrasound </w:t>
      </w:r>
    </w:p>
    <w:p w14:paraId="6E01BA1D" w14:textId="77777777" w:rsidR="009B6380" w:rsidRPr="009B6380" w:rsidRDefault="009B6380" w:rsidP="009B6380">
      <w:pPr>
        <w:pStyle w:val="BodyText"/>
        <w:numPr>
          <w:ilvl w:val="0"/>
          <w:numId w:val="24"/>
        </w:numPr>
      </w:pPr>
      <w:r w:rsidRPr="009B6380">
        <w:t>Offer genetic testing if any additional abnormalities </w:t>
      </w:r>
    </w:p>
    <w:p w14:paraId="534DCB7E" w14:textId="77777777" w:rsidR="009B6380" w:rsidRPr="009B6380" w:rsidRDefault="009B6380" w:rsidP="009B6380">
      <w:pPr>
        <w:pStyle w:val="BodyText"/>
        <w:numPr>
          <w:ilvl w:val="0"/>
          <w:numId w:val="25"/>
        </w:numPr>
      </w:pPr>
      <w:r w:rsidRPr="009B6380">
        <w:t>MFM ultrasound to evaluate for varix size and flow and fetal hydrops every 1-2 weeks </w:t>
      </w:r>
    </w:p>
    <w:p w14:paraId="6A847C69" w14:textId="77777777" w:rsidR="009B6380" w:rsidRPr="009B6380" w:rsidRDefault="009B6380" w:rsidP="009B6380">
      <w:pPr>
        <w:pStyle w:val="BodyText"/>
        <w:numPr>
          <w:ilvl w:val="0"/>
          <w:numId w:val="26"/>
        </w:numPr>
      </w:pPr>
      <w:r w:rsidRPr="009B6380">
        <w:t>Twice weekly NSTs starting at 32 weeks </w:t>
      </w:r>
    </w:p>
    <w:p w14:paraId="77A5A79A" w14:textId="77777777" w:rsidR="009B6380" w:rsidRPr="009B6380" w:rsidRDefault="009B6380" w:rsidP="009B6380">
      <w:pPr>
        <w:pStyle w:val="BodyText"/>
        <w:numPr>
          <w:ilvl w:val="0"/>
          <w:numId w:val="27"/>
        </w:numPr>
      </w:pPr>
      <w:r w:rsidRPr="009B6380">
        <w:t>Deliver at 37 weeks </w:t>
      </w:r>
    </w:p>
    <w:p w14:paraId="291BA885" w14:textId="77777777" w:rsidR="009B6380" w:rsidRPr="009B6380" w:rsidRDefault="009B6380" w:rsidP="009B6380">
      <w:pPr>
        <w:pStyle w:val="BodyText"/>
        <w:numPr>
          <w:ilvl w:val="0"/>
          <w:numId w:val="28"/>
        </w:numPr>
      </w:pPr>
      <w:r w:rsidRPr="009B6380">
        <w:t>Perform cesarean section for standard obstetric indications </w:t>
      </w:r>
    </w:p>
    <w:p w14:paraId="251CCD9C" w14:textId="77777777" w:rsidR="009B6380" w:rsidRPr="009B6380" w:rsidRDefault="009B6380" w:rsidP="009B6380">
      <w:pPr>
        <w:pStyle w:val="BodyText"/>
      </w:pPr>
      <w:r w:rsidRPr="009B6380">
        <w:rPr>
          <w:b/>
          <w:bCs/>
        </w:rPr>
        <w:t>Marginal Cord Insertion</w:t>
      </w:r>
      <w:r w:rsidRPr="009B6380">
        <w:t> </w:t>
      </w:r>
    </w:p>
    <w:p w14:paraId="5D08A499" w14:textId="77777777" w:rsidR="009B6380" w:rsidRPr="009B6380" w:rsidRDefault="009B6380" w:rsidP="009B6380">
      <w:pPr>
        <w:pStyle w:val="BodyText"/>
      </w:pPr>
      <w:r w:rsidRPr="009B6380">
        <w:t> </w:t>
      </w:r>
    </w:p>
    <w:p w14:paraId="2F9F7400" w14:textId="77777777" w:rsidR="009B6380" w:rsidRPr="009B6380" w:rsidRDefault="009B6380" w:rsidP="009B6380">
      <w:pPr>
        <w:pStyle w:val="BodyText"/>
      </w:pPr>
      <w:r w:rsidRPr="009B6380">
        <w:t>Definition: Umbilical cord insertion &lt;2 cm from the placental edge </w:t>
      </w:r>
    </w:p>
    <w:p w14:paraId="1331E57E" w14:textId="77777777" w:rsidR="009B6380" w:rsidRPr="009B6380" w:rsidRDefault="009B6380" w:rsidP="009B6380">
      <w:pPr>
        <w:pStyle w:val="BodyText"/>
        <w:numPr>
          <w:ilvl w:val="0"/>
          <w:numId w:val="29"/>
        </w:numPr>
      </w:pPr>
      <w:r w:rsidRPr="009B6380">
        <w:lastRenderedPageBreak/>
        <w:t>Found in 2-10% of pregnancies  </w:t>
      </w:r>
    </w:p>
    <w:p w14:paraId="7C3DBCCE" w14:textId="77777777" w:rsidR="009B6380" w:rsidRPr="009B6380" w:rsidRDefault="009B6380" w:rsidP="009B6380">
      <w:pPr>
        <w:pStyle w:val="BodyText"/>
        <w:numPr>
          <w:ilvl w:val="0"/>
          <w:numId w:val="30"/>
        </w:numPr>
      </w:pPr>
      <w:r w:rsidRPr="009B6380">
        <w:t>More common in monochorionic twins </w:t>
      </w:r>
    </w:p>
    <w:p w14:paraId="67812737" w14:textId="77777777" w:rsidR="009B6380" w:rsidRPr="009B6380" w:rsidRDefault="009B6380" w:rsidP="009B6380">
      <w:pPr>
        <w:pStyle w:val="BodyText"/>
        <w:numPr>
          <w:ilvl w:val="0"/>
          <w:numId w:val="31"/>
        </w:numPr>
      </w:pPr>
      <w:r w:rsidRPr="009B6380">
        <w:t>Not associated with pregnancy complications </w:t>
      </w:r>
    </w:p>
    <w:p w14:paraId="60CA56E6" w14:textId="77777777" w:rsidR="009B6380" w:rsidRPr="009B6380" w:rsidRDefault="009B6380" w:rsidP="009B6380">
      <w:pPr>
        <w:pStyle w:val="BodyText"/>
      </w:pPr>
      <w:r w:rsidRPr="009B6380">
        <w:t>Recommendations: </w:t>
      </w:r>
    </w:p>
    <w:p w14:paraId="4D74A14D" w14:textId="77777777" w:rsidR="009B6380" w:rsidRPr="009B6380" w:rsidRDefault="009B6380" w:rsidP="009B6380">
      <w:pPr>
        <w:pStyle w:val="BodyText"/>
        <w:numPr>
          <w:ilvl w:val="0"/>
          <w:numId w:val="32"/>
        </w:numPr>
      </w:pPr>
      <w:r w:rsidRPr="009B6380">
        <w:t>Routine prenatal care </w:t>
      </w:r>
    </w:p>
    <w:p w14:paraId="0E5CE875" w14:textId="77777777" w:rsidR="009B6380" w:rsidRPr="009B6380" w:rsidRDefault="009B6380" w:rsidP="009B6380">
      <w:pPr>
        <w:pStyle w:val="BodyText"/>
        <w:numPr>
          <w:ilvl w:val="0"/>
          <w:numId w:val="33"/>
        </w:numPr>
      </w:pPr>
      <w:r w:rsidRPr="009B6380">
        <w:t>No indication for growth ultrasounds </w:t>
      </w:r>
    </w:p>
    <w:p w14:paraId="1D4E900C" w14:textId="77777777" w:rsidR="009B6380" w:rsidRPr="009B6380" w:rsidRDefault="009B6380" w:rsidP="009B6380">
      <w:pPr>
        <w:pStyle w:val="BodyText"/>
        <w:numPr>
          <w:ilvl w:val="0"/>
          <w:numId w:val="34"/>
        </w:numPr>
      </w:pPr>
      <w:r w:rsidRPr="009B6380">
        <w:t>No indication for antenatal testing  </w:t>
      </w:r>
    </w:p>
    <w:p w14:paraId="69F8D108" w14:textId="77777777" w:rsidR="009B6380" w:rsidRPr="009B6380" w:rsidRDefault="009B6380" w:rsidP="009B6380">
      <w:pPr>
        <w:pStyle w:val="BodyText"/>
        <w:numPr>
          <w:ilvl w:val="0"/>
          <w:numId w:val="35"/>
        </w:numPr>
      </w:pPr>
      <w:r w:rsidRPr="009B6380">
        <w:t>Deliver at term for standard obstetric indications </w:t>
      </w:r>
    </w:p>
    <w:p w14:paraId="09781459" w14:textId="77777777" w:rsidR="009B6380" w:rsidRPr="009B6380" w:rsidRDefault="009B6380" w:rsidP="009B6380">
      <w:pPr>
        <w:pStyle w:val="BodyText"/>
      </w:pPr>
      <w:r w:rsidRPr="009B6380">
        <w:rPr>
          <w:b/>
          <w:bCs/>
        </w:rPr>
        <w:t>Velamentous Cord Insertion</w:t>
      </w:r>
      <w:r w:rsidRPr="009B6380">
        <w:t> </w:t>
      </w:r>
    </w:p>
    <w:p w14:paraId="5EB15825" w14:textId="77777777" w:rsidR="009B6380" w:rsidRPr="009B6380" w:rsidRDefault="009B6380" w:rsidP="009B6380">
      <w:pPr>
        <w:pStyle w:val="BodyText"/>
      </w:pPr>
      <w:r w:rsidRPr="009B6380">
        <w:t> </w:t>
      </w:r>
    </w:p>
    <w:p w14:paraId="548F7E06" w14:textId="77777777" w:rsidR="009B6380" w:rsidRPr="009B6380" w:rsidRDefault="009B6380" w:rsidP="009B6380">
      <w:pPr>
        <w:pStyle w:val="BodyText"/>
      </w:pPr>
      <w:r w:rsidRPr="009B6380">
        <w:t>Definition: Umbilical cord insertion into the membrane rather than into the placenta  </w:t>
      </w:r>
    </w:p>
    <w:p w14:paraId="1FE28C51" w14:textId="77777777" w:rsidR="009B6380" w:rsidRPr="009B6380" w:rsidRDefault="009B6380" w:rsidP="009B6380">
      <w:pPr>
        <w:pStyle w:val="BodyText"/>
        <w:numPr>
          <w:ilvl w:val="0"/>
          <w:numId w:val="36"/>
        </w:numPr>
      </w:pPr>
      <w:r w:rsidRPr="009B6380">
        <w:t>Occurs in 1% of all pregnancies  </w:t>
      </w:r>
    </w:p>
    <w:p w14:paraId="512DB4A0" w14:textId="77777777" w:rsidR="009B6380" w:rsidRPr="009B6380" w:rsidRDefault="009B6380" w:rsidP="009B6380">
      <w:pPr>
        <w:pStyle w:val="BodyText"/>
        <w:numPr>
          <w:ilvl w:val="0"/>
          <w:numId w:val="37"/>
        </w:numPr>
      </w:pPr>
      <w:r w:rsidRPr="009B6380">
        <w:t>More common in multiple gestations and in the setting of placenta previa </w:t>
      </w:r>
    </w:p>
    <w:p w14:paraId="6177369D" w14:textId="77777777" w:rsidR="009B6380" w:rsidRPr="009B6380" w:rsidRDefault="009B6380" w:rsidP="009B6380">
      <w:pPr>
        <w:pStyle w:val="BodyText"/>
        <w:numPr>
          <w:ilvl w:val="0"/>
          <w:numId w:val="38"/>
        </w:numPr>
      </w:pPr>
      <w:r w:rsidRPr="009B6380">
        <w:t>Increased risk for IUGR (15-20%), preterm delivery (10-15%), abruption (5-10%), vasa previa (3-5%) and need for manual removal of the placenta (15%) </w:t>
      </w:r>
    </w:p>
    <w:p w14:paraId="357712BB" w14:textId="77777777" w:rsidR="009B6380" w:rsidRPr="009B6380" w:rsidRDefault="009B6380" w:rsidP="009B6380">
      <w:pPr>
        <w:pStyle w:val="BodyText"/>
      </w:pPr>
      <w:r w:rsidRPr="009B6380">
        <w:t>Recommendations: </w:t>
      </w:r>
    </w:p>
    <w:p w14:paraId="341666C7" w14:textId="77777777" w:rsidR="009B6380" w:rsidRPr="009B6380" w:rsidRDefault="009B6380" w:rsidP="009B6380">
      <w:pPr>
        <w:pStyle w:val="BodyText"/>
        <w:numPr>
          <w:ilvl w:val="0"/>
          <w:numId w:val="39"/>
        </w:numPr>
      </w:pPr>
      <w:r w:rsidRPr="009B6380">
        <w:t>Referral to MFM for detailed anatomy ultrasound and transvaginal ultrasound to assess for vasa previa </w:t>
      </w:r>
    </w:p>
    <w:p w14:paraId="5A71A7C6" w14:textId="77777777" w:rsidR="009B6380" w:rsidRPr="009B6380" w:rsidRDefault="009B6380" w:rsidP="009B6380">
      <w:pPr>
        <w:pStyle w:val="BodyText"/>
        <w:numPr>
          <w:ilvl w:val="0"/>
          <w:numId w:val="40"/>
        </w:numPr>
      </w:pPr>
      <w:r w:rsidRPr="009B6380">
        <w:t>Growth ultrasounds at 28, 32 and 36 weeks </w:t>
      </w:r>
    </w:p>
    <w:p w14:paraId="553E3BB5" w14:textId="77777777" w:rsidR="009B6380" w:rsidRPr="009B6380" w:rsidRDefault="009B6380" w:rsidP="009B6380">
      <w:pPr>
        <w:pStyle w:val="BodyText"/>
        <w:numPr>
          <w:ilvl w:val="0"/>
          <w:numId w:val="41"/>
        </w:numPr>
      </w:pPr>
      <w:r w:rsidRPr="009B6380">
        <w:t>No indication for antenatal testing </w:t>
      </w:r>
    </w:p>
    <w:p w14:paraId="4F85745B" w14:textId="77777777" w:rsidR="009B6380" w:rsidRPr="009B6380" w:rsidRDefault="009B6380" w:rsidP="009B6380">
      <w:pPr>
        <w:pStyle w:val="BodyText"/>
        <w:numPr>
          <w:ilvl w:val="0"/>
          <w:numId w:val="42"/>
        </w:numPr>
      </w:pPr>
      <w:r w:rsidRPr="009B6380">
        <w:t>Deliver at term for standard obstetric indications </w:t>
      </w:r>
    </w:p>
    <w:p w14:paraId="4DCDAC96" w14:textId="77777777" w:rsidR="009B6380" w:rsidRPr="009B6380" w:rsidRDefault="009B6380" w:rsidP="009B6380">
      <w:pPr>
        <w:pStyle w:val="BodyText"/>
        <w:numPr>
          <w:ilvl w:val="0"/>
          <w:numId w:val="43"/>
        </w:numPr>
      </w:pPr>
      <w:r w:rsidRPr="009B6380">
        <w:t>Perform cesarean section for standard obstetric indications </w:t>
      </w:r>
    </w:p>
    <w:p w14:paraId="6662D50D" w14:textId="77777777" w:rsidR="009B6380" w:rsidRPr="009B6380" w:rsidRDefault="009B6380" w:rsidP="009B6380">
      <w:pPr>
        <w:pStyle w:val="BodyText"/>
      </w:pPr>
      <w:r w:rsidRPr="009B6380">
        <w:t> </w:t>
      </w:r>
    </w:p>
    <w:p w14:paraId="78943666" w14:textId="77777777" w:rsidR="009B6380" w:rsidRPr="009B6380" w:rsidRDefault="009B6380" w:rsidP="009B6380">
      <w:pPr>
        <w:pStyle w:val="BodyText"/>
      </w:pPr>
      <w:r w:rsidRPr="009B6380">
        <w:rPr>
          <w:b/>
          <w:bCs/>
        </w:rPr>
        <w:t>References:</w:t>
      </w:r>
      <w:r w:rsidRPr="009B6380">
        <w:t> </w:t>
      </w:r>
    </w:p>
    <w:p w14:paraId="68F7EFB9" w14:textId="77777777" w:rsidR="009B6380" w:rsidRPr="009B6380" w:rsidRDefault="009B6380" w:rsidP="009B6380">
      <w:pPr>
        <w:pStyle w:val="BodyText"/>
      </w:pPr>
      <w:r w:rsidRPr="009B6380">
        <w:t> </w:t>
      </w:r>
    </w:p>
    <w:p w14:paraId="0AB4720A" w14:textId="77777777" w:rsidR="009B6380" w:rsidRPr="009B6380" w:rsidRDefault="009B6380" w:rsidP="009B6380">
      <w:pPr>
        <w:pStyle w:val="BodyText"/>
      </w:pPr>
      <w:r w:rsidRPr="009B6380">
        <w:rPr>
          <w:lang w:val="en"/>
        </w:rPr>
        <w:t xml:space="preserve">“Single Umbilical Artery.” </w:t>
      </w:r>
      <w:r w:rsidRPr="009B6380">
        <w:rPr>
          <w:i/>
          <w:iCs/>
          <w:lang w:val="en"/>
        </w:rPr>
        <w:t>Fetology Diagnosis and Management of the Fetal Patient</w:t>
      </w:r>
      <w:r w:rsidRPr="009B6380">
        <w:rPr>
          <w:lang w:val="en"/>
        </w:rPr>
        <w:t>, by Diana W. Bianchi, 2nd ed., McGraw-Hill Medical Pub. Division, 2010, pp. 746–749.</w:t>
      </w:r>
      <w:r w:rsidRPr="009B6380">
        <w:t> </w:t>
      </w:r>
    </w:p>
    <w:p w14:paraId="47879757" w14:textId="77777777" w:rsidR="009B6380" w:rsidRPr="009B6380" w:rsidRDefault="009B6380" w:rsidP="009B6380">
      <w:pPr>
        <w:pStyle w:val="BodyText"/>
      </w:pPr>
      <w:r w:rsidRPr="009B6380">
        <w:t> </w:t>
      </w:r>
    </w:p>
    <w:p w14:paraId="37C5B6CD" w14:textId="77777777" w:rsidR="009B6380" w:rsidRPr="009B6380" w:rsidRDefault="009B6380" w:rsidP="009B6380">
      <w:pPr>
        <w:pStyle w:val="BodyText"/>
      </w:pPr>
      <w:r w:rsidRPr="009B6380">
        <w:rPr>
          <w:lang w:val="en"/>
        </w:rPr>
        <w:t xml:space="preserve">“Umbilical Cord Abnormalities.” </w:t>
      </w:r>
      <w:r w:rsidRPr="009B6380">
        <w:rPr>
          <w:i/>
          <w:iCs/>
          <w:lang w:val="en"/>
        </w:rPr>
        <w:t>Fetology Diagnosis and Management of the Fetal Patient</w:t>
      </w:r>
      <w:r w:rsidRPr="009B6380">
        <w:rPr>
          <w:lang w:val="en"/>
        </w:rPr>
        <w:t>, by Diana W. Bianchi, 2nd ed., McGraw-Hill Medical Pub. Division, 2010.</w:t>
      </w:r>
      <w:r w:rsidRPr="009B6380">
        <w:t> </w:t>
      </w:r>
    </w:p>
    <w:p w14:paraId="3702BA47" w14:textId="77777777" w:rsidR="009B6380" w:rsidRPr="009B6380" w:rsidRDefault="009B6380" w:rsidP="009B6380">
      <w:pPr>
        <w:pStyle w:val="BodyText"/>
      </w:pPr>
      <w:r w:rsidRPr="009B6380">
        <w:t> </w:t>
      </w:r>
    </w:p>
    <w:p w14:paraId="7EB10D88" w14:textId="77777777" w:rsidR="009B6380" w:rsidRPr="009B6380" w:rsidRDefault="009B6380" w:rsidP="009B6380">
      <w:pPr>
        <w:pStyle w:val="BodyText"/>
      </w:pPr>
      <w:r w:rsidRPr="009B6380">
        <w:rPr>
          <w:lang w:val="en"/>
        </w:rPr>
        <w:t xml:space="preserve">Harris, Robert D, et al. “Ultrasound Evaluation of the Placenta and Umbilical Cord.” </w:t>
      </w:r>
      <w:r w:rsidRPr="009B6380">
        <w:rPr>
          <w:i/>
          <w:iCs/>
          <w:lang w:val="en"/>
        </w:rPr>
        <w:t>Ultrasonography in Obstetrics &amp; Gynecology</w:t>
      </w:r>
      <w:r w:rsidRPr="009B6380">
        <w:rPr>
          <w:lang w:val="en"/>
        </w:rPr>
        <w:t>, by Peter W Callen, 5th ed., Saunders, 2008, pp. 721–757.</w:t>
      </w:r>
      <w:r w:rsidRPr="009B6380">
        <w:t> </w:t>
      </w:r>
    </w:p>
    <w:p w14:paraId="69610F24" w14:textId="77777777" w:rsidR="009B6380" w:rsidRPr="009B6380" w:rsidRDefault="009B6380" w:rsidP="009B6380">
      <w:pPr>
        <w:pStyle w:val="BodyText"/>
      </w:pPr>
      <w:r w:rsidRPr="009B6380">
        <w:t> </w:t>
      </w:r>
    </w:p>
    <w:p w14:paraId="4B8ED848" w14:textId="77777777" w:rsidR="009B6380" w:rsidRPr="009B6380" w:rsidRDefault="009B6380" w:rsidP="009B6380">
      <w:pPr>
        <w:pStyle w:val="BodyText"/>
      </w:pPr>
      <w:r w:rsidRPr="009B6380">
        <w:rPr>
          <w:lang w:val="en"/>
        </w:rPr>
        <w:t xml:space="preserve">“Placenta, Membranes and Umbilical Cord.” Diagnostic Imaging </w:t>
      </w:r>
      <w:r w:rsidRPr="009B6380">
        <w:rPr>
          <w:i/>
          <w:iCs/>
          <w:lang w:val="en"/>
        </w:rPr>
        <w:t>Obstetrics</w:t>
      </w:r>
      <w:r w:rsidRPr="009B6380">
        <w:rPr>
          <w:lang w:val="en"/>
        </w:rPr>
        <w:t xml:space="preserve">, by Paula J. Woodward, 2nd ed., </w:t>
      </w:r>
      <w:proofErr w:type="spellStart"/>
      <w:r w:rsidRPr="009B6380">
        <w:rPr>
          <w:lang w:val="en"/>
        </w:rPr>
        <w:t>Amirsys</w:t>
      </w:r>
      <w:proofErr w:type="spellEnd"/>
      <w:r w:rsidRPr="009B6380">
        <w:rPr>
          <w:lang w:val="en"/>
        </w:rPr>
        <w:t>, 2011.</w:t>
      </w:r>
      <w:r w:rsidRPr="009B6380">
        <w:t> </w:t>
      </w:r>
    </w:p>
    <w:p w14:paraId="420C13D4" w14:textId="77777777" w:rsidR="009B6380" w:rsidRPr="009B6380" w:rsidRDefault="009B6380" w:rsidP="009B6380">
      <w:pPr>
        <w:pStyle w:val="BodyText"/>
      </w:pPr>
      <w:r w:rsidRPr="009B6380">
        <w:t> </w:t>
      </w:r>
    </w:p>
    <w:p w14:paraId="64618567" w14:textId="77777777" w:rsidR="009B6380" w:rsidRPr="009B6380" w:rsidRDefault="009B6380" w:rsidP="009B6380">
      <w:pPr>
        <w:pStyle w:val="BodyText"/>
      </w:pPr>
      <w:hyperlink r:id="rId10" w:tgtFrame="_blank" w:history="1">
        <w:r w:rsidRPr="009B6380">
          <w:rPr>
            <w:rStyle w:val="Hyperlink"/>
          </w:rPr>
          <w:t xml:space="preserve">Thummala MR, Raju TN, Langenberg P. Isolated single umbilical artery anomaly and the risk for congenital malformations: a meta-analysis. J </w:t>
        </w:r>
        <w:proofErr w:type="spellStart"/>
        <w:r w:rsidRPr="009B6380">
          <w:rPr>
            <w:rStyle w:val="Hyperlink"/>
          </w:rPr>
          <w:t>Pediatr</w:t>
        </w:r>
        <w:proofErr w:type="spellEnd"/>
        <w:r w:rsidRPr="009B6380">
          <w:rPr>
            <w:rStyle w:val="Hyperlink"/>
          </w:rPr>
          <w:t xml:space="preserve"> Surg 1998; 33:580.</w:t>
        </w:r>
      </w:hyperlink>
      <w:r w:rsidRPr="009B6380">
        <w:t> </w:t>
      </w:r>
    </w:p>
    <w:p w14:paraId="0C47B503" w14:textId="77777777" w:rsidR="009B6380" w:rsidRPr="009B6380" w:rsidRDefault="009B6380" w:rsidP="009B6380">
      <w:pPr>
        <w:pStyle w:val="BodyText"/>
      </w:pPr>
      <w:r w:rsidRPr="009B6380">
        <w:t> </w:t>
      </w:r>
    </w:p>
    <w:p w14:paraId="35F7D97B" w14:textId="77777777" w:rsidR="009B6380" w:rsidRPr="009B6380" w:rsidRDefault="009B6380" w:rsidP="009B6380">
      <w:pPr>
        <w:pStyle w:val="BodyText"/>
      </w:pPr>
      <w:hyperlink r:id="rId11" w:tgtFrame="_blank" w:history="1">
        <w:r w:rsidRPr="009B6380">
          <w:rPr>
            <w:rStyle w:val="Hyperlink"/>
          </w:rPr>
          <w:t xml:space="preserve">DeFigueiredo D, </w:t>
        </w:r>
        <w:proofErr w:type="spellStart"/>
        <w:r w:rsidRPr="009B6380">
          <w:rPr>
            <w:rStyle w:val="Hyperlink"/>
          </w:rPr>
          <w:t>Dagklis</w:t>
        </w:r>
        <w:proofErr w:type="spellEnd"/>
        <w:r w:rsidRPr="009B6380">
          <w:rPr>
            <w:rStyle w:val="Hyperlink"/>
          </w:rPr>
          <w:t xml:space="preserve"> T, </w:t>
        </w:r>
        <w:proofErr w:type="spellStart"/>
        <w:r w:rsidRPr="009B6380">
          <w:rPr>
            <w:rStyle w:val="Hyperlink"/>
          </w:rPr>
          <w:t>Zidere</w:t>
        </w:r>
        <w:proofErr w:type="spellEnd"/>
        <w:r w:rsidRPr="009B6380">
          <w:rPr>
            <w:rStyle w:val="Hyperlink"/>
          </w:rPr>
          <w:t xml:space="preserve"> V, et al. Isolated single umbilical artery: need for specialist fetal echocardiography? Ultrasound Obstet </w:t>
        </w:r>
        <w:proofErr w:type="spellStart"/>
        <w:r w:rsidRPr="009B6380">
          <w:rPr>
            <w:rStyle w:val="Hyperlink"/>
          </w:rPr>
          <w:t>Gynecol</w:t>
        </w:r>
        <w:proofErr w:type="spellEnd"/>
        <w:r w:rsidRPr="009B6380">
          <w:rPr>
            <w:rStyle w:val="Hyperlink"/>
          </w:rPr>
          <w:t xml:space="preserve"> 2010; 36:553.</w:t>
        </w:r>
      </w:hyperlink>
      <w:r w:rsidRPr="009B6380">
        <w:t> </w:t>
      </w:r>
    </w:p>
    <w:p w14:paraId="005F0FAA" w14:textId="77777777" w:rsidR="009B6380" w:rsidRPr="009B6380" w:rsidRDefault="009B6380" w:rsidP="009B6380">
      <w:pPr>
        <w:pStyle w:val="BodyText"/>
      </w:pPr>
      <w:r w:rsidRPr="009B6380">
        <w:t> </w:t>
      </w:r>
    </w:p>
    <w:p w14:paraId="59E8A747" w14:textId="77777777" w:rsidR="009B6380" w:rsidRPr="009B6380" w:rsidRDefault="009B6380" w:rsidP="009B6380">
      <w:pPr>
        <w:pStyle w:val="BodyText"/>
      </w:pPr>
      <w:hyperlink r:id="rId12" w:tgtFrame="_blank" w:history="1">
        <w:r w:rsidRPr="009B6380">
          <w:rPr>
            <w:rStyle w:val="Hyperlink"/>
          </w:rPr>
          <w:t>Chen K, Akoma U, Anderson A, et al. Prenatally diagnosed single umbilical artery: The role and relationship of additional risk factors in the fetus for congenital heart disease. J Clin Ultrasound 2016; 44:113.</w:t>
        </w:r>
      </w:hyperlink>
      <w:r w:rsidRPr="009B6380">
        <w:t> </w:t>
      </w:r>
    </w:p>
    <w:p w14:paraId="4D662350" w14:textId="77777777" w:rsidR="009B6380" w:rsidRPr="009B6380" w:rsidRDefault="009B6380" w:rsidP="009B6380">
      <w:pPr>
        <w:pStyle w:val="BodyText"/>
      </w:pPr>
      <w:r w:rsidRPr="009B6380">
        <w:t> </w:t>
      </w:r>
    </w:p>
    <w:p w14:paraId="62659817" w14:textId="77777777" w:rsidR="009B6380" w:rsidRPr="009B6380" w:rsidRDefault="009B6380" w:rsidP="009B6380">
      <w:pPr>
        <w:pStyle w:val="BodyText"/>
      </w:pPr>
      <w:hyperlink r:id="rId13" w:tgtFrame="_blank" w:history="1">
        <w:r w:rsidRPr="009B6380">
          <w:rPr>
            <w:rStyle w:val="Hyperlink"/>
          </w:rPr>
          <w:t xml:space="preserve">Gurram P, Figueroa R, </w:t>
        </w:r>
        <w:proofErr w:type="spellStart"/>
        <w:r w:rsidRPr="009B6380">
          <w:rPr>
            <w:rStyle w:val="Hyperlink"/>
          </w:rPr>
          <w:t>Sipusic</w:t>
        </w:r>
        <w:proofErr w:type="spellEnd"/>
        <w:r w:rsidRPr="009B6380">
          <w:rPr>
            <w:rStyle w:val="Hyperlink"/>
          </w:rPr>
          <w:t xml:space="preserve"> E, et al. Isolated Single Umbilical Artery and Fetal Echocardiography: A 25-Year Experience at a Tertiary Care City Hospital. J Ultrasound Med 2018; 37:463.</w:t>
        </w:r>
      </w:hyperlink>
      <w:r w:rsidRPr="009B6380">
        <w:t> </w:t>
      </w:r>
    </w:p>
    <w:p w14:paraId="6E889700" w14:textId="77777777" w:rsidR="009B6380" w:rsidRPr="009B6380" w:rsidRDefault="009B6380" w:rsidP="009B6380">
      <w:pPr>
        <w:pStyle w:val="BodyText"/>
      </w:pPr>
      <w:r w:rsidRPr="009B6380">
        <w:t> </w:t>
      </w:r>
    </w:p>
    <w:p w14:paraId="0915C361" w14:textId="77777777" w:rsidR="009B6380" w:rsidRPr="009B6380" w:rsidRDefault="009B6380" w:rsidP="009B6380">
      <w:pPr>
        <w:pStyle w:val="BodyText"/>
      </w:pPr>
      <w:r w:rsidRPr="009B6380">
        <w:rPr>
          <w:lang w:val="en"/>
        </w:rPr>
        <w:t xml:space="preserve">Beraud, E., et al. “Umbilical Vein Varix: Importance of Ante- and Post-Natal Monitoring by Ultrasound.” </w:t>
      </w:r>
      <w:r w:rsidRPr="009B6380">
        <w:rPr>
          <w:i/>
          <w:iCs/>
          <w:lang w:val="en"/>
        </w:rPr>
        <w:t>Diagnostic and Interventional Imaging</w:t>
      </w:r>
      <w:r w:rsidRPr="009B6380">
        <w:rPr>
          <w:lang w:val="en"/>
        </w:rPr>
        <w:t xml:space="preserve">, vol. 96, no. 1, 2015, pp. 21–26., </w:t>
      </w:r>
      <w:proofErr w:type="gramStart"/>
      <w:r w:rsidRPr="009B6380">
        <w:rPr>
          <w:lang w:val="en"/>
        </w:rPr>
        <w:t>doi:10.1016/j.diii</w:t>
      </w:r>
      <w:proofErr w:type="gramEnd"/>
      <w:r w:rsidRPr="009B6380">
        <w:rPr>
          <w:lang w:val="en"/>
        </w:rPr>
        <w:t>.2014.01.009.</w:t>
      </w:r>
      <w:r w:rsidRPr="009B6380">
        <w:t> </w:t>
      </w:r>
    </w:p>
    <w:p w14:paraId="22F514C4" w14:textId="77777777" w:rsidR="009B6380" w:rsidRPr="009B6380" w:rsidRDefault="009B6380" w:rsidP="009B6380">
      <w:pPr>
        <w:pStyle w:val="BodyText"/>
      </w:pPr>
      <w:r w:rsidRPr="009B6380">
        <w:t> </w:t>
      </w:r>
    </w:p>
    <w:p w14:paraId="2F2A6358" w14:textId="77777777" w:rsidR="009B6380" w:rsidRPr="009B6380" w:rsidRDefault="009B6380" w:rsidP="009B6380">
      <w:pPr>
        <w:pStyle w:val="BodyText"/>
      </w:pPr>
      <w:proofErr w:type="spellStart"/>
      <w:r w:rsidRPr="009B6380">
        <w:rPr>
          <w:lang w:val="en"/>
        </w:rPr>
        <w:t>Mankuta</w:t>
      </w:r>
      <w:proofErr w:type="spellEnd"/>
      <w:r w:rsidRPr="009B6380">
        <w:rPr>
          <w:lang w:val="en"/>
        </w:rPr>
        <w:t xml:space="preserve">, David, et al. “Isolated Fetal Intra-Abdominal Umbilical Vein Varix.” </w:t>
      </w:r>
      <w:r w:rsidRPr="009B6380">
        <w:rPr>
          <w:i/>
          <w:iCs/>
          <w:lang w:val="en"/>
        </w:rPr>
        <w:t>Journal of Ultrasound in Medicine</w:t>
      </w:r>
      <w:r w:rsidRPr="009B6380">
        <w:rPr>
          <w:lang w:val="en"/>
        </w:rPr>
        <w:t>, vol. 30, no. 2, 2011, pp. 273–276., doi:10.7863/jum.2011.30.2.273.</w:t>
      </w:r>
      <w:r w:rsidRPr="009B6380">
        <w:t> </w:t>
      </w:r>
    </w:p>
    <w:p w14:paraId="0831ED08" w14:textId="77777777" w:rsidR="009B6380" w:rsidRPr="009B6380" w:rsidRDefault="009B6380" w:rsidP="009B6380">
      <w:pPr>
        <w:pStyle w:val="BodyText"/>
      </w:pPr>
      <w:r w:rsidRPr="009B6380">
        <w:t> </w:t>
      </w:r>
    </w:p>
    <w:p w14:paraId="7E5EF902" w14:textId="77777777" w:rsidR="009B6380" w:rsidRPr="009B6380" w:rsidRDefault="009B6380" w:rsidP="009B6380">
      <w:pPr>
        <w:pStyle w:val="BodyText"/>
      </w:pPr>
      <w:r w:rsidRPr="009B6380">
        <w:rPr>
          <w:lang w:val="en"/>
        </w:rPr>
        <w:t xml:space="preserve">Liu, Charles C., et al. “Sonographic Prenatal Diagnosis of Marginal Placental Cord Insertion.” </w:t>
      </w:r>
      <w:r w:rsidRPr="009B6380">
        <w:rPr>
          <w:i/>
          <w:iCs/>
          <w:lang w:val="en"/>
        </w:rPr>
        <w:t>Journal of Ultrasound in Medicine</w:t>
      </w:r>
      <w:r w:rsidRPr="009B6380">
        <w:rPr>
          <w:lang w:val="en"/>
        </w:rPr>
        <w:t>, vol. 21, no. 6, 2002, pp. 627–632., doi:10.7863/jum.2002.21.6.627.</w:t>
      </w:r>
      <w:r w:rsidRPr="009B6380">
        <w:t> </w:t>
      </w:r>
    </w:p>
    <w:p w14:paraId="1C83CF45" w14:textId="77777777" w:rsidR="009B6380" w:rsidRPr="009B6380" w:rsidRDefault="009B6380" w:rsidP="009B6380">
      <w:pPr>
        <w:pStyle w:val="BodyText"/>
      </w:pPr>
      <w:r w:rsidRPr="009B6380">
        <w:t> </w:t>
      </w:r>
    </w:p>
    <w:p w14:paraId="07B34231" w14:textId="77777777" w:rsidR="009B6380" w:rsidRPr="009B6380" w:rsidRDefault="009B6380" w:rsidP="009B6380">
      <w:pPr>
        <w:pStyle w:val="BodyText"/>
      </w:pPr>
      <w:proofErr w:type="spellStart"/>
      <w:r w:rsidRPr="009B6380">
        <w:rPr>
          <w:lang w:val="en"/>
        </w:rPr>
        <w:t>Vintzileos</w:t>
      </w:r>
      <w:proofErr w:type="spellEnd"/>
      <w:r w:rsidRPr="009B6380">
        <w:rPr>
          <w:lang w:val="en"/>
        </w:rPr>
        <w:t xml:space="preserve">, Anthony M., et al. “Using Ultrasound in the Clinical Management of Placental Implantation Abnormalities.” </w:t>
      </w:r>
      <w:r w:rsidRPr="009B6380">
        <w:rPr>
          <w:i/>
          <w:iCs/>
          <w:lang w:val="en"/>
        </w:rPr>
        <w:t>American Journal of Obstetrics and Gynecology</w:t>
      </w:r>
      <w:r w:rsidRPr="009B6380">
        <w:rPr>
          <w:lang w:val="en"/>
        </w:rPr>
        <w:t xml:space="preserve">, vol. 213, no. 4, 2015, </w:t>
      </w:r>
      <w:proofErr w:type="gramStart"/>
      <w:r w:rsidRPr="009B6380">
        <w:rPr>
          <w:lang w:val="en"/>
        </w:rPr>
        <w:t>doi:10.1016/j.ajog</w:t>
      </w:r>
      <w:proofErr w:type="gramEnd"/>
      <w:r w:rsidRPr="009B6380">
        <w:rPr>
          <w:lang w:val="en"/>
        </w:rPr>
        <w:t>.2015.05.059.</w:t>
      </w:r>
      <w:r w:rsidRPr="009B6380">
        <w:t> </w:t>
      </w:r>
    </w:p>
    <w:p w14:paraId="02FF0727" w14:textId="77777777" w:rsidR="009B6380" w:rsidRPr="009B6380" w:rsidRDefault="009B6380" w:rsidP="009B6380">
      <w:pPr>
        <w:pStyle w:val="BodyText"/>
      </w:pPr>
      <w:r w:rsidRPr="009B6380">
        <w:t> </w:t>
      </w:r>
    </w:p>
    <w:p w14:paraId="0CC2233C" w14:textId="77777777" w:rsidR="009B6380" w:rsidRPr="009B6380" w:rsidRDefault="009B6380" w:rsidP="009B6380">
      <w:pPr>
        <w:pStyle w:val="BodyText"/>
      </w:pPr>
      <w:proofErr w:type="spellStart"/>
      <w:r w:rsidRPr="009B6380">
        <w:rPr>
          <w:lang w:val="en"/>
        </w:rPr>
        <w:t>Esakoff</w:t>
      </w:r>
      <w:proofErr w:type="spellEnd"/>
      <w:r w:rsidRPr="009B6380">
        <w:rPr>
          <w:lang w:val="en"/>
        </w:rPr>
        <w:t xml:space="preserve">, Tania F., et al. “Velamentous Cord Insertion: Is It Associated with Adverse Perinatal Outcomes?” </w:t>
      </w:r>
      <w:r w:rsidRPr="009B6380">
        <w:rPr>
          <w:i/>
          <w:iCs/>
          <w:lang w:val="en"/>
        </w:rPr>
        <w:t>The Journal of Maternal-Fetal &amp; Neonatal Medicine</w:t>
      </w:r>
      <w:r w:rsidRPr="009B6380">
        <w:rPr>
          <w:lang w:val="en"/>
        </w:rPr>
        <w:t>, vol. 28, no. 4, 2014, pp. 409–412., doi:10.3109/14767058.2014.918098.</w:t>
      </w:r>
      <w:r w:rsidRPr="009B6380">
        <w:t> </w:t>
      </w:r>
    </w:p>
    <w:p w14:paraId="0ECE73E4" w14:textId="77777777" w:rsidR="009B6380" w:rsidRPr="009B6380" w:rsidRDefault="009B6380" w:rsidP="009B6380">
      <w:pPr>
        <w:pStyle w:val="BodyText"/>
      </w:pPr>
      <w:r w:rsidRPr="009B6380">
        <w:t> </w:t>
      </w:r>
    </w:p>
    <w:p w14:paraId="2140BA0D" w14:textId="77777777" w:rsidR="009B6380" w:rsidRPr="009B6380" w:rsidRDefault="009B6380" w:rsidP="009B6380">
      <w:pPr>
        <w:pStyle w:val="BodyText"/>
      </w:pPr>
      <w:proofErr w:type="spellStart"/>
      <w:r w:rsidRPr="009B6380">
        <w:rPr>
          <w:lang w:val="en"/>
        </w:rPr>
        <w:t>Sinkin</w:t>
      </w:r>
      <w:proofErr w:type="spellEnd"/>
      <w:r w:rsidRPr="009B6380">
        <w:rPr>
          <w:lang w:val="en"/>
        </w:rPr>
        <w:t xml:space="preserve">, Joshua A., et al. “Perinatal Outcomes Associated </w:t>
      </w:r>
      <w:proofErr w:type="gramStart"/>
      <w:r w:rsidRPr="009B6380">
        <w:rPr>
          <w:lang w:val="en"/>
        </w:rPr>
        <w:t>With</w:t>
      </w:r>
      <w:proofErr w:type="gramEnd"/>
      <w:r w:rsidRPr="009B6380">
        <w:rPr>
          <w:lang w:val="en"/>
        </w:rPr>
        <w:t xml:space="preserve"> Isolated Velamentous Cord Insertion in Singleton and Twin Pregnancies.” </w:t>
      </w:r>
      <w:r w:rsidRPr="009B6380">
        <w:rPr>
          <w:i/>
          <w:iCs/>
          <w:lang w:val="en"/>
        </w:rPr>
        <w:t>Journal of Ultrasound in Medicine</w:t>
      </w:r>
      <w:r w:rsidRPr="009B6380">
        <w:rPr>
          <w:lang w:val="en"/>
        </w:rPr>
        <w:t>, vol. 37, no. 2, 2017, pp. 471–478., doi:10.1002/jum.14357.</w:t>
      </w:r>
      <w:r w:rsidRPr="009B6380">
        <w:t> </w:t>
      </w:r>
    </w:p>
    <w:p w14:paraId="4B2E5336" w14:textId="77777777" w:rsidR="009B6380" w:rsidRPr="009B6380" w:rsidRDefault="009B6380" w:rsidP="009B6380">
      <w:pPr>
        <w:pStyle w:val="BodyText"/>
      </w:pPr>
      <w:r w:rsidRPr="009B6380">
        <w:t>. </w:t>
      </w:r>
    </w:p>
    <w:p w14:paraId="0593AAA1" w14:textId="77777777" w:rsidR="00A2353A" w:rsidRPr="00CE77D3" w:rsidRDefault="00A2353A" w:rsidP="00883FBC">
      <w:pPr>
        <w:pStyle w:val="BodyText"/>
      </w:pPr>
    </w:p>
    <w:p w14:paraId="0D05A81A" w14:textId="77777777" w:rsidR="00A2353A" w:rsidRPr="00CE77D3" w:rsidRDefault="00A2353A" w:rsidP="00883FBC">
      <w:pPr>
        <w:pStyle w:val="BodyText"/>
      </w:pPr>
    </w:p>
    <w:p w14:paraId="2D0E971B" w14:textId="77777777" w:rsidR="00E42981" w:rsidRDefault="00E42981" w:rsidP="00883FBC">
      <w:pPr>
        <w:pStyle w:val="BodyText"/>
      </w:pPr>
    </w:p>
    <w:p w14:paraId="23C7C05A" w14:textId="77777777" w:rsidR="00E42981" w:rsidRDefault="00E42981" w:rsidP="00883FBC">
      <w:pPr>
        <w:pStyle w:val="BodyText"/>
      </w:pPr>
    </w:p>
    <w:p w14:paraId="412AF27E" w14:textId="77777777" w:rsidR="00935D26" w:rsidRPr="00935D26" w:rsidRDefault="00935D26" w:rsidP="00935D26"/>
    <w:p w14:paraId="27A5B5A6" w14:textId="77777777" w:rsidR="00935D26" w:rsidRPr="00935D26" w:rsidRDefault="00935D26" w:rsidP="00935D26"/>
    <w:p w14:paraId="1B366E09" w14:textId="77777777" w:rsidR="00935D26" w:rsidRPr="00935D26" w:rsidRDefault="00935D26" w:rsidP="00935D26"/>
    <w:p w14:paraId="122802C0" w14:textId="77777777" w:rsidR="00935D26" w:rsidRPr="00935D26" w:rsidRDefault="00935D26" w:rsidP="00935D26"/>
    <w:p w14:paraId="23FE2B10" w14:textId="77777777" w:rsidR="00935D26" w:rsidRPr="00935D26" w:rsidRDefault="00935D26" w:rsidP="00935D26"/>
    <w:p w14:paraId="68C6B7D6" w14:textId="77777777" w:rsidR="00935D26" w:rsidRPr="00935D26" w:rsidRDefault="00935D26" w:rsidP="00935D26"/>
    <w:p w14:paraId="2A878155" w14:textId="77777777" w:rsidR="00935D26" w:rsidRPr="00935D26" w:rsidRDefault="00935D26" w:rsidP="00935D26"/>
    <w:p w14:paraId="2B7965A2" w14:textId="77777777" w:rsidR="00935D26" w:rsidRPr="00935D26" w:rsidRDefault="00935D26" w:rsidP="00935D26"/>
    <w:p w14:paraId="6B3CC3D4" w14:textId="77777777" w:rsidR="00935D26" w:rsidRPr="00935D26" w:rsidRDefault="00935D26" w:rsidP="00935D26"/>
    <w:p w14:paraId="15317CE7" w14:textId="77777777" w:rsidR="00935D26" w:rsidRPr="00935D26" w:rsidRDefault="00935D26" w:rsidP="00935D26"/>
    <w:p w14:paraId="26915827" w14:textId="77777777" w:rsidR="00935D26" w:rsidRPr="00935D26" w:rsidRDefault="00935D26" w:rsidP="00935D26"/>
    <w:p w14:paraId="30EF866B" w14:textId="77777777" w:rsidR="00935D26" w:rsidRPr="00935D26" w:rsidRDefault="00935D26" w:rsidP="00935D26"/>
    <w:p w14:paraId="70047DD3" w14:textId="77777777" w:rsidR="00935D26" w:rsidRPr="00935D26" w:rsidRDefault="00935D26" w:rsidP="00935D26"/>
    <w:p w14:paraId="775C0860" w14:textId="77777777" w:rsidR="00935D26" w:rsidRPr="00935D26" w:rsidRDefault="00935D26" w:rsidP="00935D26"/>
    <w:p w14:paraId="20BA4D7A" w14:textId="77777777" w:rsidR="00935D26" w:rsidRPr="00935D26" w:rsidRDefault="00935D26" w:rsidP="00935D26"/>
    <w:p w14:paraId="263B0BE0" w14:textId="77777777" w:rsidR="00935D26" w:rsidRPr="00935D26" w:rsidRDefault="00935D26" w:rsidP="00935D26"/>
    <w:p w14:paraId="42435FF3" w14:textId="77777777" w:rsidR="00935D26" w:rsidRPr="00935D26" w:rsidRDefault="00935D26" w:rsidP="00935D26"/>
    <w:p w14:paraId="2DC4C35F" w14:textId="77777777" w:rsidR="00935D26" w:rsidRPr="00935D26" w:rsidRDefault="00935D26" w:rsidP="00935D26"/>
    <w:p w14:paraId="7087E209" w14:textId="77777777" w:rsidR="00935D26" w:rsidRPr="00935D26" w:rsidRDefault="00935D26" w:rsidP="00935D26"/>
    <w:p w14:paraId="27F75AE6" w14:textId="77777777" w:rsidR="00935D26" w:rsidRPr="00935D26" w:rsidRDefault="00935D26" w:rsidP="00935D26"/>
    <w:p w14:paraId="5766E51F" w14:textId="77777777" w:rsidR="00935D26" w:rsidRPr="00935D26" w:rsidRDefault="00935D26" w:rsidP="00935D26"/>
    <w:p w14:paraId="2170BF9D" w14:textId="77777777" w:rsidR="00935D26" w:rsidRPr="00935D26" w:rsidRDefault="00935D26" w:rsidP="00935D26"/>
    <w:p w14:paraId="7D73AC58" w14:textId="77777777" w:rsidR="00935D26" w:rsidRPr="00935D26" w:rsidRDefault="00935D26" w:rsidP="00935D26"/>
    <w:p w14:paraId="59A7A2A7" w14:textId="77777777" w:rsidR="00935D26" w:rsidRPr="00935D26" w:rsidRDefault="00935D26" w:rsidP="00935D26"/>
    <w:p w14:paraId="0F17D615" w14:textId="77777777" w:rsidR="00935D26" w:rsidRPr="00935D26" w:rsidRDefault="00935D26" w:rsidP="00935D26"/>
    <w:p w14:paraId="207CAF4F" w14:textId="77777777" w:rsidR="00935D26" w:rsidRPr="00935D26" w:rsidRDefault="00935D26" w:rsidP="00935D26"/>
    <w:p w14:paraId="6A5E2EB5" w14:textId="77777777" w:rsidR="00935D26" w:rsidRPr="00935D26" w:rsidRDefault="00935D26" w:rsidP="00935D26"/>
    <w:p w14:paraId="3A32BAC2" w14:textId="77777777" w:rsidR="00935D26" w:rsidRPr="00935D26" w:rsidRDefault="00935D26" w:rsidP="00935D26"/>
    <w:p w14:paraId="4733789F" w14:textId="77777777" w:rsidR="00935D26" w:rsidRPr="00935D26" w:rsidRDefault="00935D26" w:rsidP="00935D26"/>
    <w:p w14:paraId="1CA744EE" w14:textId="77777777" w:rsidR="00935D26" w:rsidRDefault="00935D26" w:rsidP="00883FBC">
      <w:pPr>
        <w:pStyle w:val="BodyText"/>
      </w:pPr>
    </w:p>
    <w:p w14:paraId="580C17C8" w14:textId="77777777" w:rsidR="00935D26" w:rsidRDefault="00935D26" w:rsidP="00883FBC">
      <w:pPr>
        <w:pStyle w:val="BodyText"/>
      </w:pPr>
    </w:p>
    <w:p w14:paraId="62F92BC5" w14:textId="77777777" w:rsidR="00935D26" w:rsidRDefault="00935D26" w:rsidP="00883FBC">
      <w:pPr>
        <w:pStyle w:val="BodyText"/>
      </w:pPr>
    </w:p>
    <w:p w14:paraId="0C1115C9" w14:textId="77777777" w:rsidR="00935D26" w:rsidRDefault="00935D26" w:rsidP="00935D26"/>
    <w:p w14:paraId="067D851B" w14:textId="77777777" w:rsidR="00987708" w:rsidRDefault="00987708" w:rsidP="00935D26"/>
    <w:p w14:paraId="1868226B" w14:textId="77777777" w:rsidR="00987708" w:rsidRDefault="00987708" w:rsidP="00935D26"/>
    <w:p w14:paraId="6DFD32E4" w14:textId="77777777" w:rsidR="00987708" w:rsidRDefault="00987708" w:rsidP="00935D26"/>
    <w:p w14:paraId="259654BC" w14:textId="77777777" w:rsidR="00987708" w:rsidRDefault="00987708" w:rsidP="00935D26"/>
    <w:p w14:paraId="133D662C" w14:textId="77777777" w:rsidR="00987708" w:rsidRDefault="00987708" w:rsidP="00935D26"/>
    <w:p w14:paraId="35857077" w14:textId="77777777" w:rsidR="00987708" w:rsidRDefault="00987708" w:rsidP="00935D26"/>
    <w:p w14:paraId="5B384DD6" w14:textId="77777777" w:rsidR="00987708" w:rsidRDefault="00987708" w:rsidP="00935D26"/>
    <w:p w14:paraId="1A0EE4F5" w14:textId="77777777" w:rsidR="00987708" w:rsidRDefault="00987708" w:rsidP="00935D26"/>
    <w:p w14:paraId="48725927" w14:textId="77777777" w:rsidR="00987708" w:rsidRDefault="00987708" w:rsidP="00935D26"/>
    <w:p w14:paraId="65D31850" w14:textId="77777777" w:rsidR="00987708" w:rsidRDefault="00987708" w:rsidP="00935D26"/>
    <w:p w14:paraId="6E58AB86" w14:textId="77777777" w:rsidR="00987708" w:rsidRPr="00935D26" w:rsidRDefault="00987708" w:rsidP="00935D26"/>
    <w:sectPr w:rsidR="00987708" w:rsidRPr="00935D26" w:rsidSect="00C22E8C">
      <w:headerReference w:type="default" r:id="rId14"/>
      <w:footerReference w:type="even" r:id="rId15"/>
      <w:footerReference w:type="default" r:id="rId16"/>
      <w:type w:val="continuous"/>
      <w:pgSz w:w="12240" w:h="15840"/>
      <w:pgMar w:top="1238" w:right="1901" w:bottom="1152" w:left="1699" w:header="648"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6BB4" w14:textId="77777777" w:rsidR="009B6380" w:rsidRDefault="009B6380" w:rsidP="001236B1">
      <w:r>
        <w:separator/>
      </w:r>
    </w:p>
    <w:p w14:paraId="24D1B933" w14:textId="77777777" w:rsidR="009B6380" w:rsidRDefault="009B6380"/>
    <w:p w14:paraId="1CBAA715" w14:textId="77777777" w:rsidR="009B6380" w:rsidRDefault="009B6380"/>
    <w:p w14:paraId="3FA88408" w14:textId="77777777" w:rsidR="009B6380" w:rsidRDefault="009B6380"/>
  </w:endnote>
  <w:endnote w:type="continuationSeparator" w:id="0">
    <w:p w14:paraId="638ACB2E" w14:textId="77777777" w:rsidR="009B6380" w:rsidRDefault="009B6380" w:rsidP="001236B1">
      <w:r>
        <w:continuationSeparator/>
      </w:r>
    </w:p>
    <w:p w14:paraId="5EA197EC" w14:textId="77777777" w:rsidR="009B6380" w:rsidRDefault="009B6380"/>
    <w:p w14:paraId="784E2E5E" w14:textId="77777777" w:rsidR="009B6380" w:rsidRDefault="009B6380"/>
    <w:p w14:paraId="6A55D318" w14:textId="77777777" w:rsidR="009B6380" w:rsidRDefault="009B6380"/>
  </w:endnote>
  <w:endnote w:type="continuationNotice" w:id="1">
    <w:p w14:paraId="28FA8B92" w14:textId="77777777" w:rsidR="009B6380" w:rsidRDefault="009B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ontserrat">
    <w:panose1 w:val="000005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57A5A569"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78F3B" w14:textId="77777777" w:rsidR="007A0483" w:rsidRDefault="007A0483" w:rsidP="007A0483">
    <w:pPr>
      <w:pStyle w:val="Footer"/>
      <w:ind w:firstLine="360"/>
    </w:pPr>
  </w:p>
  <w:p w14:paraId="6ACE74FE" w14:textId="77777777" w:rsidR="005F57A9" w:rsidRDefault="005F57A9"/>
  <w:p w14:paraId="0D6B14B6" w14:textId="77777777" w:rsidR="007E549C" w:rsidRDefault="007E549C"/>
  <w:p w14:paraId="600634E6"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41C3" w14:textId="77777777" w:rsidR="003D19A8" w:rsidRDefault="003D19A8" w:rsidP="003D19A8">
    <w:pPr>
      <w:pStyle w:val="Footer"/>
    </w:pPr>
    <w:r>
      <w:t>C</w:t>
    </w:r>
    <w:r w:rsidRPr="003D19A8">
      <w:t>HMG Maternal Fetal Medicine has developed these guidelines as a reference tool to assist referring physicians. Obstetric medical needs are </w:t>
    </w:r>
    <w:proofErr w:type="gramStart"/>
    <w:r w:rsidRPr="003D19A8">
      <w:t>complex</w:t>
    </w:r>
    <w:proofErr w:type="gramEnd"/>
    <w:r w:rsidRPr="003D19A8">
      <w:t xml:space="preserve"> and these guidelines may not apply in every case. Treating clinicians should exercise their own professional medical judgment </w:t>
    </w:r>
    <w:proofErr w:type="gramStart"/>
    <w:r w:rsidRPr="003D19A8">
      <w:t>with regard to</w:t>
    </w:r>
    <w:proofErr w:type="gramEnd"/>
    <w:r w:rsidRPr="003D19A8">
      <w:t xml:space="preserve"> the appropriate treatment and management of their patients. Treating clinicians are solely responsible for confirming the accuracy, timelines, completeness, appropriateness and helpfulness of this material in making all medical, diagnostic, or prescription decisions.  </w:t>
    </w:r>
  </w:p>
  <w:p w14:paraId="2E414A31" w14:textId="77777777" w:rsidR="003D19A8" w:rsidRDefault="003D19A8" w:rsidP="003D19A8">
    <w:pPr>
      <w:pStyle w:val="Footer"/>
    </w:pPr>
  </w:p>
  <w:p w14:paraId="4AB425E6" w14:textId="7F1AE2D9" w:rsidR="00FE5557" w:rsidRDefault="007A0483" w:rsidP="003D19A8">
    <w:pPr>
      <w:pStyle w:val="Footer"/>
    </w:pPr>
    <w:r>
      <w:rPr>
        <w:noProof/>
      </w:rPr>
      <mc:AlternateContent>
        <mc:Choice Requires="wps">
          <w:drawing>
            <wp:anchor distT="0" distB="0" distL="114300" distR="114300" simplePos="0" relativeHeight="251658240" behindDoc="0" locked="0" layoutInCell="1" allowOverlap="1" wp14:anchorId="62B91812" wp14:editId="71DD65A5">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325C"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" strokecolor="#0ed7e5" strokeweight="1pt"/>
          </w:pict>
        </mc:Fallback>
      </mc:AlternateContent>
    </w:r>
    <w:r w:rsidR="003D19A8">
      <w:t xml:space="preserve">UCA </w:t>
    </w:r>
    <w:r w:rsidR="00CD5F08">
      <w:t xml:space="preserve">– Updated 5.2018 </w:t>
    </w:r>
    <w:r w:rsidR="00FE5557">
      <w:tab/>
    </w:r>
  </w:p>
  <w:p w14:paraId="7C1ED80B" w14:textId="77777777" w:rsidR="008F25CA" w:rsidRDefault="008F25CA" w:rsidP="008F25CA">
    <w:pPr>
      <w:pStyle w:val="Footer"/>
      <w:framePr w:wrap="none" w:vAnchor="text" w:hAnchor="page" w:x="1541" w:y="12"/>
      <w:rPr>
        <w:rStyle w:val="PageNumber"/>
      </w:rPr>
    </w:pPr>
  </w:p>
  <w:p w14:paraId="4E07689C" w14:textId="77777777" w:rsidR="007E549C" w:rsidRDefault="007E54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4D7B" w14:textId="77777777" w:rsidR="009B6380" w:rsidRDefault="009B6380" w:rsidP="001236B1">
      <w:r>
        <w:separator/>
      </w:r>
    </w:p>
    <w:p w14:paraId="35D12B92" w14:textId="77777777" w:rsidR="009B6380" w:rsidRDefault="009B6380"/>
    <w:p w14:paraId="3481493F" w14:textId="77777777" w:rsidR="009B6380" w:rsidRDefault="009B6380"/>
    <w:p w14:paraId="5EE3BB1E" w14:textId="77777777" w:rsidR="009B6380" w:rsidRDefault="009B6380"/>
  </w:footnote>
  <w:footnote w:type="continuationSeparator" w:id="0">
    <w:p w14:paraId="2F3137FB" w14:textId="77777777" w:rsidR="009B6380" w:rsidRDefault="009B6380" w:rsidP="001236B1">
      <w:r>
        <w:continuationSeparator/>
      </w:r>
    </w:p>
    <w:p w14:paraId="0E3D727A" w14:textId="77777777" w:rsidR="009B6380" w:rsidRDefault="009B6380"/>
    <w:p w14:paraId="665D6113" w14:textId="77777777" w:rsidR="009B6380" w:rsidRDefault="009B6380"/>
    <w:p w14:paraId="2761FCEE" w14:textId="77777777" w:rsidR="009B6380" w:rsidRDefault="009B6380"/>
  </w:footnote>
  <w:footnote w:type="continuationNotice" w:id="1">
    <w:p w14:paraId="74E3DBCF" w14:textId="77777777" w:rsidR="009B6380" w:rsidRDefault="009B6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EDEB" w14:textId="77777777" w:rsidR="00E16D33" w:rsidRDefault="00FB1013" w:rsidP="00A5387C">
    <w:pPr>
      <w:pStyle w:val="Header"/>
      <w:ind w:left="-990"/>
    </w:pPr>
    <w:r>
      <w:rPr>
        <w:noProof/>
      </w:rPr>
      <w:drawing>
        <wp:inline distT="0" distB="0" distL="0" distR="0" wp14:anchorId="5A5BE249" wp14:editId="1204F1B3">
          <wp:extent cx="6866890" cy="686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63645" cy="705842"/>
                  </a:xfrm>
                  <a:prstGeom prst="rect">
                    <a:avLst/>
                  </a:prstGeom>
                </pic:spPr>
              </pic:pic>
            </a:graphicData>
          </a:graphic>
        </wp:inline>
      </w:drawing>
    </w:r>
  </w:p>
  <w:p w14:paraId="02A421E6" w14:textId="77777777" w:rsidR="005B3875" w:rsidRPr="00217EF1" w:rsidRDefault="005B3875" w:rsidP="00A565E5">
    <w:pPr>
      <w:pStyle w:val="Head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271"/>
    <w:multiLevelType w:val="multilevel"/>
    <w:tmpl w:val="E4D8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A3317"/>
    <w:multiLevelType w:val="multilevel"/>
    <w:tmpl w:val="490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C1A64"/>
    <w:multiLevelType w:val="multilevel"/>
    <w:tmpl w:val="384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90B55"/>
    <w:multiLevelType w:val="multilevel"/>
    <w:tmpl w:val="BC4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204AD"/>
    <w:multiLevelType w:val="multilevel"/>
    <w:tmpl w:val="FFD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0CAB"/>
    <w:multiLevelType w:val="multilevel"/>
    <w:tmpl w:val="4DEC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55427"/>
    <w:multiLevelType w:val="multilevel"/>
    <w:tmpl w:val="2B3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4453D"/>
    <w:multiLevelType w:val="multilevel"/>
    <w:tmpl w:val="DBA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83BCF"/>
    <w:multiLevelType w:val="multilevel"/>
    <w:tmpl w:val="847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51517"/>
    <w:multiLevelType w:val="multilevel"/>
    <w:tmpl w:val="6FCA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6362A"/>
    <w:multiLevelType w:val="multilevel"/>
    <w:tmpl w:val="4FA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C10BE"/>
    <w:multiLevelType w:val="multilevel"/>
    <w:tmpl w:val="1E1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F35CF"/>
    <w:multiLevelType w:val="multilevel"/>
    <w:tmpl w:val="0058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F349B"/>
    <w:multiLevelType w:val="multilevel"/>
    <w:tmpl w:val="9B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B363C"/>
    <w:multiLevelType w:val="multilevel"/>
    <w:tmpl w:val="AEC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13324"/>
    <w:multiLevelType w:val="multilevel"/>
    <w:tmpl w:val="410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EA25A3"/>
    <w:multiLevelType w:val="multilevel"/>
    <w:tmpl w:val="4EE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96EC2"/>
    <w:multiLevelType w:val="multilevel"/>
    <w:tmpl w:val="92A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72437"/>
    <w:multiLevelType w:val="multilevel"/>
    <w:tmpl w:val="F3B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B659D"/>
    <w:multiLevelType w:val="multilevel"/>
    <w:tmpl w:val="F65C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8054C"/>
    <w:multiLevelType w:val="multilevel"/>
    <w:tmpl w:val="B4A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D509DA"/>
    <w:multiLevelType w:val="multilevel"/>
    <w:tmpl w:val="4FE2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E86E9C"/>
    <w:multiLevelType w:val="multilevel"/>
    <w:tmpl w:val="2878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C513A5"/>
    <w:multiLevelType w:val="multilevel"/>
    <w:tmpl w:val="8F84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C3B17"/>
    <w:multiLevelType w:val="multilevel"/>
    <w:tmpl w:val="47E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F5F79"/>
    <w:multiLevelType w:val="multilevel"/>
    <w:tmpl w:val="BCB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91EF3"/>
    <w:multiLevelType w:val="multilevel"/>
    <w:tmpl w:val="F77CF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C5D1E"/>
    <w:multiLevelType w:val="multilevel"/>
    <w:tmpl w:val="4902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611205"/>
    <w:multiLevelType w:val="multilevel"/>
    <w:tmpl w:val="03D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A065D7"/>
    <w:multiLevelType w:val="multilevel"/>
    <w:tmpl w:val="8416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9A0828"/>
    <w:multiLevelType w:val="multilevel"/>
    <w:tmpl w:val="40B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04DD3"/>
    <w:multiLevelType w:val="multilevel"/>
    <w:tmpl w:val="B59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F2306E"/>
    <w:multiLevelType w:val="multilevel"/>
    <w:tmpl w:val="4AC0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F41EC5"/>
    <w:multiLevelType w:val="multilevel"/>
    <w:tmpl w:val="647A1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D17AF"/>
    <w:multiLevelType w:val="multilevel"/>
    <w:tmpl w:val="A0B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112444"/>
    <w:multiLevelType w:val="multilevel"/>
    <w:tmpl w:val="DF3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200BD9"/>
    <w:multiLevelType w:val="multilevel"/>
    <w:tmpl w:val="8D64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52F22"/>
    <w:multiLevelType w:val="multilevel"/>
    <w:tmpl w:val="AD50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9D22DF"/>
    <w:multiLevelType w:val="multilevel"/>
    <w:tmpl w:val="0CE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2454FA"/>
    <w:multiLevelType w:val="multilevel"/>
    <w:tmpl w:val="9E9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12326F"/>
    <w:multiLevelType w:val="multilevel"/>
    <w:tmpl w:val="3080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4F3269"/>
    <w:multiLevelType w:val="multilevel"/>
    <w:tmpl w:val="256E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0A7AC4"/>
    <w:multiLevelType w:val="multilevel"/>
    <w:tmpl w:val="15A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92278">
    <w:abstractNumId w:val="8"/>
  </w:num>
  <w:num w:numId="2" w16cid:durableId="989291245">
    <w:abstractNumId w:val="4"/>
  </w:num>
  <w:num w:numId="3" w16cid:durableId="2041124432">
    <w:abstractNumId w:val="31"/>
  </w:num>
  <w:num w:numId="4" w16cid:durableId="2029258134">
    <w:abstractNumId w:val="6"/>
  </w:num>
  <w:num w:numId="5" w16cid:durableId="1785223429">
    <w:abstractNumId w:val="23"/>
  </w:num>
  <w:num w:numId="6" w16cid:durableId="1170490237">
    <w:abstractNumId w:val="33"/>
  </w:num>
  <w:num w:numId="7" w16cid:durableId="264845137">
    <w:abstractNumId w:val="24"/>
  </w:num>
  <w:num w:numId="8" w16cid:durableId="873882820">
    <w:abstractNumId w:val="9"/>
  </w:num>
  <w:num w:numId="9" w16cid:durableId="1303462021">
    <w:abstractNumId w:val="15"/>
  </w:num>
  <w:num w:numId="10" w16cid:durableId="1312448370">
    <w:abstractNumId w:val="12"/>
  </w:num>
  <w:num w:numId="11" w16cid:durableId="1352298921">
    <w:abstractNumId w:val="41"/>
  </w:num>
  <w:num w:numId="12" w16cid:durableId="1191870053">
    <w:abstractNumId w:val="26"/>
  </w:num>
  <w:num w:numId="13" w16cid:durableId="1816293911">
    <w:abstractNumId w:val="3"/>
  </w:num>
  <w:num w:numId="14" w16cid:durableId="256445894">
    <w:abstractNumId w:val="38"/>
  </w:num>
  <w:num w:numId="15" w16cid:durableId="640580439">
    <w:abstractNumId w:val="16"/>
  </w:num>
  <w:num w:numId="16" w16cid:durableId="1951355754">
    <w:abstractNumId w:val="5"/>
  </w:num>
  <w:num w:numId="17" w16cid:durableId="198932171">
    <w:abstractNumId w:val="37"/>
  </w:num>
  <w:num w:numId="18" w16cid:durableId="1501962293">
    <w:abstractNumId w:val="39"/>
  </w:num>
  <w:num w:numId="19" w16cid:durableId="840242480">
    <w:abstractNumId w:val="42"/>
  </w:num>
  <w:num w:numId="20" w16cid:durableId="1356686369">
    <w:abstractNumId w:val="32"/>
  </w:num>
  <w:num w:numId="21" w16cid:durableId="1973562206">
    <w:abstractNumId w:val="22"/>
  </w:num>
  <w:num w:numId="22" w16cid:durableId="750546386">
    <w:abstractNumId w:val="10"/>
  </w:num>
  <w:num w:numId="23" w16cid:durableId="1692758404">
    <w:abstractNumId w:val="21"/>
  </w:num>
  <w:num w:numId="24" w16cid:durableId="365643976">
    <w:abstractNumId w:val="2"/>
  </w:num>
  <w:num w:numId="25" w16cid:durableId="1121455507">
    <w:abstractNumId w:val="36"/>
  </w:num>
  <w:num w:numId="26" w16cid:durableId="1766224045">
    <w:abstractNumId w:val="13"/>
  </w:num>
  <w:num w:numId="27" w16cid:durableId="1501194789">
    <w:abstractNumId w:val="20"/>
  </w:num>
  <w:num w:numId="28" w16cid:durableId="1968466278">
    <w:abstractNumId w:val="1"/>
  </w:num>
  <w:num w:numId="29" w16cid:durableId="840243053">
    <w:abstractNumId w:val="27"/>
  </w:num>
  <w:num w:numId="30" w16cid:durableId="298072944">
    <w:abstractNumId w:val="34"/>
  </w:num>
  <w:num w:numId="31" w16cid:durableId="311952563">
    <w:abstractNumId w:val="28"/>
  </w:num>
  <w:num w:numId="32" w16cid:durableId="1438331180">
    <w:abstractNumId w:val="14"/>
  </w:num>
  <w:num w:numId="33" w16cid:durableId="2116362738">
    <w:abstractNumId w:val="40"/>
  </w:num>
  <w:num w:numId="34" w16cid:durableId="160630597">
    <w:abstractNumId w:val="29"/>
  </w:num>
  <w:num w:numId="35" w16cid:durableId="2047563562">
    <w:abstractNumId w:val="0"/>
  </w:num>
  <w:num w:numId="36" w16cid:durableId="750781542">
    <w:abstractNumId w:val="18"/>
  </w:num>
  <w:num w:numId="37" w16cid:durableId="440295994">
    <w:abstractNumId w:val="7"/>
  </w:num>
  <w:num w:numId="38" w16cid:durableId="787550827">
    <w:abstractNumId w:val="35"/>
  </w:num>
  <w:num w:numId="39" w16cid:durableId="1873106720">
    <w:abstractNumId w:val="19"/>
  </w:num>
  <w:num w:numId="40" w16cid:durableId="1091007174">
    <w:abstractNumId w:val="25"/>
  </w:num>
  <w:num w:numId="41" w16cid:durableId="470944197">
    <w:abstractNumId w:val="11"/>
  </w:num>
  <w:num w:numId="42" w16cid:durableId="974869244">
    <w:abstractNumId w:val="17"/>
  </w:num>
  <w:num w:numId="43" w16cid:durableId="9091955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80"/>
    <w:rsid w:val="00002201"/>
    <w:rsid w:val="000055F9"/>
    <w:rsid w:val="00084664"/>
    <w:rsid w:val="000930EF"/>
    <w:rsid w:val="001236B1"/>
    <w:rsid w:val="00150DCD"/>
    <w:rsid w:val="00175890"/>
    <w:rsid w:val="001875E6"/>
    <w:rsid w:val="001B109A"/>
    <w:rsid w:val="001C125E"/>
    <w:rsid w:val="001F5A39"/>
    <w:rsid w:val="00211B54"/>
    <w:rsid w:val="00217EF1"/>
    <w:rsid w:val="002230E1"/>
    <w:rsid w:val="00260114"/>
    <w:rsid w:val="002A2BE8"/>
    <w:rsid w:val="002B0D86"/>
    <w:rsid w:val="002B5AF0"/>
    <w:rsid w:val="002D1EFA"/>
    <w:rsid w:val="00346544"/>
    <w:rsid w:val="0035524F"/>
    <w:rsid w:val="00360142"/>
    <w:rsid w:val="003623C3"/>
    <w:rsid w:val="003774FF"/>
    <w:rsid w:val="00380153"/>
    <w:rsid w:val="00382248"/>
    <w:rsid w:val="003852D6"/>
    <w:rsid w:val="003D19A8"/>
    <w:rsid w:val="00404998"/>
    <w:rsid w:val="004509D3"/>
    <w:rsid w:val="00457F91"/>
    <w:rsid w:val="00466C88"/>
    <w:rsid w:val="00487235"/>
    <w:rsid w:val="004C7581"/>
    <w:rsid w:val="004F7D11"/>
    <w:rsid w:val="00502D9C"/>
    <w:rsid w:val="00537F84"/>
    <w:rsid w:val="00550A25"/>
    <w:rsid w:val="00552016"/>
    <w:rsid w:val="005670F2"/>
    <w:rsid w:val="005708D6"/>
    <w:rsid w:val="00580AFE"/>
    <w:rsid w:val="0058527B"/>
    <w:rsid w:val="005B3875"/>
    <w:rsid w:val="005E5D3A"/>
    <w:rsid w:val="005F57A9"/>
    <w:rsid w:val="005F5A6D"/>
    <w:rsid w:val="0063058E"/>
    <w:rsid w:val="0068631E"/>
    <w:rsid w:val="006A3CA6"/>
    <w:rsid w:val="006A5286"/>
    <w:rsid w:val="006A5B93"/>
    <w:rsid w:val="006C1A54"/>
    <w:rsid w:val="006F3906"/>
    <w:rsid w:val="007064F4"/>
    <w:rsid w:val="00751D77"/>
    <w:rsid w:val="0077111E"/>
    <w:rsid w:val="00771E6D"/>
    <w:rsid w:val="007724A1"/>
    <w:rsid w:val="00777E4B"/>
    <w:rsid w:val="007A0483"/>
    <w:rsid w:val="007B59D0"/>
    <w:rsid w:val="007E38E6"/>
    <w:rsid w:val="007E549C"/>
    <w:rsid w:val="007E5AA0"/>
    <w:rsid w:val="008007FE"/>
    <w:rsid w:val="0083779D"/>
    <w:rsid w:val="00856D10"/>
    <w:rsid w:val="00857723"/>
    <w:rsid w:val="008755E3"/>
    <w:rsid w:val="00883FBC"/>
    <w:rsid w:val="008917A9"/>
    <w:rsid w:val="008D70C2"/>
    <w:rsid w:val="008F25CA"/>
    <w:rsid w:val="00906339"/>
    <w:rsid w:val="00927F60"/>
    <w:rsid w:val="00935D26"/>
    <w:rsid w:val="00941736"/>
    <w:rsid w:val="00944142"/>
    <w:rsid w:val="009845FA"/>
    <w:rsid w:val="00987708"/>
    <w:rsid w:val="00993484"/>
    <w:rsid w:val="009B6380"/>
    <w:rsid w:val="009C5D67"/>
    <w:rsid w:val="009C7C43"/>
    <w:rsid w:val="00A000E3"/>
    <w:rsid w:val="00A11071"/>
    <w:rsid w:val="00A11FBE"/>
    <w:rsid w:val="00A128FF"/>
    <w:rsid w:val="00A2353A"/>
    <w:rsid w:val="00A5387C"/>
    <w:rsid w:val="00A565E5"/>
    <w:rsid w:val="00A62B84"/>
    <w:rsid w:val="00AA1B68"/>
    <w:rsid w:val="00AD6AAC"/>
    <w:rsid w:val="00AE55AE"/>
    <w:rsid w:val="00B158B4"/>
    <w:rsid w:val="00B40F9E"/>
    <w:rsid w:val="00B5599C"/>
    <w:rsid w:val="00B56A75"/>
    <w:rsid w:val="00B57F01"/>
    <w:rsid w:val="00B67138"/>
    <w:rsid w:val="00B67758"/>
    <w:rsid w:val="00B90B16"/>
    <w:rsid w:val="00BB71AC"/>
    <w:rsid w:val="00BB7BD1"/>
    <w:rsid w:val="00BC7F00"/>
    <w:rsid w:val="00BF6BEC"/>
    <w:rsid w:val="00C15992"/>
    <w:rsid w:val="00C22E8C"/>
    <w:rsid w:val="00C32CDF"/>
    <w:rsid w:val="00CA0ED6"/>
    <w:rsid w:val="00CA11AC"/>
    <w:rsid w:val="00CB3377"/>
    <w:rsid w:val="00CD5F08"/>
    <w:rsid w:val="00CE77D3"/>
    <w:rsid w:val="00DC5E39"/>
    <w:rsid w:val="00DD2AC5"/>
    <w:rsid w:val="00DE1F39"/>
    <w:rsid w:val="00E16D33"/>
    <w:rsid w:val="00E2473C"/>
    <w:rsid w:val="00E42981"/>
    <w:rsid w:val="00E53B0F"/>
    <w:rsid w:val="00E91810"/>
    <w:rsid w:val="00EB2B49"/>
    <w:rsid w:val="00EB4D76"/>
    <w:rsid w:val="00EC76DF"/>
    <w:rsid w:val="00F34EF7"/>
    <w:rsid w:val="00F47B3F"/>
    <w:rsid w:val="00F52FE3"/>
    <w:rsid w:val="00FB1013"/>
    <w:rsid w:val="00FC2F73"/>
    <w:rsid w:val="00FD3C49"/>
    <w:rsid w:val="00FE5557"/>
    <w:rsid w:val="00FF46D1"/>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81A3"/>
  <w15:docId w15:val="{0A5616D9-701B-4BD7-B639-23FBF516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883FBC"/>
    <w:pPr>
      <w:keepNext/>
      <w:keepLines/>
      <w:outlineLvl w:val="0"/>
    </w:pPr>
    <w:rPr>
      <w:rFonts w:ascii="Montserrat ExtraBold" w:eastAsiaTheme="majorEastAsia" w:hAnsi="Montserrat ExtraBold" w:cs="Times New Roman (Headings CS)"/>
      <w:b/>
      <w:bCs/>
      <w:color w:val="002855"/>
      <w:sz w:val="40"/>
      <w:szCs w:val="28"/>
    </w:rPr>
  </w:style>
  <w:style w:type="paragraph" w:styleId="Heading2">
    <w:name w:val="heading 2"/>
    <w:basedOn w:val="Normal"/>
    <w:next w:val="Normal"/>
    <w:link w:val="Heading2Char"/>
    <w:uiPriority w:val="9"/>
    <w:unhideWhenUsed/>
    <w:qFormat/>
    <w:rsid w:val="00883FBC"/>
    <w:pPr>
      <w:keepNext/>
      <w:keepLines/>
      <w:outlineLvl w:val="1"/>
    </w:pPr>
    <w:rPr>
      <w:rFonts w:ascii="Montserrat" w:eastAsiaTheme="majorEastAsia" w:hAnsi="Montserrat" w:cstheme="majorBidi"/>
      <w:bCs/>
      <w:color w:val="002855"/>
      <w:sz w:val="40"/>
      <w:szCs w:val="26"/>
    </w:rPr>
  </w:style>
  <w:style w:type="paragraph" w:styleId="Heading3">
    <w:name w:val="heading 3"/>
    <w:basedOn w:val="Normal"/>
    <w:next w:val="Normal"/>
    <w:link w:val="Heading3Char"/>
    <w:uiPriority w:val="9"/>
    <w:unhideWhenUsed/>
    <w:qFormat/>
    <w:rsid w:val="00217EF1"/>
    <w:pPr>
      <w:keepNext/>
      <w:keepLines/>
      <w:spacing w:line="240" w:lineRule="exact"/>
      <w:outlineLvl w:val="2"/>
    </w:pPr>
    <w:rPr>
      <w:rFonts w:ascii="Arial Black" w:eastAsiaTheme="majorEastAsia" w:hAnsi="Arial Black" w:cs="Times New Roman (Headings CS)"/>
      <w:b/>
      <w:bCs/>
      <w:color w:val="002855"/>
      <w:sz w:val="18"/>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FBC"/>
    <w:pPr>
      <w:spacing w:line="240" w:lineRule="exact"/>
    </w:pPr>
    <w:rPr>
      <w:rFonts w:ascii="Montserrat" w:eastAsia="Arial" w:hAnsi="Montserrat"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3FBC"/>
    <w:rPr>
      <w:rFonts w:ascii="Montserrat ExtraBold" w:eastAsiaTheme="majorEastAsia" w:hAnsi="Montserrat ExtraBold" w:cs="Times New Roman (Headings CS)"/>
      <w:b/>
      <w:bCs/>
      <w:color w:val="002855"/>
      <w:sz w:val="40"/>
      <w:szCs w:val="28"/>
    </w:rPr>
  </w:style>
  <w:style w:type="character" w:customStyle="1" w:styleId="Heading2Char">
    <w:name w:val="Heading 2 Char"/>
    <w:basedOn w:val="DefaultParagraphFont"/>
    <w:link w:val="Heading2"/>
    <w:uiPriority w:val="9"/>
    <w:rsid w:val="00883FBC"/>
    <w:rPr>
      <w:rFonts w:ascii="Montserrat" w:eastAsiaTheme="majorEastAsia" w:hAnsi="Montserrat" w:cstheme="majorBidi"/>
      <w:bCs/>
      <w:color w:val="002855"/>
      <w:sz w:val="40"/>
      <w:szCs w:val="26"/>
    </w:rPr>
  </w:style>
  <w:style w:type="character" w:customStyle="1" w:styleId="Heading3Char">
    <w:name w:val="Heading 3 Char"/>
    <w:basedOn w:val="DefaultParagraphFont"/>
    <w:link w:val="Heading3"/>
    <w:uiPriority w:val="9"/>
    <w:rsid w:val="00217EF1"/>
    <w:rPr>
      <w:rFonts w:ascii="Arial Black" w:eastAsiaTheme="majorEastAsia" w:hAnsi="Arial Black" w:cs="Times New Roman (Headings CS)"/>
      <w:b/>
      <w:bCs/>
      <w:color w:val="002855"/>
      <w:sz w:val="18"/>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32618">
      <w:bodyDiv w:val="1"/>
      <w:marLeft w:val="0"/>
      <w:marRight w:val="0"/>
      <w:marTop w:val="0"/>
      <w:marBottom w:val="0"/>
      <w:divBdr>
        <w:top w:val="none" w:sz="0" w:space="0" w:color="auto"/>
        <w:left w:val="none" w:sz="0" w:space="0" w:color="auto"/>
        <w:bottom w:val="none" w:sz="0" w:space="0" w:color="auto"/>
        <w:right w:val="none" w:sz="0" w:space="0" w:color="auto"/>
      </w:divBdr>
    </w:div>
    <w:div w:id="513148620">
      <w:bodyDiv w:val="1"/>
      <w:marLeft w:val="0"/>
      <w:marRight w:val="0"/>
      <w:marTop w:val="0"/>
      <w:marBottom w:val="0"/>
      <w:divBdr>
        <w:top w:val="none" w:sz="0" w:space="0" w:color="auto"/>
        <w:left w:val="none" w:sz="0" w:space="0" w:color="auto"/>
        <w:bottom w:val="none" w:sz="0" w:space="0" w:color="auto"/>
        <w:right w:val="none" w:sz="0" w:space="0" w:color="auto"/>
      </w:divBdr>
      <w:divsChild>
        <w:div w:id="137503490">
          <w:marLeft w:val="0"/>
          <w:marRight w:val="0"/>
          <w:marTop w:val="0"/>
          <w:marBottom w:val="0"/>
          <w:divBdr>
            <w:top w:val="none" w:sz="0" w:space="0" w:color="auto"/>
            <w:left w:val="none" w:sz="0" w:space="0" w:color="auto"/>
            <w:bottom w:val="none" w:sz="0" w:space="0" w:color="auto"/>
            <w:right w:val="none" w:sz="0" w:space="0" w:color="auto"/>
          </w:divBdr>
          <w:divsChild>
            <w:div w:id="1283614413">
              <w:marLeft w:val="0"/>
              <w:marRight w:val="0"/>
              <w:marTop w:val="0"/>
              <w:marBottom w:val="0"/>
              <w:divBdr>
                <w:top w:val="none" w:sz="0" w:space="0" w:color="auto"/>
                <w:left w:val="none" w:sz="0" w:space="0" w:color="auto"/>
                <w:bottom w:val="none" w:sz="0" w:space="0" w:color="auto"/>
                <w:right w:val="none" w:sz="0" w:space="0" w:color="auto"/>
              </w:divBdr>
            </w:div>
            <w:div w:id="1679694235">
              <w:marLeft w:val="0"/>
              <w:marRight w:val="0"/>
              <w:marTop w:val="0"/>
              <w:marBottom w:val="0"/>
              <w:divBdr>
                <w:top w:val="none" w:sz="0" w:space="0" w:color="auto"/>
                <w:left w:val="none" w:sz="0" w:space="0" w:color="auto"/>
                <w:bottom w:val="none" w:sz="0" w:space="0" w:color="auto"/>
                <w:right w:val="none" w:sz="0" w:space="0" w:color="auto"/>
              </w:divBdr>
            </w:div>
            <w:div w:id="1840919735">
              <w:marLeft w:val="0"/>
              <w:marRight w:val="0"/>
              <w:marTop w:val="0"/>
              <w:marBottom w:val="0"/>
              <w:divBdr>
                <w:top w:val="none" w:sz="0" w:space="0" w:color="auto"/>
                <w:left w:val="none" w:sz="0" w:space="0" w:color="auto"/>
                <w:bottom w:val="none" w:sz="0" w:space="0" w:color="auto"/>
                <w:right w:val="none" w:sz="0" w:space="0" w:color="auto"/>
              </w:divBdr>
            </w:div>
            <w:div w:id="1524712024">
              <w:marLeft w:val="0"/>
              <w:marRight w:val="0"/>
              <w:marTop w:val="0"/>
              <w:marBottom w:val="0"/>
              <w:divBdr>
                <w:top w:val="none" w:sz="0" w:space="0" w:color="auto"/>
                <w:left w:val="none" w:sz="0" w:space="0" w:color="auto"/>
                <w:bottom w:val="none" w:sz="0" w:space="0" w:color="auto"/>
                <w:right w:val="none" w:sz="0" w:space="0" w:color="auto"/>
              </w:divBdr>
            </w:div>
            <w:div w:id="1004406014">
              <w:marLeft w:val="0"/>
              <w:marRight w:val="0"/>
              <w:marTop w:val="0"/>
              <w:marBottom w:val="0"/>
              <w:divBdr>
                <w:top w:val="none" w:sz="0" w:space="0" w:color="auto"/>
                <w:left w:val="none" w:sz="0" w:space="0" w:color="auto"/>
                <w:bottom w:val="none" w:sz="0" w:space="0" w:color="auto"/>
                <w:right w:val="none" w:sz="0" w:space="0" w:color="auto"/>
              </w:divBdr>
            </w:div>
            <w:div w:id="1910341014">
              <w:marLeft w:val="0"/>
              <w:marRight w:val="0"/>
              <w:marTop w:val="0"/>
              <w:marBottom w:val="0"/>
              <w:divBdr>
                <w:top w:val="none" w:sz="0" w:space="0" w:color="auto"/>
                <w:left w:val="none" w:sz="0" w:space="0" w:color="auto"/>
                <w:bottom w:val="none" w:sz="0" w:space="0" w:color="auto"/>
                <w:right w:val="none" w:sz="0" w:space="0" w:color="auto"/>
              </w:divBdr>
            </w:div>
            <w:div w:id="1694376541">
              <w:marLeft w:val="0"/>
              <w:marRight w:val="0"/>
              <w:marTop w:val="0"/>
              <w:marBottom w:val="0"/>
              <w:divBdr>
                <w:top w:val="none" w:sz="0" w:space="0" w:color="auto"/>
                <w:left w:val="none" w:sz="0" w:space="0" w:color="auto"/>
                <w:bottom w:val="none" w:sz="0" w:space="0" w:color="auto"/>
                <w:right w:val="none" w:sz="0" w:space="0" w:color="auto"/>
              </w:divBdr>
            </w:div>
            <w:div w:id="497958997">
              <w:marLeft w:val="0"/>
              <w:marRight w:val="0"/>
              <w:marTop w:val="0"/>
              <w:marBottom w:val="0"/>
              <w:divBdr>
                <w:top w:val="none" w:sz="0" w:space="0" w:color="auto"/>
                <w:left w:val="none" w:sz="0" w:space="0" w:color="auto"/>
                <w:bottom w:val="none" w:sz="0" w:space="0" w:color="auto"/>
                <w:right w:val="none" w:sz="0" w:space="0" w:color="auto"/>
              </w:divBdr>
            </w:div>
            <w:div w:id="229273810">
              <w:marLeft w:val="0"/>
              <w:marRight w:val="0"/>
              <w:marTop w:val="0"/>
              <w:marBottom w:val="0"/>
              <w:divBdr>
                <w:top w:val="none" w:sz="0" w:space="0" w:color="auto"/>
                <w:left w:val="none" w:sz="0" w:space="0" w:color="auto"/>
                <w:bottom w:val="none" w:sz="0" w:space="0" w:color="auto"/>
                <w:right w:val="none" w:sz="0" w:space="0" w:color="auto"/>
              </w:divBdr>
            </w:div>
            <w:div w:id="1254970482">
              <w:marLeft w:val="0"/>
              <w:marRight w:val="0"/>
              <w:marTop w:val="0"/>
              <w:marBottom w:val="0"/>
              <w:divBdr>
                <w:top w:val="none" w:sz="0" w:space="0" w:color="auto"/>
                <w:left w:val="none" w:sz="0" w:space="0" w:color="auto"/>
                <w:bottom w:val="none" w:sz="0" w:space="0" w:color="auto"/>
                <w:right w:val="none" w:sz="0" w:space="0" w:color="auto"/>
              </w:divBdr>
            </w:div>
            <w:div w:id="1766340664">
              <w:marLeft w:val="0"/>
              <w:marRight w:val="0"/>
              <w:marTop w:val="0"/>
              <w:marBottom w:val="0"/>
              <w:divBdr>
                <w:top w:val="none" w:sz="0" w:space="0" w:color="auto"/>
                <w:left w:val="none" w:sz="0" w:space="0" w:color="auto"/>
                <w:bottom w:val="none" w:sz="0" w:space="0" w:color="auto"/>
                <w:right w:val="none" w:sz="0" w:space="0" w:color="auto"/>
              </w:divBdr>
            </w:div>
            <w:div w:id="1403943492">
              <w:marLeft w:val="0"/>
              <w:marRight w:val="0"/>
              <w:marTop w:val="0"/>
              <w:marBottom w:val="0"/>
              <w:divBdr>
                <w:top w:val="none" w:sz="0" w:space="0" w:color="auto"/>
                <w:left w:val="none" w:sz="0" w:space="0" w:color="auto"/>
                <w:bottom w:val="none" w:sz="0" w:space="0" w:color="auto"/>
                <w:right w:val="none" w:sz="0" w:space="0" w:color="auto"/>
              </w:divBdr>
            </w:div>
            <w:div w:id="1839808561">
              <w:marLeft w:val="0"/>
              <w:marRight w:val="0"/>
              <w:marTop w:val="0"/>
              <w:marBottom w:val="0"/>
              <w:divBdr>
                <w:top w:val="none" w:sz="0" w:space="0" w:color="auto"/>
                <w:left w:val="none" w:sz="0" w:space="0" w:color="auto"/>
                <w:bottom w:val="none" w:sz="0" w:space="0" w:color="auto"/>
                <w:right w:val="none" w:sz="0" w:space="0" w:color="auto"/>
              </w:divBdr>
            </w:div>
            <w:div w:id="2090886833">
              <w:marLeft w:val="0"/>
              <w:marRight w:val="0"/>
              <w:marTop w:val="0"/>
              <w:marBottom w:val="0"/>
              <w:divBdr>
                <w:top w:val="none" w:sz="0" w:space="0" w:color="auto"/>
                <w:left w:val="none" w:sz="0" w:space="0" w:color="auto"/>
                <w:bottom w:val="none" w:sz="0" w:space="0" w:color="auto"/>
                <w:right w:val="none" w:sz="0" w:space="0" w:color="auto"/>
              </w:divBdr>
            </w:div>
            <w:div w:id="2098599541">
              <w:marLeft w:val="0"/>
              <w:marRight w:val="0"/>
              <w:marTop w:val="0"/>
              <w:marBottom w:val="0"/>
              <w:divBdr>
                <w:top w:val="none" w:sz="0" w:space="0" w:color="auto"/>
                <w:left w:val="none" w:sz="0" w:space="0" w:color="auto"/>
                <w:bottom w:val="none" w:sz="0" w:space="0" w:color="auto"/>
                <w:right w:val="none" w:sz="0" w:space="0" w:color="auto"/>
              </w:divBdr>
            </w:div>
            <w:div w:id="1950887051">
              <w:marLeft w:val="0"/>
              <w:marRight w:val="0"/>
              <w:marTop w:val="0"/>
              <w:marBottom w:val="0"/>
              <w:divBdr>
                <w:top w:val="none" w:sz="0" w:space="0" w:color="auto"/>
                <w:left w:val="none" w:sz="0" w:space="0" w:color="auto"/>
                <w:bottom w:val="none" w:sz="0" w:space="0" w:color="auto"/>
                <w:right w:val="none" w:sz="0" w:space="0" w:color="auto"/>
              </w:divBdr>
            </w:div>
            <w:div w:id="1068379741">
              <w:marLeft w:val="0"/>
              <w:marRight w:val="0"/>
              <w:marTop w:val="0"/>
              <w:marBottom w:val="0"/>
              <w:divBdr>
                <w:top w:val="none" w:sz="0" w:space="0" w:color="auto"/>
                <w:left w:val="none" w:sz="0" w:space="0" w:color="auto"/>
                <w:bottom w:val="none" w:sz="0" w:space="0" w:color="auto"/>
                <w:right w:val="none" w:sz="0" w:space="0" w:color="auto"/>
              </w:divBdr>
            </w:div>
            <w:div w:id="1247423288">
              <w:marLeft w:val="0"/>
              <w:marRight w:val="0"/>
              <w:marTop w:val="0"/>
              <w:marBottom w:val="0"/>
              <w:divBdr>
                <w:top w:val="none" w:sz="0" w:space="0" w:color="auto"/>
                <w:left w:val="none" w:sz="0" w:space="0" w:color="auto"/>
                <w:bottom w:val="none" w:sz="0" w:space="0" w:color="auto"/>
                <w:right w:val="none" w:sz="0" w:space="0" w:color="auto"/>
              </w:divBdr>
            </w:div>
          </w:divsChild>
        </w:div>
        <w:div w:id="1488862519">
          <w:marLeft w:val="0"/>
          <w:marRight w:val="0"/>
          <w:marTop w:val="0"/>
          <w:marBottom w:val="0"/>
          <w:divBdr>
            <w:top w:val="none" w:sz="0" w:space="0" w:color="auto"/>
            <w:left w:val="none" w:sz="0" w:space="0" w:color="auto"/>
            <w:bottom w:val="none" w:sz="0" w:space="0" w:color="auto"/>
            <w:right w:val="none" w:sz="0" w:space="0" w:color="auto"/>
          </w:divBdr>
          <w:divsChild>
            <w:div w:id="521171418">
              <w:marLeft w:val="0"/>
              <w:marRight w:val="0"/>
              <w:marTop w:val="0"/>
              <w:marBottom w:val="0"/>
              <w:divBdr>
                <w:top w:val="none" w:sz="0" w:space="0" w:color="auto"/>
                <w:left w:val="none" w:sz="0" w:space="0" w:color="auto"/>
                <w:bottom w:val="none" w:sz="0" w:space="0" w:color="auto"/>
                <w:right w:val="none" w:sz="0" w:space="0" w:color="auto"/>
              </w:divBdr>
            </w:div>
            <w:div w:id="432045970">
              <w:marLeft w:val="0"/>
              <w:marRight w:val="0"/>
              <w:marTop w:val="0"/>
              <w:marBottom w:val="0"/>
              <w:divBdr>
                <w:top w:val="none" w:sz="0" w:space="0" w:color="auto"/>
                <w:left w:val="none" w:sz="0" w:space="0" w:color="auto"/>
                <w:bottom w:val="none" w:sz="0" w:space="0" w:color="auto"/>
                <w:right w:val="none" w:sz="0" w:space="0" w:color="auto"/>
              </w:divBdr>
            </w:div>
            <w:div w:id="242691763">
              <w:marLeft w:val="0"/>
              <w:marRight w:val="0"/>
              <w:marTop w:val="0"/>
              <w:marBottom w:val="0"/>
              <w:divBdr>
                <w:top w:val="none" w:sz="0" w:space="0" w:color="auto"/>
                <w:left w:val="none" w:sz="0" w:space="0" w:color="auto"/>
                <w:bottom w:val="none" w:sz="0" w:space="0" w:color="auto"/>
                <w:right w:val="none" w:sz="0" w:space="0" w:color="auto"/>
              </w:divBdr>
            </w:div>
            <w:div w:id="1057818661">
              <w:marLeft w:val="0"/>
              <w:marRight w:val="0"/>
              <w:marTop w:val="0"/>
              <w:marBottom w:val="0"/>
              <w:divBdr>
                <w:top w:val="none" w:sz="0" w:space="0" w:color="auto"/>
                <w:left w:val="none" w:sz="0" w:space="0" w:color="auto"/>
                <w:bottom w:val="none" w:sz="0" w:space="0" w:color="auto"/>
                <w:right w:val="none" w:sz="0" w:space="0" w:color="auto"/>
              </w:divBdr>
            </w:div>
            <w:div w:id="313072374">
              <w:marLeft w:val="0"/>
              <w:marRight w:val="0"/>
              <w:marTop w:val="0"/>
              <w:marBottom w:val="0"/>
              <w:divBdr>
                <w:top w:val="none" w:sz="0" w:space="0" w:color="auto"/>
                <w:left w:val="none" w:sz="0" w:space="0" w:color="auto"/>
                <w:bottom w:val="none" w:sz="0" w:space="0" w:color="auto"/>
                <w:right w:val="none" w:sz="0" w:space="0" w:color="auto"/>
              </w:divBdr>
            </w:div>
            <w:div w:id="1028607347">
              <w:marLeft w:val="0"/>
              <w:marRight w:val="0"/>
              <w:marTop w:val="0"/>
              <w:marBottom w:val="0"/>
              <w:divBdr>
                <w:top w:val="none" w:sz="0" w:space="0" w:color="auto"/>
                <w:left w:val="none" w:sz="0" w:space="0" w:color="auto"/>
                <w:bottom w:val="none" w:sz="0" w:space="0" w:color="auto"/>
                <w:right w:val="none" w:sz="0" w:space="0" w:color="auto"/>
              </w:divBdr>
            </w:div>
            <w:div w:id="1547911366">
              <w:marLeft w:val="0"/>
              <w:marRight w:val="0"/>
              <w:marTop w:val="0"/>
              <w:marBottom w:val="0"/>
              <w:divBdr>
                <w:top w:val="none" w:sz="0" w:space="0" w:color="auto"/>
                <w:left w:val="none" w:sz="0" w:space="0" w:color="auto"/>
                <w:bottom w:val="none" w:sz="0" w:space="0" w:color="auto"/>
                <w:right w:val="none" w:sz="0" w:space="0" w:color="auto"/>
              </w:divBdr>
            </w:div>
            <w:div w:id="2031566198">
              <w:marLeft w:val="0"/>
              <w:marRight w:val="0"/>
              <w:marTop w:val="0"/>
              <w:marBottom w:val="0"/>
              <w:divBdr>
                <w:top w:val="none" w:sz="0" w:space="0" w:color="auto"/>
                <w:left w:val="none" w:sz="0" w:space="0" w:color="auto"/>
                <w:bottom w:val="none" w:sz="0" w:space="0" w:color="auto"/>
                <w:right w:val="none" w:sz="0" w:space="0" w:color="auto"/>
              </w:divBdr>
            </w:div>
            <w:div w:id="2711151">
              <w:marLeft w:val="0"/>
              <w:marRight w:val="0"/>
              <w:marTop w:val="0"/>
              <w:marBottom w:val="0"/>
              <w:divBdr>
                <w:top w:val="none" w:sz="0" w:space="0" w:color="auto"/>
                <w:left w:val="none" w:sz="0" w:space="0" w:color="auto"/>
                <w:bottom w:val="none" w:sz="0" w:space="0" w:color="auto"/>
                <w:right w:val="none" w:sz="0" w:space="0" w:color="auto"/>
              </w:divBdr>
            </w:div>
            <w:div w:id="321548114">
              <w:marLeft w:val="0"/>
              <w:marRight w:val="0"/>
              <w:marTop w:val="0"/>
              <w:marBottom w:val="0"/>
              <w:divBdr>
                <w:top w:val="none" w:sz="0" w:space="0" w:color="auto"/>
                <w:left w:val="none" w:sz="0" w:space="0" w:color="auto"/>
                <w:bottom w:val="none" w:sz="0" w:space="0" w:color="auto"/>
                <w:right w:val="none" w:sz="0" w:space="0" w:color="auto"/>
              </w:divBdr>
            </w:div>
            <w:div w:id="185288410">
              <w:marLeft w:val="0"/>
              <w:marRight w:val="0"/>
              <w:marTop w:val="0"/>
              <w:marBottom w:val="0"/>
              <w:divBdr>
                <w:top w:val="none" w:sz="0" w:space="0" w:color="auto"/>
                <w:left w:val="none" w:sz="0" w:space="0" w:color="auto"/>
                <w:bottom w:val="none" w:sz="0" w:space="0" w:color="auto"/>
                <w:right w:val="none" w:sz="0" w:space="0" w:color="auto"/>
              </w:divBdr>
            </w:div>
            <w:div w:id="2125684116">
              <w:marLeft w:val="0"/>
              <w:marRight w:val="0"/>
              <w:marTop w:val="0"/>
              <w:marBottom w:val="0"/>
              <w:divBdr>
                <w:top w:val="none" w:sz="0" w:space="0" w:color="auto"/>
                <w:left w:val="none" w:sz="0" w:space="0" w:color="auto"/>
                <w:bottom w:val="none" w:sz="0" w:space="0" w:color="auto"/>
                <w:right w:val="none" w:sz="0" w:space="0" w:color="auto"/>
              </w:divBdr>
            </w:div>
            <w:div w:id="1646199654">
              <w:marLeft w:val="0"/>
              <w:marRight w:val="0"/>
              <w:marTop w:val="0"/>
              <w:marBottom w:val="0"/>
              <w:divBdr>
                <w:top w:val="none" w:sz="0" w:space="0" w:color="auto"/>
                <w:left w:val="none" w:sz="0" w:space="0" w:color="auto"/>
                <w:bottom w:val="none" w:sz="0" w:space="0" w:color="auto"/>
                <w:right w:val="none" w:sz="0" w:space="0" w:color="auto"/>
              </w:divBdr>
            </w:div>
            <w:div w:id="2072464154">
              <w:marLeft w:val="0"/>
              <w:marRight w:val="0"/>
              <w:marTop w:val="0"/>
              <w:marBottom w:val="0"/>
              <w:divBdr>
                <w:top w:val="none" w:sz="0" w:space="0" w:color="auto"/>
                <w:left w:val="none" w:sz="0" w:space="0" w:color="auto"/>
                <w:bottom w:val="none" w:sz="0" w:space="0" w:color="auto"/>
                <w:right w:val="none" w:sz="0" w:space="0" w:color="auto"/>
              </w:divBdr>
            </w:div>
            <w:div w:id="898177460">
              <w:marLeft w:val="0"/>
              <w:marRight w:val="0"/>
              <w:marTop w:val="0"/>
              <w:marBottom w:val="0"/>
              <w:divBdr>
                <w:top w:val="none" w:sz="0" w:space="0" w:color="auto"/>
                <w:left w:val="none" w:sz="0" w:space="0" w:color="auto"/>
                <w:bottom w:val="none" w:sz="0" w:space="0" w:color="auto"/>
                <w:right w:val="none" w:sz="0" w:space="0" w:color="auto"/>
              </w:divBdr>
            </w:div>
            <w:div w:id="1732843287">
              <w:marLeft w:val="0"/>
              <w:marRight w:val="0"/>
              <w:marTop w:val="0"/>
              <w:marBottom w:val="0"/>
              <w:divBdr>
                <w:top w:val="none" w:sz="0" w:space="0" w:color="auto"/>
                <w:left w:val="none" w:sz="0" w:space="0" w:color="auto"/>
                <w:bottom w:val="none" w:sz="0" w:space="0" w:color="auto"/>
                <w:right w:val="none" w:sz="0" w:space="0" w:color="auto"/>
              </w:divBdr>
            </w:div>
            <w:div w:id="1796366887">
              <w:marLeft w:val="0"/>
              <w:marRight w:val="0"/>
              <w:marTop w:val="0"/>
              <w:marBottom w:val="0"/>
              <w:divBdr>
                <w:top w:val="none" w:sz="0" w:space="0" w:color="auto"/>
                <w:left w:val="none" w:sz="0" w:space="0" w:color="auto"/>
                <w:bottom w:val="none" w:sz="0" w:space="0" w:color="auto"/>
                <w:right w:val="none" w:sz="0" w:space="0" w:color="auto"/>
              </w:divBdr>
            </w:div>
            <w:div w:id="1816676108">
              <w:marLeft w:val="0"/>
              <w:marRight w:val="0"/>
              <w:marTop w:val="0"/>
              <w:marBottom w:val="0"/>
              <w:divBdr>
                <w:top w:val="none" w:sz="0" w:space="0" w:color="auto"/>
                <w:left w:val="none" w:sz="0" w:space="0" w:color="auto"/>
                <w:bottom w:val="none" w:sz="0" w:space="0" w:color="auto"/>
                <w:right w:val="none" w:sz="0" w:space="0" w:color="auto"/>
              </w:divBdr>
            </w:div>
            <w:div w:id="1300766279">
              <w:marLeft w:val="0"/>
              <w:marRight w:val="0"/>
              <w:marTop w:val="0"/>
              <w:marBottom w:val="0"/>
              <w:divBdr>
                <w:top w:val="none" w:sz="0" w:space="0" w:color="auto"/>
                <w:left w:val="none" w:sz="0" w:space="0" w:color="auto"/>
                <w:bottom w:val="none" w:sz="0" w:space="0" w:color="auto"/>
                <w:right w:val="none" w:sz="0" w:space="0" w:color="auto"/>
              </w:divBdr>
            </w:div>
            <w:div w:id="1055740182">
              <w:marLeft w:val="0"/>
              <w:marRight w:val="0"/>
              <w:marTop w:val="0"/>
              <w:marBottom w:val="0"/>
              <w:divBdr>
                <w:top w:val="none" w:sz="0" w:space="0" w:color="auto"/>
                <w:left w:val="none" w:sz="0" w:space="0" w:color="auto"/>
                <w:bottom w:val="none" w:sz="0" w:space="0" w:color="auto"/>
                <w:right w:val="none" w:sz="0" w:space="0" w:color="auto"/>
              </w:divBdr>
            </w:div>
          </w:divsChild>
        </w:div>
        <w:div w:id="390426059">
          <w:marLeft w:val="0"/>
          <w:marRight w:val="0"/>
          <w:marTop w:val="0"/>
          <w:marBottom w:val="0"/>
          <w:divBdr>
            <w:top w:val="none" w:sz="0" w:space="0" w:color="auto"/>
            <w:left w:val="none" w:sz="0" w:space="0" w:color="auto"/>
            <w:bottom w:val="none" w:sz="0" w:space="0" w:color="auto"/>
            <w:right w:val="none" w:sz="0" w:space="0" w:color="auto"/>
          </w:divBdr>
          <w:divsChild>
            <w:div w:id="53160455">
              <w:marLeft w:val="0"/>
              <w:marRight w:val="0"/>
              <w:marTop w:val="0"/>
              <w:marBottom w:val="0"/>
              <w:divBdr>
                <w:top w:val="none" w:sz="0" w:space="0" w:color="auto"/>
                <w:left w:val="none" w:sz="0" w:space="0" w:color="auto"/>
                <w:bottom w:val="none" w:sz="0" w:space="0" w:color="auto"/>
                <w:right w:val="none" w:sz="0" w:space="0" w:color="auto"/>
              </w:divBdr>
            </w:div>
            <w:div w:id="1650744383">
              <w:marLeft w:val="0"/>
              <w:marRight w:val="0"/>
              <w:marTop w:val="0"/>
              <w:marBottom w:val="0"/>
              <w:divBdr>
                <w:top w:val="none" w:sz="0" w:space="0" w:color="auto"/>
                <w:left w:val="none" w:sz="0" w:space="0" w:color="auto"/>
                <w:bottom w:val="none" w:sz="0" w:space="0" w:color="auto"/>
                <w:right w:val="none" w:sz="0" w:space="0" w:color="auto"/>
              </w:divBdr>
            </w:div>
            <w:div w:id="2018264968">
              <w:marLeft w:val="0"/>
              <w:marRight w:val="0"/>
              <w:marTop w:val="0"/>
              <w:marBottom w:val="0"/>
              <w:divBdr>
                <w:top w:val="none" w:sz="0" w:space="0" w:color="auto"/>
                <w:left w:val="none" w:sz="0" w:space="0" w:color="auto"/>
                <w:bottom w:val="none" w:sz="0" w:space="0" w:color="auto"/>
                <w:right w:val="none" w:sz="0" w:space="0" w:color="auto"/>
              </w:divBdr>
            </w:div>
            <w:div w:id="1732653626">
              <w:marLeft w:val="0"/>
              <w:marRight w:val="0"/>
              <w:marTop w:val="0"/>
              <w:marBottom w:val="0"/>
              <w:divBdr>
                <w:top w:val="none" w:sz="0" w:space="0" w:color="auto"/>
                <w:left w:val="none" w:sz="0" w:space="0" w:color="auto"/>
                <w:bottom w:val="none" w:sz="0" w:space="0" w:color="auto"/>
                <w:right w:val="none" w:sz="0" w:space="0" w:color="auto"/>
              </w:divBdr>
            </w:div>
            <w:div w:id="1919242694">
              <w:marLeft w:val="0"/>
              <w:marRight w:val="0"/>
              <w:marTop w:val="0"/>
              <w:marBottom w:val="0"/>
              <w:divBdr>
                <w:top w:val="none" w:sz="0" w:space="0" w:color="auto"/>
                <w:left w:val="none" w:sz="0" w:space="0" w:color="auto"/>
                <w:bottom w:val="none" w:sz="0" w:space="0" w:color="auto"/>
                <w:right w:val="none" w:sz="0" w:space="0" w:color="auto"/>
              </w:divBdr>
            </w:div>
            <w:div w:id="36393822">
              <w:marLeft w:val="0"/>
              <w:marRight w:val="0"/>
              <w:marTop w:val="0"/>
              <w:marBottom w:val="0"/>
              <w:divBdr>
                <w:top w:val="none" w:sz="0" w:space="0" w:color="auto"/>
                <w:left w:val="none" w:sz="0" w:space="0" w:color="auto"/>
                <w:bottom w:val="none" w:sz="0" w:space="0" w:color="auto"/>
                <w:right w:val="none" w:sz="0" w:space="0" w:color="auto"/>
              </w:divBdr>
            </w:div>
            <w:div w:id="1795099052">
              <w:marLeft w:val="0"/>
              <w:marRight w:val="0"/>
              <w:marTop w:val="0"/>
              <w:marBottom w:val="0"/>
              <w:divBdr>
                <w:top w:val="none" w:sz="0" w:space="0" w:color="auto"/>
                <w:left w:val="none" w:sz="0" w:space="0" w:color="auto"/>
                <w:bottom w:val="none" w:sz="0" w:space="0" w:color="auto"/>
                <w:right w:val="none" w:sz="0" w:space="0" w:color="auto"/>
              </w:divBdr>
            </w:div>
            <w:div w:id="752313641">
              <w:marLeft w:val="0"/>
              <w:marRight w:val="0"/>
              <w:marTop w:val="0"/>
              <w:marBottom w:val="0"/>
              <w:divBdr>
                <w:top w:val="none" w:sz="0" w:space="0" w:color="auto"/>
                <w:left w:val="none" w:sz="0" w:space="0" w:color="auto"/>
                <w:bottom w:val="none" w:sz="0" w:space="0" w:color="auto"/>
                <w:right w:val="none" w:sz="0" w:space="0" w:color="auto"/>
              </w:divBdr>
            </w:div>
            <w:div w:id="131139119">
              <w:marLeft w:val="0"/>
              <w:marRight w:val="0"/>
              <w:marTop w:val="0"/>
              <w:marBottom w:val="0"/>
              <w:divBdr>
                <w:top w:val="none" w:sz="0" w:space="0" w:color="auto"/>
                <w:left w:val="none" w:sz="0" w:space="0" w:color="auto"/>
                <w:bottom w:val="none" w:sz="0" w:space="0" w:color="auto"/>
                <w:right w:val="none" w:sz="0" w:space="0" w:color="auto"/>
              </w:divBdr>
            </w:div>
            <w:div w:id="428740279">
              <w:marLeft w:val="0"/>
              <w:marRight w:val="0"/>
              <w:marTop w:val="0"/>
              <w:marBottom w:val="0"/>
              <w:divBdr>
                <w:top w:val="none" w:sz="0" w:space="0" w:color="auto"/>
                <w:left w:val="none" w:sz="0" w:space="0" w:color="auto"/>
                <w:bottom w:val="none" w:sz="0" w:space="0" w:color="auto"/>
                <w:right w:val="none" w:sz="0" w:space="0" w:color="auto"/>
              </w:divBdr>
            </w:div>
            <w:div w:id="855272128">
              <w:marLeft w:val="0"/>
              <w:marRight w:val="0"/>
              <w:marTop w:val="0"/>
              <w:marBottom w:val="0"/>
              <w:divBdr>
                <w:top w:val="none" w:sz="0" w:space="0" w:color="auto"/>
                <w:left w:val="none" w:sz="0" w:space="0" w:color="auto"/>
                <w:bottom w:val="none" w:sz="0" w:space="0" w:color="auto"/>
                <w:right w:val="none" w:sz="0" w:space="0" w:color="auto"/>
              </w:divBdr>
            </w:div>
            <w:div w:id="2122992489">
              <w:marLeft w:val="0"/>
              <w:marRight w:val="0"/>
              <w:marTop w:val="0"/>
              <w:marBottom w:val="0"/>
              <w:divBdr>
                <w:top w:val="none" w:sz="0" w:space="0" w:color="auto"/>
                <w:left w:val="none" w:sz="0" w:space="0" w:color="auto"/>
                <w:bottom w:val="none" w:sz="0" w:space="0" w:color="auto"/>
                <w:right w:val="none" w:sz="0" w:space="0" w:color="auto"/>
              </w:divBdr>
            </w:div>
            <w:div w:id="121730922">
              <w:marLeft w:val="0"/>
              <w:marRight w:val="0"/>
              <w:marTop w:val="0"/>
              <w:marBottom w:val="0"/>
              <w:divBdr>
                <w:top w:val="none" w:sz="0" w:space="0" w:color="auto"/>
                <w:left w:val="none" w:sz="0" w:space="0" w:color="auto"/>
                <w:bottom w:val="none" w:sz="0" w:space="0" w:color="auto"/>
                <w:right w:val="none" w:sz="0" w:space="0" w:color="auto"/>
              </w:divBdr>
            </w:div>
            <w:div w:id="1049495730">
              <w:marLeft w:val="0"/>
              <w:marRight w:val="0"/>
              <w:marTop w:val="0"/>
              <w:marBottom w:val="0"/>
              <w:divBdr>
                <w:top w:val="none" w:sz="0" w:space="0" w:color="auto"/>
                <w:left w:val="none" w:sz="0" w:space="0" w:color="auto"/>
                <w:bottom w:val="none" w:sz="0" w:space="0" w:color="auto"/>
                <w:right w:val="none" w:sz="0" w:space="0" w:color="auto"/>
              </w:divBdr>
            </w:div>
            <w:div w:id="1873302821">
              <w:marLeft w:val="0"/>
              <w:marRight w:val="0"/>
              <w:marTop w:val="0"/>
              <w:marBottom w:val="0"/>
              <w:divBdr>
                <w:top w:val="none" w:sz="0" w:space="0" w:color="auto"/>
                <w:left w:val="none" w:sz="0" w:space="0" w:color="auto"/>
                <w:bottom w:val="none" w:sz="0" w:space="0" w:color="auto"/>
                <w:right w:val="none" w:sz="0" w:space="0" w:color="auto"/>
              </w:divBdr>
            </w:div>
            <w:div w:id="651910543">
              <w:marLeft w:val="0"/>
              <w:marRight w:val="0"/>
              <w:marTop w:val="0"/>
              <w:marBottom w:val="0"/>
              <w:divBdr>
                <w:top w:val="none" w:sz="0" w:space="0" w:color="auto"/>
                <w:left w:val="none" w:sz="0" w:space="0" w:color="auto"/>
                <w:bottom w:val="none" w:sz="0" w:space="0" w:color="auto"/>
                <w:right w:val="none" w:sz="0" w:space="0" w:color="auto"/>
              </w:divBdr>
            </w:div>
            <w:div w:id="1403144144">
              <w:marLeft w:val="0"/>
              <w:marRight w:val="0"/>
              <w:marTop w:val="0"/>
              <w:marBottom w:val="0"/>
              <w:divBdr>
                <w:top w:val="none" w:sz="0" w:space="0" w:color="auto"/>
                <w:left w:val="none" w:sz="0" w:space="0" w:color="auto"/>
                <w:bottom w:val="none" w:sz="0" w:space="0" w:color="auto"/>
                <w:right w:val="none" w:sz="0" w:space="0" w:color="auto"/>
              </w:divBdr>
            </w:div>
            <w:div w:id="632518949">
              <w:marLeft w:val="0"/>
              <w:marRight w:val="0"/>
              <w:marTop w:val="0"/>
              <w:marBottom w:val="0"/>
              <w:divBdr>
                <w:top w:val="none" w:sz="0" w:space="0" w:color="auto"/>
                <w:left w:val="none" w:sz="0" w:space="0" w:color="auto"/>
                <w:bottom w:val="none" w:sz="0" w:space="0" w:color="auto"/>
                <w:right w:val="none" w:sz="0" w:space="0" w:color="auto"/>
              </w:divBdr>
            </w:div>
            <w:div w:id="520125717">
              <w:marLeft w:val="0"/>
              <w:marRight w:val="0"/>
              <w:marTop w:val="0"/>
              <w:marBottom w:val="0"/>
              <w:divBdr>
                <w:top w:val="none" w:sz="0" w:space="0" w:color="auto"/>
                <w:left w:val="none" w:sz="0" w:space="0" w:color="auto"/>
                <w:bottom w:val="none" w:sz="0" w:space="0" w:color="auto"/>
                <w:right w:val="none" w:sz="0" w:space="0" w:color="auto"/>
              </w:divBdr>
            </w:div>
            <w:div w:id="1804155855">
              <w:marLeft w:val="0"/>
              <w:marRight w:val="0"/>
              <w:marTop w:val="0"/>
              <w:marBottom w:val="0"/>
              <w:divBdr>
                <w:top w:val="none" w:sz="0" w:space="0" w:color="auto"/>
                <w:left w:val="none" w:sz="0" w:space="0" w:color="auto"/>
                <w:bottom w:val="none" w:sz="0" w:space="0" w:color="auto"/>
                <w:right w:val="none" w:sz="0" w:space="0" w:color="auto"/>
              </w:divBdr>
            </w:div>
          </w:divsChild>
        </w:div>
        <w:div w:id="1713722481">
          <w:marLeft w:val="0"/>
          <w:marRight w:val="0"/>
          <w:marTop w:val="0"/>
          <w:marBottom w:val="0"/>
          <w:divBdr>
            <w:top w:val="none" w:sz="0" w:space="0" w:color="auto"/>
            <w:left w:val="none" w:sz="0" w:space="0" w:color="auto"/>
            <w:bottom w:val="none" w:sz="0" w:space="0" w:color="auto"/>
            <w:right w:val="none" w:sz="0" w:space="0" w:color="auto"/>
          </w:divBdr>
          <w:divsChild>
            <w:div w:id="1932735439">
              <w:marLeft w:val="0"/>
              <w:marRight w:val="0"/>
              <w:marTop w:val="0"/>
              <w:marBottom w:val="0"/>
              <w:divBdr>
                <w:top w:val="none" w:sz="0" w:space="0" w:color="auto"/>
                <w:left w:val="none" w:sz="0" w:space="0" w:color="auto"/>
                <w:bottom w:val="none" w:sz="0" w:space="0" w:color="auto"/>
                <w:right w:val="none" w:sz="0" w:space="0" w:color="auto"/>
              </w:divBdr>
            </w:div>
            <w:div w:id="1491754219">
              <w:marLeft w:val="0"/>
              <w:marRight w:val="0"/>
              <w:marTop w:val="0"/>
              <w:marBottom w:val="0"/>
              <w:divBdr>
                <w:top w:val="none" w:sz="0" w:space="0" w:color="auto"/>
                <w:left w:val="none" w:sz="0" w:space="0" w:color="auto"/>
                <w:bottom w:val="none" w:sz="0" w:space="0" w:color="auto"/>
                <w:right w:val="none" w:sz="0" w:space="0" w:color="auto"/>
              </w:divBdr>
            </w:div>
            <w:div w:id="824855727">
              <w:marLeft w:val="0"/>
              <w:marRight w:val="0"/>
              <w:marTop w:val="0"/>
              <w:marBottom w:val="0"/>
              <w:divBdr>
                <w:top w:val="none" w:sz="0" w:space="0" w:color="auto"/>
                <w:left w:val="none" w:sz="0" w:space="0" w:color="auto"/>
                <w:bottom w:val="none" w:sz="0" w:space="0" w:color="auto"/>
                <w:right w:val="none" w:sz="0" w:space="0" w:color="auto"/>
              </w:divBdr>
            </w:div>
            <w:div w:id="1852138638">
              <w:marLeft w:val="0"/>
              <w:marRight w:val="0"/>
              <w:marTop w:val="0"/>
              <w:marBottom w:val="0"/>
              <w:divBdr>
                <w:top w:val="none" w:sz="0" w:space="0" w:color="auto"/>
                <w:left w:val="none" w:sz="0" w:space="0" w:color="auto"/>
                <w:bottom w:val="none" w:sz="0" w:space="0" w:color="auto"/>
                <w:right w:val="none" w:sz="0" w:space="0" w:color="auto"/>
              </w:divBdr>
            </w:div>
            <w:div w:id="1373572833">
              <w:marLeft w:val="0"/>
              <w:marRight w:val="0"/>
              <w:marTop w:val="0"/>
              <w:marBottom w:val="0"/>
              <w:divBdr>
                <w:top w:val="none" w:sz="0" w:space="0" w:color="auto"/>
                <w:left w:val="none" w:sz="0" w:space="0" w:color="auto"/>
                <w:bottom w:val="none" w:sz="0" w:space="0" w:color="auto"/>
                <w:right w:val="none" w:sz="0" w:space="0" w:color="auto"/>
              </w:divBdr>
            </w:div>
            <w:div w:id="1257402777">
              <w:marLeft w:val="0"/>
              <w:marRight w:val="0"/>
              <w:marTop w:val="0"/>
              <w:marBottom w:val="0"/>
              <w:divBdr>
                <w:top w:val="none" w:sz="0" w:space="0" w:color="auto"/>
                <w:left w:val="none" w:sz="0" w:space="0" w:color="auto"/>
                <w:bottom w:val="none" w:sz="0" w:space="0" w:color="auto"/>
                <w:right w:val="none" w:sz="0" w:space="0" w:color="auto"/>
              </w:divBdr>
            </w:div>
            <w:div w:id="542518344">
              <w:marLeft w:val="0"/>
              <w:marRight w:val="0"/>
              <w:marTop w:val="0"/>
              <w:marBottom w:val="0"/>
              <w:divBdr>
                <w:top w:val="none" w:sz="0" w:space="0" w:color="auto"/>
                <w:left w:val="none" w:sz="0" w:space="0" w:color="auto"/>
                <w:bottom w:val="none" w:sz="0" w:space="0" w:color="auto"/>
                <w:right w:val="none" w:sz="0" w:space="0" w:color="auto"/>
              </w:divBdr>
            </w:div>
            <w:div w:id="1474248087">
              <w:marLeft w:val="0"/>
              <w:marRight w:val="0"/>
              <w:marTop w:val="0"/>
              <w:marBottom w:val="0"/>
              <w:divBdr>
                <w:top w:val="none" w:sz="0" w:space="0" w:color="auto"/>
                <w:left w:val="none" w:sz="0" w:space="0" w:color="auto"/>
                <w:bottom w:val="none" w:sz="0" w:space="0" w:color="auto"/>
                <w:right w:val="none" w:sz="0" w:space="0" w:color="auto"/>
              </w:divBdr>
            </w:div>
            <w:div w:id="1424649961">
              <w:marLeft w:val="0"/>
              <w:marRight w:val="0"/>
              <w:marTop w:val="0"/>
              <w:marBottom w:val="0"/>
              <w:divBdr>
                <w:top w:val="none" w:sz="0" w:space="0" w:color="auto"/>
                <w:left w:val="none" w:sz="0" w:space="0" w:color="auto"/>
                <w:bottom w:val="none" w:sz="0" w:space="0" w:color="auto"/>
                <w:right w:val="none" w:sz="0" w:space="0" w:color="auto"/>
              </w:divBdr>
            </w:div>
            <w:div w:id="2001155375">
              <w:marLeft w:val="0"/>
              <w:marRight w:val="0"/>
              <w:marTop w:val="0"/>
              <w:marBottom w:val="0"/>
              <w:divBdr>
                <w:top w:val="none" w:sz="0" w:space="0" w:color="auto"/>
                <w:left w:val="none" w:sz="0" w:space="0" w:color="auto"/>
                <w:bottom w:val="none" w:sz="0" w:space="0" w:color="auto"/>
                <w:right w:val="none" w:sz="0" w:space="0" w:color="auto"/>
              </w:divBdr>
            </w:div>
            <w:div w:id="1517381087">
              <w:marLeft w:val="0"/>
              <w:marRight w:val="0"/>
              <w:marTop w:val="0"/>
              <w:marBottom w:val="0"/>
              <w:divBdr>
                <w:top w:val="none" w:sz="0" w:space="0" w:color="auto"/>
                <w:left w:val="none" w:sz="0" w:space="0" w:color="auto"/>
                <w:bottom w:val="none" w:sz="0" w:space="0" w:color="auto"/>
                <w:right w:val="none" w:sz="0" w:space="0" w:color="auto"/>
              </w:divBdr>
            </w:div>
            <w:div w:id="949779949">
              <w:marLeft w:val="0"/>
              <w:marRight w:val="0"/>
              <w:marTop w:val="0"/>
              <w:marBottom w:val="0"/>
              <w:divBdr>
                <w:top w:val="none" w:sz="0" w:space="0" w:color="auto"/>
                <w:left w:val="none" w:sz="0" w:space="0" w:color="auto"/>
                <w:bottom w:val="none" w:sz="0" w:space="0" w:color="auto"/>
                <w:right w:val="none" w:sz="0" w:space="0" w:color="auto"/>
              </w:divBdr>
            </w:div>
            <w:div w:id="760875543">
              <w:marLeft w:val="0"/>
              <w:marRight w:val="0"/>
              <w:marTop w:val="0"/>
              <w:marBottom w:val="0"/>
              <w:divBdr>
                <w:top w:val="none" w:sz="0" w:space="0" w:color="auto"/>
                <w:left w:val="none" w:sz="0" w:space="0" w:color="auto"/>
                <w:bottom w:val="none" w:sz="0" w:space="0" w:color="auto"/>
                <w:right w:val="none" w:sz="0" w:space="0" w:color="auto"/>
              </w:divBdr>
            </w:div>
            <w:div w:id="533738023">
              <w:marLeft w:val="0"/>
              <w:marRight w:val="0"/>
              <w:marTop w:val="0"/>
              <w:marBottom w:val="0"/>
              <w:divBdr>
                <w:top w:val="none" w:sz="0" w:space="0" w:color="auto"/>
                <w:left w:val="none" w:sz="0" w:space="0" w:color="auto"/>
                <w:bottom w:val="none" w:sz="0" w:space="0" w:color="auto"/>
                <w:right w:val="none" w:sz="0" w:space="0" w:color="auto"/>
              </w:divBdr>
            </w:div>
            <w:div w:id="224609460">
              <w:marLeft w:val="0"/>
              <w:marRight w:val="0"/>
              <w:marTop w:val="0"/>
              <w:marBottom w:val="0"/>
              <w:divBdr>
                <w:top w:val="none" w:sz="0" w:space="0" w:color="auto"/>
                <w:left w:val="none" w:sz="0" w:space="0" w:color="auto"/>
                <w:bottom w:val="none" w:sz="0" w:space="0" w:color="auto"/>
                <w:right w:val="none" w:sz="0" w:space="0" w:color="auto"/>
              </w:divBdr>
            </w:div>
            <w:div w:id="1373765772">
              <w:marLeft w:val="0"/>
              <w:marRight w:val="0"/>
              <w:marTop w:val="0"/>
              <w:marBottom w:val="0"/>
              <w:divBdr>
                <w:top w:val="none" w:sz="0" w:space="0" w:color="auto"/>
                <w:left w:val="none" w:sz="0" w:space="0" w:color="auto"/>
                <w:bottom w:val="none" w:sz="0" w:space="0" w:color="auto"/>
                <w:right w:val="none" w:sz="0" w:space="0" w:color="auto"/>
              </w:divBdr>
            </w:div>
            <w:div w:id="251550016">
              <w:marLeft w:val="0"/>
              <w:marRight w:val="0"/>
              <w:marTop w:val="0"/>
              <w:marBottom w:val="0"/>
              <w:divBdr>
                <w:top w:val="none" w:sz="0" w:space="0" w:color="auto"/>
                <w:left w:val="none" w:sz="0" w:space="0" w:color="auto"/>
                <w:bottom w:val="none" w:sz="0" w:space="0" w:color="auto"/>
                <w:right w:val="none" w:sz="0" w:space="0" w:color="auto"/>
              </w:divBdr>
            </w:div>
            <w:div w:id="218443244">
              <w:marLeft w:val="0"/>
              <w:marRight w:val="0"/>
              <w:marTop w:val="0"/>
              <w:marBottom w:val="0"/>
              <w:divBdr>
                <w:top w:val="none" w:sz="0" w:space="0" w:color="auto"/>
                <w:left w:val="none" w:sz="0" w:space="0" w:color="auto"/>
                <w:bottom w:val="none" w:sz="0" w:space="0" w:color="auto"/>
                <w:right w:val="none" w:sz="0" w:space="0" w:color="auto"/>
              </w:divBdr>
            </w:div>
            <w:div w:id="1063724076">
              <w:marLeft w:val="0"/>
              <w:marRight w:val="0"/>
              <w:marTop w:val="0"/>
              <w:marBottom w:val="0"/>
              <w:divBdr>
                <w:top w:val="none" w:sz="0" w:space="0" w:color="auto"/>
                <w:left w:val="none" w:sz="0" w:space="0" w:color="auto"/>
                <w:bottom w:val="none" w:sz="0" w:space="0" w:color="auto"/>
                <w:right w:val="none" w:sz="0" w:space="0" w:color="auto"/>
              </w:divBdr>
            </w:div>
            <w:div w:id="1311180236">
              <w:marLeft w:val="0"/>
              <w:marRight w:val="0"/>
              <w:marTop w:val="0"/>
              <w:marBottom w:val="0"/>
              <w:divBdr>
                <w:top w:val="none" w:sz="0" w:space="0" w:color="auto"/>
                <w:left w:val="none" w:sz="0" w:space="0" w:color="auto"/>
                <w:bottom w:val="none" w:sz="0" w:space="0" w:color="auto"/>
                <w:right w:val="none" w:sz="0" w:space="0" w:color="auto"/>
              </w:divBdr>
            </w:div>
          </w:divsChild>
        </w:div>
        <w:div w:id="619259149">
          <w:marLeft w:val="0"/>
          <w:marRight w:val="0"/>
          <w:marTop w:val="0"/>
          <w:marBottom w:val="0"/>
          <w:divBdr>
            <w:top w:val="none" w:sz="0" w:space="0" w:color="auto"/>
            <w:left w:val="none" w:sz="0" w:space="0" w:color="auto"/>
            <w:bottom w:val="none" w:sz="0" w:space="0" w:color="auto"/>
            <w:right w:val="none" w:sz="0" w:space="0" w:color="auto"/>
          </w:divBdr>
        </w:div>
        <w:div w:id="1975862549">
          <w:marLeft w:val="0"/>
          <w:marRight w:val="0"/>
          <w:marTop w:val="0"/>
          <w:marBottom w:val="0"/>
          <w:divBdr>
            <w:top w:val="none" w:sz="0" w:space="0" w:color="auto"/>
            <w:left w:val="none" w:sz="0" w:space="0" w:color="auto"/>
            <w:bottom w:val="none" w:sz="0" w:space="0" w:color="auto"/>
            <w:right w:val="none" w:sz="0" w:space="0" w:color="auto"/>
          </w:divBdr>
        </w:div>
        <w:div w:id="1329409321">
          <w:marLeft w:val="0"/>
          <w:marRight w:val="0"/>
          <w:marTop w:val="0"/>
          <w:marBottom w:val="0"/>
          <w:divBdr>
            <w:top w:val="none" w:sz="0" w:space="0" w:color="auto"/>
            <w:left w:val="none" w:sz="0" w:space="0" w:color="auto"/>
            <w:bottom w:val="none" w:sz="0" w:space="0" w:color="auto"/>
            <w:right w:val="none" w:sz="0" w:space="0" w:color="auto"/>
          </w:divBdr>
        </w:div>
        <w:div w:id="230432000">
          <w:marLeft w:val="0"/>
          <w:marRight w:val="0"/>
          <w:marTop w:val="0"/>
          <w:marBottom w:val="0"/>
          <w:divBdr>
            <w:top w:val="none" w:sz="0" w:space="0" w:color="auto"/>
            <w:left w:val="none" w:sz="0" w:space="0" w:color="auto"/>
            <w:bottom w:val="none" w:sz="0" w:space="0" w:color="auto"/>
            <w:right w:val="none" w:sz="0" w:space="0" w:color="auto"/>
          </w:divBdr>
        </w:div>
        <w:div w:id="399133028">
          <w:marLeft w:val="0"/>
          <w:marRight w:val="0"/>
          <w:marTop w:val="0"/>
          <w:marBottom w:val="0"/>
          <w:divBdr>
            <w:top w:val="none" w:sz="0" w:space="0" w:color="auto"/>
            <w:left w:val="none" w:sz="0" w:space="0" w:color="auto"/>
            <w:bottom w:val="none" w:sz="0" w:space="0" w:color="auto"/>
            <w:right w:val="none" w:sz="0" w:space="0" w:color="auto"/>
          </w:divBdr>
        </w:div>
        <w:div w:id="723336330">
          <w:marLeft w:val="0"/>
          <w:marRight w:val="0"/>
          <w:marTop w:val="0"/>
          <w:marBottom w:val="0"/>
          <w:divBdr>
            <w:top w:val="none" w:sz="0" w:space="0" w:color="auto"/>
            <w:left w:val="none" w:sz="0" w:space="0" w:color="auto"/>
            <w:bottom w:val="none" w:sz="0" w:space="0" w:color="auto"/>
            <w:right w:val="none" w:sz="0" w:space="0" w:color="auto"/>
          </w:divBdr>
        </w:div>
        <w:div w:id="47187302">
          <w:marLeft w:val="0"/>
          <w:marRight w:val="0"/>
          <w:marTop w:val="0"/>
          <w:marBottom w:val="0"/>
          <w:divBdr>
            <w:top w:val="none" w:sz="0" w:space="0" w:color="auto"/>
            <w:left w:val="none" w:sz="0" w:space="0" w:color="auto"/>
            <w:bottom w:val="none" w:sz="0" w:space="0" w:color="auto"/>
            <w:right w:val="none" w:sz="0" w:space="0" w:color="auto"/>
          </w:divBdr>
        </w:div>
        <w:div w:id="732318964">
          <w:marLeft w:val="0"/>
          <w:marRight w:val="0"/>
          <w:marTop w:val="0"/>
          <w:marBottom w:val="0"/>
          <w:divBdr>
            <w:top w:val="none" w:sz="0" w:space="0" w:color="auto"/>
            <w:left w:val="none" w:sz="0" w:space="0" w:color="auto"/>
            <w:bottom w:val="none" w:sz="0" w:space="0" w:color="auto"/>
            <w:right w:val="none" w:sz="0" w:space="0" w:color="auto"/>
          </w:divBdr>
        </w:div>
        <w:div w:id="1081098493">
          <w:marLeft w:val="0"/>
          <w:marRight w:val="0"/>
          <w:marTop w:val="0"/>
          <w:marBottom w:val="0"/>
          <w:divBdr>
            <w:top w:val="none" w:sz="0" w:space="0" w:color="auto"/>
            <w:left w:val="none" w:sz="0" w:space="0" w:color="auto"/>
            <w:bottom w:val="none" w:sz="0" w:space="0" w:color="auto"/>
            <w:right w:val="none" w:sz="0" w:space="0" w:color="auto"/>
          </w:divBdr>
        </w:div>
        <w:div w:id="1178077035">
          <w:marLeft w:val="0"/>
          <w:marRight w:val="0"/>
          <w:marTop w:val="0"/>
          <w:marBottom w:val="0"/>
          <w:divBdr>
            <w:top w:val="none" w:sz="0" w:space="0" w:color="auto"/>
            <w:left w:val="none" w:sz="0" w:space="0" w:color="auto"/>
            <w:bottom w:val="none" w:sz="0" w:space="0" w:color="auto"/>
            <w:right w:val="none" w:sz="0" w:space="0" w:color="auto"/>
          </w:divBdr>
        </w:div>
        <w:div w:id="254095360">
          <w:marLeft w:val="0"/>
          <w:marRight w:val="0"/>
          <w:marTop w:val="0"/>
          <w:marBottom w:val="0"/>
          <w:divBdr>
            <w:top w:val="none" w:sz="0" w:space="0" w:color="auto"/>
            <w:left w:val="none" w:sz="0" w:space="0" w:color="auto"/>
            <w:bottom w:val="none" w:sz="0" w:space="0" w:color="auto"/>
            <w:right w:val="none" w:sz="0" w:space="0" w:color="auto"/>
          </w:divBdr>
        </w:div>
        <w:div w:id="70932356">
          <w:marLeft w:val="0"/>
          <w:marRight w:val="0"/>
          <w:marTop w:val="0"/>
          <w:marBottom w:val="0"/>
          <w:divBdr>
            <w:top w:val="none" w:sz="0" w:space="0" w:color="auto"/>
            <w:left w:val="none" w:sz="0" w:space="0" w:color="auto"/>
            <w:bottom w:val="none" w:sz="0" w:space="0" w:color="auto"/>
            <w:right w:val="none" w:sz="0" w:space="0" w:color="auto"/>
          </w:divBdr>
        </w:div>
        <w:div w:id="2032951397">
          <w:marLeft w:val="0"/>
          <w:marRight w:val="0"/>
          <w:marTop w:val="0"/>
          <w:marBottom w:val="0"/>
          <w:divBdr>
            <w:top w:val="none" w:sz="0" w:space="0" w:color="auto"/>
            <w:left w:val="none" w:sz="0" w:space="0" w:color="auto"/>
            <w:bottom w:val="none" w:sz="0" w:space="0" w:color="auto"/>
            <w:right w:val="none" w:sz="0" w:space="0" w:color="auto"/>
          </w:divBdr>
        </w:div>
        <w:div w:id="423959398">
          <w:marLeft w:val="0"/>
          <w:marRight w:val="0"/>
          <w:marTop w:val="0"/>
          <w:marBottom w:val="0"/>
          <w:divBdr>
            <w:top w:val="none" w:sz="0" w:space="0" w:color="auto"/>
            <w:left w:val="none" w:sz="0" w:space="0" w:color="auto"/>
            <w:bottom w:val="none" w:sz="0" w:space="0" w:color="auto"/>
            <w:right w:val="none" w:sz="0" w:space="0" w:color="auto"/>
          </w:divBdr>
        </w:div>
      </w:divsChild>
    </w:div>
    <w:div w:id="96719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ptodate.com/contents/single-umbilical-artery/abstract/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ptodate.com/contents/single-umbilical-artery/abstract/4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todate.com/contents/single-umbilical-artery/abstract/4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ptodate.com/contents/single-umbilical-artery/abstract/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ectrumhealth.sharepoint.com/sites/brand-central/CorewellHealthBrandedTemplates/Word%20documents/Corewell%20Health%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4ACD4181CD41B41F15FF664417BC" ma:contentTypeVersion="4" ma:contentTypeDescription="Create a new document." ma:contentTypeScope="" ma:versionID="365004a92db069ea733e8dbe408702a5">
  <xsd:schema xmlns:xsd="http://www.w3.org/2001/XMLSchema" xmlns:xs="http://www.w3.org/2001/XMLSchema" xmlns:p="http://schemas.microsoft.com/office/2006/metadata/properties" xmlns:ns2="00e2a9a1-dd5c-4ef7-91e2-c44647219e59" targetNamespace="http://schemas.microsoft.com/office/2006/metadata/properties" ma:root="true" ma:fieldsID="5bac37c4c9d630d93e294abff35baae6" ns2:_="">
    <xsd:import namespace="00e2a9a1-dd5c-4ef7-91e2-c44647219e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a9a1-dd5c-4ef7-91e2-c44647219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260CC-C535-431C-9025-758BD961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a9a1-dd5c-4ef7-91e2-c4464721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FF87-39CE-4C1A-98E5-29CAAB5D2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56E3E-5623-4DCE-86EC-2F8BC55A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Corewell%20Health%20General%20Template</Template>
  <TotalTime>2</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Christopher D.(Chris)</dc:creator>
  <cp:keywords/>
  <cp:lastModifiedBy>Olson, Christopher D.(Chris)</cp:lastModifiedBy>
  <cp:revision>3</cp:revision>
  <cp:lastPrinted>2022-09-26T19:55:00Z</cp:lastPrinted>
  <dcterms:created xsi:type="dcterms:W3CDTF">2025-07-21T14:45:00Z</dcterms:created>
  <dcterms:modified xsi:type="dcterms:W3CDTF">2025-07-21T14:47:00Z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0x010100C2604ACD4181CD41B41F15FF664417BC</vt:lpwstr>
  </property>
  <property fmtid="{D5CDD505-2E9C-101B-9397-08002B2CF9AE}" pid="7" name="MediaServiceImageTags">
    <vt:lpwstr/>
  </property>
</Properties>
</file>